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4" w:rsidRPr="007D2C06" w:rsidRDefault="004F21BA" w:rsidP="00722EEF">
      <w:pPr>
        <w:tabs>
          <w:tab w:val="left" w:pos="10080"/>
        </w:tabs>
        <w:ind w:left="-720" w:right="-90"/>
        <w:rPr>
          <w:sz w:val="32"/>
        </w:rPr>
      </w:pPr>
      <w:r w:rsidRPr="007D2C06">
        <w:rPr>
          <w:sz w:val="32"/>
        </w:rPr>
        <w:t xml:space="preserve">Jefferson Laboratory Facilities,   Arne </w:t>
      </w:r>
      <w:proofErr w:type="spellStart"/>
      <w:r w:rsidRPr="007D2C06">
        <w:rPr>
          <w:sz w:val="32"/>
        </w:rPr>
        <w:t>Freyberger</w:t>
      </w:r>
      <w:proofErr w:type="spellEnd"/>
      <w:r w:rsidR="00F12E33">
        <w:rPr>
          <w:rStyle w:val="FootnoteReference"/>
          <w:sz w:val="32"/>
        </w:rPr>
        <w:footnoteReference w:id="1"/>
      </w:r>
      <w:r w:rsidRPr="007D2C06">
        <w:rPr>
          <w:sz w:val="32"/>
        </w:rPr>
        <w:t>, Jefferson Lab.</w:t>
      </w:r>
    </w:p>
    <w:p w:rsidR="007D2C06" w:rsidRDefault="0027233F" w:rsidP="00722EEF">
      <w:pPr>
        <w:ind w:lef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EA60C" wp14:editId="7E34C3DE">
            <wp:simplePos x="0" y="0"/>
            <wp:positionH relativeFrom="column">
              <wp:posOffset>-457835</wp:posOffset>
            </wp:positionH>
            <wp:positionV relativeFrom="paragraph">
              <wp:posOffset>908685</wp:posOffset>
            </wp:positionV>
            <wp:extent cx="3732530" cy="2159000"/>
            <wp:effectExtent l="0" t="0" r="127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53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B4">
        <w:t xml:space="preserve">Jefferson Lab (JLab) operates two electron accelerator facilities, the Continuous Electron Accelerator Facility (CEBAF) and the Low Energy </w:t>
      </w:r>
      <w:proofErr w:type="spellStart"/>
      <w:r w:rsidR="006523B4">
        <w:t>Recirculator</w:t>
      </w:r>
      <w:proofErr w:type="spellEnd"/>
      <w:r w:rsidR="006523B4">
        <w:t xml:space="preserve"> Facility (LERF).   The primary missio</w:t>
      </w:r>
      <w:r w:rsidR="00742606">
        <w:t>n of JLab is to support</w:t>
      </w:r>
      <w:r w:rsidR="006523B4">
        <w:t xml:space="preserve"> the Office of Science</w:t>
      </w:r>
      <w:r w:rsidR="00742606">
        <w:t xml:space="preserve">, Office </w:t>
      </w:r>
      <w:proofErr w:type="gramStart"/>
      <w:r w:rsidR="00742606">
        <w:t xml:space="preserve">of </w:t>
      </w:r>
      <w:r w:rsidR="006523B4">
        <w:t xml:space="preserve"> Nuclear</w:t>
      </w:r>
      <w:proofErr w:type="gramEnd"/>
      <w:r w:rsidR="006523B4">
        <w:t xml:space="preserve"> Physics research program, specifically the exploration of confined states of matter, quarks and gluons, via </w:t>
      </w:r>
      <w:proofErr w:type="spellStart"/>
      <w:r w:rsidR="006523B4">
        <w:t>energic</w:t>
      </w:r>
      <w:proofErr w:type="spellEnd"/>
      <w:r w:rsidR="006523B4">
        <w:t xml:space="preserve"> electromagnetic probes.    There are 1530 active JLab users from 236 institutions and 31 countries.   </w:t>
      </w:r>
    </w:p>
    <w:p w:rsidR="00647A6C" w:rsidRPr="000B4B50" w:rsidRDefault="006523B4" w:rsidP="00647A6C">
      <w:pPr>
        <w:ind w:left="-720"/>
      </w:pPr>
      <w:r w:rsidRPr="006523B4">
        <w:rPr>
          <w:b/>
        </w:rPr>
        <w:t>CEBAF</w:t>
      </w:r>
      <w:r w:rsidR="00722EEF">
        <w:rPr>
          <w:b/>
        </w:rPr>
        <w:t xml:space="preserve"> </w:t>
      </w:r>
      <w:r>
        <w:t>has been suc</w:t>
      </w:r>
      <w:r w:rsidR="00742606">
        <w:t xml:space="preserve">cessfully upgraded to achieve </w:t>
      </w:r>
      <w:r>
        <w:t xml:space="preserve">maximum electron energy of 12 </w:t>
      </w:r>
      <w:proofErr w:type="spellStart"/>
      <w:r w:rsidR="00742606">
        <w:t>GeV</w:t>
      </w:r>
      <w:proofErr w:type="spellEnd"/>
      <w:r w:rsidR="00742606">
        <w:t xml:space="preserve">.   The accelerator upgrade </w:t>
      </w:r>
      <w:r>
        <w:t xml:space="preserve">and transition to operations is complete.    </w:t>
      </w:r>
      <w:r w:rsidR="00742606">
        <w:t>CEBAF</w:t>
      </w:r>
      <w:r>
        <w:t xml:space="preserve"> has four experimental end-stations (A</w:t>
      </w:r>
      <w:proofErr w:type="gramStart"/>
      <w:r>
        <w:t>,B,C</w:t>
      </w:r>
      <w:proofErr w:type="gramEnd"/>
      <w:r>
        <w:t xml:space="preserve"> &amp;D), one </w:t>
      </w:r>
      <w:r w:rsidR="00DB0F3E">
        <w:t xml:space="preserve">hall </w:t>
      </w:r>
      <w:r>
        <w:t xml:space="preserve">(D) is a new addition and two </w:t>
      </w:r>
      <w:r w:rsidR="00DB0F3E">
        <w:t xml:space="preserve">halls (B&amp;C) have </w:t>
      </w:r>
      <w:r>
        <w:t xml:space="preserve">upgraded </w:t>
      </w:r>
      <w:r w:rsidR="00DB0F3E" w:rsidRPr="00DB0F3E">
        <w:rPr>
          <w:i/>
        </w:rPr>
        <w:t>standard equipment</w:t>
      </w:r>
      <w:r w:rsidR="00DB0F3E">
        <w:t xml:space="preserve"> detectors </w:t>
      </w:r>
      <w:r>
        <w:t>to</w:t>
      </w:r>
      <w:r w:rsidR="00DB0F3E">
        <w:t xml:space="preserve"> take advantage of the higher electron beam energy.   The remaining hall (A)</w:t>
      </w:r>
      <w:r w:rsidR="00742606">
        <w:t xml:space="preserve"> serves has multi-purpose hall,</w:t>
      </w:r>
      <w:r w:rsidR="00DB0F3E">
        <w:t xml:space="preserve"> staging and executing a diverse experimental program. </w:t>
      </w:r>
      <w:r>
        <w:t xml:space="preserve"> </w:t>
      </w:r>
      <w:r w:rsidR="00631591">
        <w:t xml:space="preserve"> The beam parameters can be found in the table below.</w:t>
      </w:r>
      <w:r w:rsidR="00DF3410">
        <w:t xml:space="preserve">   The CEBAF end-stations A</w:t>
      </w:r>
      <w:proofErr w:type="gramStart"/>
      <w:r w:rsidR="00DF3410">
        <w:t>,B</w:t>
      </w:r>
      <w:proofErr w:type="gramEnd"/>
      <w:r w:rsidR="00DF3410">
        <w:t xml:space="preserve">&amp;C can receive beam at energies of 1,2,3,4,5 times the one-pass energy (nominally 2.1-2.2 </w:t>
      </w:r>
      <w:proofErr w:type="spellStart"/>
      <w:r w:rsidR="00DF3410">
        <w:t>GeV</w:t>
      </w:r>
      <w:proofErr w:type="spellEnd"/>
      <w:r w:rsidR="00DF3410">
        <w:t xml:space="preserve">/pass),  beam to Hall-D must recirculate 5.5 times through the </w:t>
      </w:r>
      <w:proofErr w:type="spellStart"/>
      <w:r w:rsidR="00DF3410">
        <w:t>linac</w:t>
      </w:r>
      <w:proofErr w:type="spellEnd"/>
      <w:r w:rsidR="00DF3410">
        <w:t xml:space="preserve"> and has energy of 11.6-12 </w:t>
      </w:r>
      <w:proofErr w:type="spellStart"/>
      <w:r w:rsidR="00DF3410">
        <w:t>GeV</w:t>
      </w:r>
      <w:proofErr w:type="spellEnd"/>
      <w:r w:rsidR="00DF3410">
        <w:t>).   The electron beam polarization is near 90% (always greater than 85</w:t>
      </w:r>
      <w:r w:rsidR="006B644E">
        <w:t xml:space="preserve">%) and Hall-D </w:t>
      </w:r>
      <w:proofErr w:type="spellStart"/>
      <w:r w:rsidR="006B644E">
        <w:t>beamline</w:t>
      </w:r>
      <w:proofErr w:type="spellEnd"/>
      <w:r w:rsidR="006B644E">
        <w:t xml:space="preserve"> includes</w:t>
      </w:r>
      <w:r w:rsidR="00DF3410">
        <w:t xml:space="preserve"> the production of linearly polarized photon beam (40% polarization, peak </w:t>
      </w:r>
      <w:r w:rsidR="008C5880">
        <w:t>energy</w:t>
      </w:r>
      <w:r w:rsidR="00DF3410">
        <w:t xml:space="preserve"> near 9 </w:t>
      </w:r>
      <w:proofErr w:type="spellStart"/>
      <w:r w:rsidR="00DF3410">
        <w:t>GeV</w:t>
      </w:r>
      <w:proofErr w:type="spellEnd"/>
      <w:r w:rsidR="00DF3410">
        <w:t>) via coherent bremsstrahlung produ</w:t>
      </w:r>
      <w:r w:rsidR="000B4B50">
        <w:t xml:space="preserve">ction off of a diamond radiator.  </w:t>
      </w:r>
    </w:p>
    <w:p w:rsidR="000906BC" w:rsidRPr="00722EEF" w:rsidRDefault="00722EEF" w:rsidP="00722EEF">
      <w:pPr>
        <w:ind w:left="-720"/>
        <w:rPr>
          <w:b/>
        </w:rPr>
      </w:pPr>
      <w:r>
        <w:rPr>
          <w:b/>
        </w:rPr>
        <w:t xml:space="preserve">LERF </w:t>
      </w:r>
      <w:r w:rsidR="00631591">
        <w:t xml:space="preserve">is a one-pass energy recovery </w:t>
      </w:r>
      <w:proofErr w:type="spellStart"/>
      <w:r w:rsidR="00631591">
        <w:t>linac</w:t>
      </w:r>
      <w:proofErr w:type="spellEnd"/>
      <w:r w:rsidR="00631591">
        <w:t xml:space="preserve"> with maximum electron beam energy of 170 MeV (see Table below for beam parameters).   LERF was constructed and operated as a tunable free electron laser and can support up to 10 mA of beam current when in energy recovery mode.   The LERF has recently been reconfigured to support the </w:t>
      </w:r>
      <w:proofErr w:type="spellStart"/>
      <w:r w:rsidR="00631591">
        <w:t>DarkLight</w:t>
      </w:r>
      <w:proofErr w:type="spellEnd"/>
      <w:r w:rsidR="00631591">
        <w:t xml:space="preserve"> experiment by installing a large solenoid and gas target on the </w:t>
      </w:r>
      <w:proofErr w:type="spellStart"/>
      <w:r w:rsidR="00631591">
        <w:t>beamline</w:t>
      </w:r>
      <w:proofErr w:type="spellEnd"/>
      <w:r w:rsidR="00631591">
        <w:t>.</w:t>
      </w:r>
    </w:p>
    <w:tbl>
      <w:tblPr>
        <w:tblpPr w:leftFromText="187" w:rightFromText="187" w:vertAnchor="text" w:tblpY="1"/>
        <w:tblOverlap w:val="never"/>
        <w:tblW w:w="8154" w:type="dxa"/>
        <w:tblInd w:w="-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4"/>
        <w:gridCol w:w="3060"/>
        <w:gridCol w:w="2250"/>
      </w:tblGrid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LERF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16"/>
                <w:szCs w:val="16"/>
              </w:rPr>
              <w:t>CEBAF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Max. Energy </w:t>
            </w:r>
          </w:p>
        </w:tc>
        <w:tc>
          <w:tcPr>
            <w:tcW w:w="3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170 MeV</w:t>
            </w:r>
          </w:p>
        </w:tc>
        <w:tc>
          <w:tcPr>
            <w:tcW w:w="22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11 </w:t>
            </w:r>
            <w:proofErr w:type="spellStart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GeV</w:t>
            </w:r>
            <w:proofErr w:type="spellEnd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 (ABC)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12 </w:t>
            </w:r>
            <w:proofErr w:type="spellStart"/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GeV</w:t>
            </w:r>
            <w:proofErr w:type="spellEnd"/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 xml:space="preserve"> (D)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Duty Factor 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CW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CW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Max. Beam Power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&gt;1 MW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1 MW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Bunch Charge (Min-Max)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60-135 </w:t>
            </w:r>
            <w:proofErr w:type="spellStart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pC</w:t>
            </w:r>
            <w:proofErr w:type="spellEnd"/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0.004 </w:t>
            </w:r>
            <w:proofErr w:type="spellStart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fC</w:t>
            </w:r>
            <w:proofErr w:type="spellEnd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 – 1.3 </w:t>
            </w:r>
            <w:proofErr w:type="spellStart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pC</w:t>
            </w:r>
            <w:proofErr w:type="spellEnd"/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Repetition Rate on Target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4.68-74.85 MHz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31.2 – 499 MHz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Nominal Hall Repetition Rate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74.85 MHz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249.5</w:t>
            </w:r>
            <w:bookmarkStart w:id="0" w:name="_GoBack"/>
            <w:bookmarkEnd w:id="0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 MHz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Number of Exp. Halls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4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Max. Number of Passes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5.5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Emittance</w:t>
            </w:r>
            <w:proofErr w:type="spellEnd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 (geometric) at full energy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50</w:t>
            </w: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 nm-rad(X)/</w:t>
            </w:r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30</w:t>
            </w: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 xml:space="preserve"> nm-rad(Y) @ 135 </w:t>
            </w:r>
            <w:proofErr w:type="spellStart"/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pC</w:t>
            </w:r>
            <w:proofErr w:type="spellEnd"/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3 nm-rad(X)/1 nm-rad(Y)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Energy Spread at full energy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0.02%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</w:rPr>
              <w:t>0.018%</w:t>
            </w:r>
          </w:p>
        </w:tc>
      </w:tr>
      <w:tr w:rsidR="007D2C06" w:rsidRPr="007D2C06" w:rsidTr="0083113D">
        <w:trPr>
          <w:trHeight w:val="72"/>
        </w:trPr>
        <w:tc>
          <w:tcPr>
            <w:tcW w:w="2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Polarization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None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2C06" w:rsidRPr="00631591" w:rsidRDefault="007D2C06" w:rsidP="00831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1591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</w:rPr>
              <w:t>&gt;85%</w:t>
            </w:r>
          </w:p>
        </w:tc>
      </w:tr>
    </w:tbl>
    <w:p w:rsidR="00631591" w:rsidRDefault="00631591" w:rsidP="00722EEF">
      <w:pPr>
        <w:ind w:left="-720"/>
      </w:pPr>
      <w:r w:rsidRPr="00631591">
        <w:rPr>
          <w:b/>
        </w:rPr>
        <w:t>Beyond the Stan</w:t>
      </w:r>
      <w:r w:rsidR="00742606">
        <w:rPr>
          <w:b/>
        </w:rPr>
        <w:t xml:space="preserve">dard Model Experimental program </w:t>
      </w:r>
      <w:r w:rsidR="00742606">
        <w:t>at JLab</w:t>
      </w:r>
      <w:r w:rsidR="00392291">
        <w:t xml:space="preserve"> includes dark matter searches and precision parity violation experiments (measurements of sin</w:t>
      </w:r>
      <w:r w:rsidR="00392291" w:rsidRPr="00392291">
        <w:rPr>
          <w:vertAlign w:val="superscript"/>
        </w:rPr>
        <w:t>2</w:t>
      </w:r>
      <w:r w:rsidR="00392291" w:rsidRPr="00814068">
        <w:rPr>
          <w:rFonts w:ascii="Symbol" w:hAnsi="Symbol"/>
        </w:rPr>
        <w:t></w:t>
      </w:r>
      <w:r w:rsidR="001F2E03">
        <w:rPr>
          <w:vertAlign w:val="subscript"/>
        </w:rPr>
        <w:t>W</w:t>
      </w:r>
      <w:r w:rsidR="00392291">
        <w:t>).   Direct searches for dark matter experiments include the APEX</w:t>
      </w:r>
      <w:r w:rsidR="00DF3410">
        <w:t xml:space="preserve"> and </w:t>
      </w:r>
      <w:r w:rsidR="00392291">
        <w:t>HPS experiments on CEBAF</w:t>
      </w:r>
      <w:r w:rsidR="00DF3410">
        <w:t>,</w:t>
      </w:r>
      <w:r w:rsidR="00392291">
        <w:t xml:space="preserve"> and </w:t>
      </w:r>
      <w:proofErr w:type="spellStart"/>
      <w:r w:rsidR="00392291">
        <w:t>DarkLight</w:t>
      </w:r>
      <w:proofErr w:type="spellEnd"/>
      <w:r w:rsidR="00392291">
        <w:t xml:space="preserve"> at the LERF.   All of these experiments have received beam.   A beam dump experiment, BDX, has been recently approved (presentations at this workshop include HPS</w:t>
      </w:r>
      <w:r w:rsidR="00674274">
        <w:t xml:space="preserve">, </w:t>
      </w:r>
      <w:proofErr w:type="spellStart"/>
      <w:proofErr w:type="gramStart"/>
      <w:r w:rsidR="00674274">
        <w:t>DarkLight</w:t>
      </w:r>
      <w:proofErr w:type="spellEnd"/>
      <w:r w:rsidR="00674274">
        <w:t xml:space="preserve"> </w:t>
      </w:r>
      <w:r w:rsidR="00392291">
        <w:t xml:space="preserve"> and</w:t>
      </w:r>
      <w:proofErr w:type="gramEnd"/>
      <w:r w:rsidR="00392291">
        <w:t xml:space="preserve"> BDX).    The MOLLER experiment</w:t>
      </w:r>
      <w:r w:rsidR="00F1696A">
        <w:t>, which recently received DOE project approval</w:t>
      </w:r>
      <w:r w:rsidR="00392291">
        <w:t>,</w:t>
      </w:r>
      <w:r w:rsidR="00F1696A">
        <w:t xml:space="preserve"> will perform a</w:t>
      </w:r>
      <w:r w:rsidR="00392291">
        <w:t xml:space="preserve"> precise measurement of sin</w:t>
      </w:r>
      <w:r w:rsidR="00392291" w:rsidRPr="00814068">
        <w:rPr>
          <w:vertAlign w:val="superscript"/>
        </w:rPr>
        <w:t>2</w:t>
      </w:r>
      <w:r w:rsidR="00392291" w:rsidRPr="00814068">
        <w:rPr>
          <w:rFonts w:ascii="Symbol" w:hAnsi="Symbol"/>
        </w:rPr>
        <w:t></w:t>
      </w:r>
      <w:r w:rsidR="00392291" w:rsidRPr="00290DF8">
        <w:rPr>
          <w:vertAlign w:val="subscript"/>
        </w:rPr>
        <w:t>W</w:t>
      </w:r>
      <w:r w:rsidR="00F1696A">
        <w:t xml:space="preserve">, which has sensitivity to the mass and </w:t>
      </w:r>
      <w:r w:rsidR="00392291">
        <w:t xml:space="preserve">coupling limits on dark matter.   </w:t>
      </w:r>
      <w:r w:rsidR="001F2E03">
        <w:t>The progra</w:t>
      </w:r>
      <w:r w:rsidR="00032D3B">
        <w:t>m advisory committee meets once</w:t>
      </w:r>
      <w:r w:rsidR="001F2E03">
        <w:t xml:space="preserve"> a year to review new proposals.</w:t>
      </w:r>
    </w:p>
    <w:p w:rsidR="00090727" w:rsidRPr="00722EEF" w:rsidRDefault="00090727" w:rsidP="00722EEF">
      <w:pPr>
        <w:ind w:left="-720"/>
        <w:rPr>
          <w:b/>
        </w:rPr>
      </w:pPr>
    </w:p>
    <w:sectPr w:rsidR="00090727" w:rsidRPr="00722EEF" w:rsidSect="00722EEF">
      <w:pgSz w:w="12240" w:h="15840"/>
      <w:pgMar w:top="360" w:right="54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33" w:rsidRDefault="00F12E33" w:rsidP="00F12E33">
      <w:pPr>
        <w:spacing w:after="0" w:line="240" w:lineRule="auto"/>
      </w:pPr>
      <w:r>
        <w:separator/>
      </w:r>
    </w:p>
  </w:endnote>
  <w:endnote w:type="continuationSeparator" w:id="0">
    <w:p w:rsidR="00F12E33" w:rsidRDefault="00F12E33" w:rsidP="00F1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33" w:rsidRDefault="00F12E33" w:rsidP="00F12E33">
      <w:pPr>
        <w:spacing w:after="0" w:line="240" w:lineRule="auto"/>
      </w:pPr>
      <w:r>
        <w:separator/>
      </w:r>
    </w:p>
  </w:footnote>
  <w:footnote w:type="continuationSeparator" w:id="0">
    <w:p w:rsidR="00F12E33" w:rsidRDefault="00F12E33" w:rsidP="00F12E33">
      <w:pPr>
        <w:spacing w:after="0" w:line="240" w:lineRule="auto"/>
      </w:pPr>
      <w:r>
        <w:continuationSeparator/>
      </w:r>
    </w:p>
  </w:footnote>
  <w:footnote w:id="1">
    <w:p w:rsidR="00F12E33" w:rsidRDefault="00F12E33">
      <w:pPr>
        <w:pStyle w:val="FootnoteText"/>
      </w:pPr>
      <w:r>
        <w:rPr>
          <w:rStyle w:val="FootnoteReference"/>
        </w:rPr>
        <w:footnoteRef/>
      </w:r>
      <w:r>
        <w:t xml:space="preserve"> This material is based upon work supported by the U.S. Department of Energy, Office of Science, Office of Nuclear Physics, under contract DE-AC05-06OR23177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BA"/>
    <w:rsid w:val="00032D3B"/>
    <w:rsid w:val="000906BC"/>
    <w:rsid w:val="00090727"/>
    <w:rsid w:val="000B4B50"/>
    <w:rsid w:val="001F2E03"/>
    <w:rsid w:val="0027233F"/>
    <w:rsid w:val="00290DF8"/>
    <w:rsid w:val="00392291"/>
    <w:rsid w:val="00403A2D"/>
    <w:rsid w:val="00467CE6"/>
    <w:rsid w:val="004F21BA"/>
    <w:rsid w:val="00503AF6"/>
    <w:rsid w:val="00631591"/>
    <w:rsid w:val="00647A6C"/>
    <w:rsid w:val="006523B4"/>
    <w:rsid w:val="00674274"/>
    <w:rsid w:val="00677ACD"/>
    <w:rsid w:val="006B644E"/>
    <w:rsid w:val="00722EEF"/>
    <w:rsid w:val="00742606"/>
    <w:rsid w:val="007C0FBF"/>
    <w:rsid w:val="007D2C06"/>
    <w:rsid w:val="007F0D8F"/>
    <w:rsid w:val="00814068"/>
    <w:rsid w:val="0083113D"/>
    <w:rsid w:val="008C5880"/>
    <w:rsid w:val="00994928"/>
    <w:rsid w:val="00A66ED3"/>
    <w:rsid w:val="00BC135F"/>
    <w:rsid w:val="00C56112"/>
    <w:rsid w:val="00D32B7B"/>
    <w:rsid w:val="00DB0F3E"/>
    <w:rsid w:val="00DF3410"/>
    <w:rsid w:val="00F12E33"/>
    <w:rsid w:val="00F1696A"/>
    <w:rsid w:val="00F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E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E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E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E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E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ACAC-22D4-467A-9B62-8BDD589D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freyberg</dc:creator>
  <cp:lastModifiedBy>freyberg</cp:lastModifiedBy>
  <cp:revision>35</cp:revision>
  <dcterms:created xsi:type="dcterms:W3CDTF">2017-03-22T14:37:00Z</dcterms:created>
  <dcterms:modified xsi:type="dcterms:W3CDTF">2017-03-23T22:57:00Z</dcterms:modified>
</cp:coreProperties>
</file>