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7727D" w14:textId="77777777" w:rsidR="000251E3" w:rsidRDefault="0075370F" w:rsidP="000251E3">
      <w:pPr>
        <w:jc w:val="center"/>
        <w:rPr>
          <w:b/>
          <w:sz w:val="28"/>
          <w:szCs w:val="28"/>
        </w:rPr>
      </w:pPr>
      <w:r w:rsidRPr="000251E3">
        <w:rPr>
          <w:b/>
          <w:sz w:val="28"/>
          <w:szCs w:val="28"/>
        </w:rPr>
        <w:t>A Proposal for a</w:t>
      </w:r>
      <w:r w:rsidR="00387595" w:rsidRPr="000251E3">
        <w:rPr>
          <w:b/>
          <w:sz w:val="28"/>
          <w:szCs w:val="28"/>
        </w:rPr>
        <w:t>n</w:t>
      </w:r>
      <w:r w:rsidRPr="000251E3">
        <w:rPr>
          <w:b/>
          <w:sz w:val="28"/>
          <w:szCs w:val="28"/>
        </w:rPr>
        <w:t xml:space="preserve"> </w:t>
      </w:r>
      <w:r w:rsidR="00387595" w:rsidRPr="000251E3">
        <w:rPr>
          <w:b/>
          <w:sz w:val="28"/>
          <w:szCs w:val="28"/>
        </w:rPr>
        <w:t>Ir</w:t>
      </w:r>
      <w:r w:rsidRPr="000251E3">
        <w:rPr>
          <w:b/>
          <w:sz w:val="28"/>
          <w:szCs w:val="28"/>
        </w:rPr>
        <w:t>r</w:t>
      </w:r>
      <w:r w:rsidR="00387595" w:rsidRPr="000251E3">
        <w:rPr>
          <w:b/>
          <w:sz w:val="28"/>
          <w:szCs w:val="28"/>
        </w:rPr>
        <w:t>adiation Test A</w:t>
      </w:r>
      <w:r w:rsidRPr="000251E3">
        <w:rPr>
          <w:b/>
          <w:sz w:val="28"/>
          <w:szCs w:val="28"/>
        </w:rPr>
        <w:t>rea “</w:t>
      </w:r>
      <w:r w:rsidR="00387595" w:rsidRPr="000251E3">
        <w:rPr>
          <w:b/>
          <w:sz w:val="28"/>
          <w:szCs w:val="28"/>
        </w:rPr>
        <w:t>I</w:t>
      </w:r>
      <w:r w:rsidRPr="000251E3">
        <w:rPr>
          <w:b/>
          <w:sz w:val="28"/>
          <w:szCs w:val="28"/>
        </w:rPr>
        <w:t xml:space="preserve">TA” </w:t>
      </w:r>
    </w:p>
    <w:p w14:paraId="3C7FB105" w14:textId="5CC01E31" w:rsidR="0096125D" w:rsidRDefault="00387595" w:rsidP="000251E3">
      <w:pPr>
        <w:jc w:val="center"/>
        <w:rPr>
          <w:b/>
          <w:sz w:val="28"/>
          <w:szCs w:val="28"/>
        </w:rPr>
      </w:pPr>
      <w:proofErr w:type="gramStart"/>
      <w:r w:rsidRPr="000251E3">
        <w:rPr>
          <w:b/>
          <w:sz w:val="28"/>
          <w:szCs w:val="28"/>
        </w:rPr>
        <w:t>at</w:t>
      </w:r>
      <w:proofErr w:type="gramEnd"/>
      <w:r w:rsidRPr="000251E3">
        <w:rPr>
          <w:b/>
          <w:sz w:val="28"/>
          <w:szCs w:val="28"/>
        </w:rPr>
        <w:t xml:space="preserve"> the E</w:t>
      </w:r>
      <w:r w:rsidR="0075370F" w:rsidRPr="000251E3">
        <w:rPr>
          <w:b/>
          <w:sz w:val="28"/>
          <w:szCs w:val="28"/>
        </w:rPr>
        <w:t xml:space="preserve">nd of the </w:t>
      </w:r>
      <w:proofErr w:type="spellStart"/>
      <w:r w:rsidR="0075370F" w:rsidRPr="000251E3">
        <w:rPr>
          <w:b/>
          <w:sz w:val="28"/>
          <w:szCs w:val="28"/>
        </w:rPr>
        <w:t>Linac</w:t>
      </w:r>
      <w:proofErr w:type="spellEnd"/>
    </w:p>
    <w:p w14:paraId="2B2934FE" w14:textId="77777777" w:rsidR="00FB733D" w:rsidRDefault="00FB733D" w:rsidP="000251E3">
      <w:pPr>
        <w:jc w:val="center"/>
        <w:rPr>
          <w:b/>
          <w:sz w:val="28"/>
          <w:szCs w:val="28"/>
        </w:rPr>
      </w:pPr>
    </w:p>
    <w:p w14:paraId="66E2AEDE" w14:textId="02213B55" w:rsidR="00FB733D" w:rsidRPr="00743C97" w:rsidRDefault="00743C97" w:rsidP="000251E3">
      <w:pPr>
        <w:jc w:val="center"/>
        <w:rPr>
          <w:i/>
          <w:szCs w:val="28"/>
        </w:rPr>
      </w:pPr>
      <w:r w:rsidRPr="00743C97">
        <w:rPr>
          <w:i/>
          <w:szCs w:val="28"/>
        </w:rPr>
        <w:t xml:space="preserve">A. </w:t>
      </w:r>
      <w:proofErr w:type="spellStart"/>
      <w:r w:rsidRPr="00743C97">
        <w:rPr>
          <w:i/>
          <w:szCs w:val="28"/>
        </w:rPr>
        <w:t>Apresyan</w:t>
      </w:r>
      <w:proofErr w:type="spellEnd"/>
      <w:r w:rsidR="00FB733D" w:rsidRPr="00743C97">
        <w:rPr>
          <w:i/>
          <w:szCs w:val="28"/>
        </w:rPr>
        <w:t xml:space="preserve">, D. Christian, </w:t>
      </w:r>
      <w:r w:rsidRPr="00743C97">
        <w:rPr>
          <w:i/>
          <w:szCs w:val="28"/>
        </w:rPr>
        <w:t xml:space="preserve">J. Freeman, </w:t>
      </w:r>
      <w:r w:rsidR="00036839" w:rsidRPr="00743C97">
        <w:rPr>
          <w:i/>
          <w:szCs w:val="28"/>
        </w:rPr>
        <w:t xml:space="preserve">R. Lipton, </w:t>
      </w:r>
      <w:r w:rsidR="00FB733D" w:rsidRPr="00743C97">
        <w:rPr>
          <w:i/>
          <w:szCs w:val="28"/>
        </w:rPr>
        <w:t>P. Merkel</w:t>
      </w:r>
      <w:r w:rsidR="00036839" w:rsidRPr="00743C97">
        <w:rPr>
          <w:i/>
          <w:szCs w:val="28"/>
        </w:rPr>
        <w:t xml:space="preserve">, </w:t>
      </w:r>
      <w:r w:rsidRPr="00743C97">
        <w:rPr>
          <w:i/>
          <w:szCs w:val="28"/>
        </w:rPr>
        <w:t xml:space="preserve">A. Prosser, </w:t>
      </w:r>
      <w:proofErr w:type="spellStart"/>
      <w:r w:rsidR="00036839" w:rsidRPr="00743C97">
        <w:rPr>
          <w:i/>
          <w:szCs w:val="28"/>
        </w:rPr>
        <w:t>E.Ramberg</w:t>
      </w:r>
      <w:proofErr w:type="spellEnd"/>
      <w:r w:rsidR="00036839" w:rsidRPr="00743C97">
        <w:rPr>
          <w:i/>
          <w:szCs w:val="28"/>
        </w:rPr>
        <w:t xml:space="preserve">, M. </w:t>
      </w:r>
      <w:proofErr w:type="spellStart"/>
      <w:r w:rsidR="00036839" w:rsidRPr="00743C97">
        <w:rPr>
          <w:i/>
          <w:szCs w:val="28"/>
        </w:rPr>
        <w:t>Rominsky</w:t>
      </w:r>
      <w:proofErr w:type="spellEnd"/>
      <w:r w:rsidR="00036839" w:rsidRPr="00743C97">
        <w:rPr>
          <w:i/>
          <w:szCs w:val="28"/>
        </w:rPr>
        <w:t xml:space="preserve">, </w:t>
      </w:r>
      <w:r w:rsidRPr="00743C97">
        <w:rPr>
          <w:i/>
          <w:szCs w:val="28"/>
        </w:rPr>
        <w:t xml:space="preserve">V. </w:t>
      </w:r>
      <w:proofErr w:type="spellStart"/>
      <w:r w:rsidRPr="00743C97">
        <w:rPr>
          <w:i/>
          <w:szCs w:val="28"/>
        </w:rPr>
        <w:t>Rusu</w:t>
      </w:r>
      <w:proofErr w:type="spellEnd"/>
      <w:r w:rsidRPr="00743C97">
        <w:rPr>
          <w:i/>
          <w:szCs w:val="28"/>
        </w:rPr>
        <w:t xml:space="preserve">, </w:t>
      </w:r>
      <w:r w:rsidR="00036839" w:rsidRPr="00743C97">
        <w:rPr>
          <w:i/>
          <w:szCs w:val="28"/>
        </w:rPr>
        <w:t xml:space="preserve">R. </w:t>
      </w:r>
      <w:proofErr w:type="spellStart"/>
      <w:r w:rsidR="00036839" w:rsidRPr="00743C97">
        <w:rPr>
          <w:i/>
          <w:szCs w:val="28"/>
        </w:rPr>
        <w:t>Tesarek</w:t>
      </w:r>
      <w:proofErr w:type="spellEnd"/>
      <w:r w:rsidR="00036839" w:rsidRPr="00743C97">
        <w:rPr>
          <w:i/>
          <w:szCs w:val="28"/>
        </w:rPr>
        <w:t xml:space="preserve">, R. </w:t>
      </w:r>
      <w:proofErr w:type="spellStart"/>
      <w:r w:rsidR="00036839" w:rsidRPr="00743C97">
        <w:rPr>
          <w:i/>
          <w:szCs w:val="28"/>
        </w:rPr>
        <w:t>Tschirhart</w:t>
      </w:r>
      <w:proofErr w:type="spellEnd"/>
      <w:r w:rsidRPr="00743C97">
        <w:rPr>
          <w:i/>
          <w:szCs w:val="28"/>
        </w:rPr>
        <w:t xml:space="preserve">, L. </w:t>
      </w:r>
      <w:proofErr w:type="spellStart"/>
      <w:r w:rsidRPr="00743C97">
        <w:rPr>
          <w:i/>
          <w:szCs w:val="28"/>
        </w:rPr>
        <w:t>Uplegger</w:t>
      </w:r>
      <w:proofErr w:type="spellEnd"/>
    </w:p>
    <w:p w14:paraId="51533682" w14:textId="77777777" w:rsidR="000251E3" w:rsidRPr="000251E3" w:rsidRDefault="000251E3" w:rsidP="000251E3">
      <w:pPr>
        <w:jc w:val="center"/>
        <w:rPr>
          <w:b/>
          <w:sz w:val="28"/>
          <w:szCs w:val="28"/>
        </w:rPr>
      </w:pPr>
    </w:p>
    <w:p w14:paraId="09B6F233" w14:textId="6FEB8FCC" w:rsidR="00387595" w:rsidRPr="000251E3" w:rsidRDefault="00BB7C11" w:rsidP="000251E3">
      <w:pPr>
        <w:jc w:val="center"/>
        <w:rPr>
          <w:b/>
        </w:rPr>
      </w:pPr>
      <w:r>
        <w:rPr>
          <w:b/>
          <w:sz w:val="28"/>
          <w:szCs w:val="28"/>
        </w:rPr>
        <w:t xml:space="preserve">13 </w:t>
      </w:r>
      <w:proofErr w:type="gramStart"/>
      <w:r>
        <w:rPr>
          <w:b/>
          <w:sz w:val="28"/>
          <w:szCs w:val="28"/>
        </w:rPr>
        <w:t>September</w:t>
      </w:r>
      <w:r w:rsidR="00387595" w:rsidRPr="000251E3">
        <w:rPr>
          <w:b/>
          <w:sz w:val="28"/>
          <w:szCs w:val="28"/>
        </w:rPr>
        <w:t>,</w:t>
      </w:r>
      <w:proofErr w:type="gramEnd"/>
      <w:r w:rsidR="00387595" w:rsidRPr="000251E3">
        <w:rPr>
          <w:b/>
          <w:sz w:val="28"/>
          <w:szCs w:val="28"/>
        </w:rPr>
        <w:t xml:space="preserve"> 2017</w:t>
      </w:r>
    </w:p>
    <w:p w14:paraId="4A7638C9" w14:textId="77777777" w:rsidR="0075370F" w:rsidRDefault="0075370F" w:rsidP="000251E3">
      <w:pPr>
        <w:jc w:val="both"/>
      </w:pPr>
    </w:p>
    <w:p w14:paraId="346D61F1" w14:textId="77777777" w:rsidR="00387595" w:rsidRPr="000251E3" w:rsidRDefault="00387595" w:rsidP="000251E3">
      <w:pPr>
        <w:jc w:val="both"/>
        <w:rPr>
          <w:b/>
        </w:rPr>
      </w:pPr>
      <w:r w:rsidRPr="000251E3">
        <w:rPr>
          <w:b/>
        </w:rPr>
        <w:t>Introduction</w:t>
      </w:r>
    </w:p>
    <w:p w14:paraId="63533C1B" w14:textId="77777777" w:rsidR="00387595" w:rsidRDefault="00387595" w:rsidP="000251E3">
      <w:pPr>
        <w:jc w:val="both"/>
      </w:pPr>
    </w:p>
    <w:p w14:paraId="0B35C4AF" w14:textId="3AF867DE" w:rsidR="0074236A" w:rsidRPr="00D961F3" w:rsidRDefault="0074236A" w:rsidP="000251E3">
      <w:pPr>
        <w:jc w:val="both"/>
      </w:pPr>
      <w:r>
        <w:t xml:space="preserve">As particle beams become ever more intense, creating detectors that can withstand these high radiation environments becomes extremely challenging. As an example, over the lifetime of the next set </w:t>
      </w:r>
      <w:proofErr w:type="gramStart"/>
      <w:r w:rsidR="00D961F3">
        <w:t>of  CMS</w:t>
      </w:r>
      <w:proofErr w:type="gramEnd"/>
      <w:r w:rsidR="00D961F3">
        <w:t xml:space="preserve"> </w:t>
      </w:r>
      <w:r>
        <w:t>upgrade detectors</w:t>
      </w:r>
      <w:r w:rsidR="00D961F3">
        <w:t>, the flux going through them will reach 10</w:t>
      </w:r>
      <w:r w:rsidR="00D961F3">
        <w:rPr>
          <w:vertAlign w:val="superscript"/>
        </w:rPr>
        <w:t>16</w:t>
      </w:r>
      <w:r w:rsidR="00D961F3">
        <w:t xml:space="preserve"> per cm</w:t>
      </w:r>
      <w:r w:rsidR="00D961F3">
        <w:rPr>
          <w:vertAlign w:val="superscript"/>
        </w:rPr>
        <w:t>2</w:t>
      </w:r>
      <w:r w:rsidR="00D961F3">
        <w:t xml:space="preserve">, or about 5 </w:t>
      </w:r>
      <w:proofErr w:type="spellStart"/>
      <w:r w:rsidR="00D961F3">
        <w:t>MGy</w:t>
      </w:r>
      <w:proofErr w:type="spellEnd"/>
      <w:r w:rsidR="00D961F3">
        <w:t xml:space="preserve">. </w:t>
      </w:r>
      <w:r w:rsidR="00D83342">
        <w:t xml:space="preserve">Proton flux near neutrino targets is far greater. </w:t>
      </w:r>
      <w:r w:rsidR="00D961F3">
        <w:t xml:space="preserve">It is </w:t>
      </w:r>
      <w:r w:rsidR="00D83342">
        <w:t xml:space="preserve">widely agreed that there is a dearth of locations in the U.S. where samples of detectors can be irradiated with a </w:t>
      </w:r>
      <w:proofErr w:type="gramStart"/>
      <w:r w:rsidR="00D83342">
        <w:t>high energy</w:t>
      </w:r>
      <w:proofErr w:type="gramEnd"/>
      <w:r w:rsidR="00D83342">
        <w:t xml:space="preserve"> proton beam up to these levels. There are no facilities that can provide irradiation followed by testing in a low flux test beam.  </w:t>
      </w:r>
      <w:proofErr w:type="spellStart"/>
      <w:r w:rsidR="00D83342">
        <w:t>Fermilab</w:t>
      </w:r>
      <w:proofErr w:type="spellEnd"/>
      <w:r w:rsidR="00D83342">
        <w:t xml:space="preserve"> has </w:t>
      </w:r>
      <w:r w:rsidR="00387595">
        <w:t>this</w:t>
      </w:r>
      <w:r w:rsidR="00952FCB">
        <w:t xml:space="preserve"> unique capability in the MTA </w:t>
      </w:r>
      <w:r w:rsidR="00D83342">
        <w:t xml:space="preserve">enclosure at the end of the </w:t>
      </w:r>
      <w:proofErr w:type="spellStart"/>
      <w:r w:rsidR="00D83342">
        <w:t>Linac</w:t>
      </w:r>
      <w:proofErr w:type="spellEnd"/>
      <w:r w:rsidR="00D83342">
        <w:t xml:space="preserve">, combined with the </w:t>
      </w:r>
      <w:proofErr w:type="spellStart"/>
      <w:r w:rsidR="00D83342">
        <w:t>Fermilab</w:t>
      </w:r>
      <w:proofErr w:type="spellEnd"/>
      <w:r w:rsidR="00D83342">
        <w:t xml:space="preserve"> Test Beam Facility (FTBF).</w:t>
      </w:r>
      <w:r w:rsidR="005E528C">
        <w:t xml:space="preserve">  We propose that </w:t>
      </w:r>
      <w:proofErr w:type="spellStart"/>
      <w:r w:rsidR="005E528C">
        <w:t>Fermilab</w:t>
      </w:r>
      <w:proofErr w:type="spellEnd"/>
      <w:r w:rsidR="005E528C">
        <w:t xml:space="preserve"> create an area called the “</w:t>
      </w:r>
      <w:r w:rsidR="00387595">
        <w:t>Irr</w:t>
      </w:r>
      <w:r w:rsidR="005E528C">
        <w:t>adiation Test Area”, or “</w:t>
      </w:r>
      <w:r w:rsidR="00387595">
        <w:t>I</w:t>
      </w:r>
      <w:r w:rsidR="005E528C">
        <w:t xml:space="preserve">TA”, in this enclosure. </w:t>
      </w:r>
      <w:proofErr w:type="gramStart"/>
      <w:r w:rsidR="005E528C">
        <w:t xml:space="preserve">It would be managed by the </w:t>
      </w:r>
      <w:r w:rsidR="00952FCB">
        <w:t>Test Beam Facilities department in PPD that oversees the FTBF</w:t>
      </w:r>
      <w:proofErr w:type="gramEnd"/>
      <w:r w:rsidR="00952FCB">
        <w:t>. As discussed below, there is a great need for irradiation tests for the next generation of detectors at LHC</w:t>
      </w:r>
      <w:r w:rsidR="000251E3">
        <w:t xml:space="preserve"> and we foresee the majority of runs in the ITA </w:t>
      </w:r>
      <w:r w:rsidR="00E928C3">
        <w:t xml:space="preserve">during the first year </w:t>
      </w:r>
      <w:r w:rsidR="000251E3">
        <w:t>would be for the LHC program</w:t>
      </w:r>
      <w:r w:rsidR="00952FCB">
        <w:t>. W</w:t>
      </w:r>
      <w:r w:rsidR="005E528C">
        <w:t xml:space="preserve">e would </w:t>
      </w:r>
      <w:r w:rsidR="00952FCB">
        <w:t>coordinate with other U.S. institutions that are already making plans for irradiation tests at lower energies. I</w:t>
      </w:r>
      <w:r w:rsidR="005E528C">
        <w:t>f this model works</w:t>
      </w:r>
      <w:r w:rsidR="00952FCB">
        <w:t>,</w:t>
      </w:r>
      <w:r w:rsidR="005E528C">
        <w:t xml:space="preserve"> we co</w:t>
      </w:r>
      <w:r w:rsidR="00952FCB">
        <w:t xml:space="preserve">uld expand its usage to support other </w:t>
      </w:r>
      <w:r w:rsidR="000251E3">
        <w:t>research, beyond the LHC.</w:t>
      </w:r>
      <w:r w:rsidR="00FE29A9">
        <w:t xml:space="preserve"> </w:t>
      </w:r>
      <w:proofErr w:type="gramStart"/>
      <w:r w:rsidR="00FE29A9">
        <w:t xml:space="preserve">We have been contacted by the </w:t>
      </w:r>
      <w:proofErr w:type="spellStart"/>
      <w:r w:rsidR="00FE29A9">
        <w:t>sPHENIX</w:t>
      </w:r>
      <w:proofErr w:type="spellEnd"/>
      <w:r w:rsidR="00FE29A9">
        <w:t xml:space="preserve"> group at Brookhaven to assess our irradiation options</w:t>
      </w:r>
      <w:proofErr w:type="gramEnd"/>
      <w:r w:rsidR="00FE29A9">
        <w:t xml:space="preserve">. </w:t>
      </w:r>
    </w:p>
    <w:p w14:paraId="2E9696CA" w14:textId="77777777" w:rsidR="0075370F" w:rsidRDefault="0075370F" w:rsidP="000251E3">
      <w:pPr>
        <w:jc w:val="both"/>
      </w:pPr>
    </w:p>
    <w:p w14:paraId="3132F35B" w14:textId="2819B19B" w:rsidR="004A21FE" w:rsidRPr="000251E3" w:rsidRDefault="004A21FE" w:rsidP="000251E3">
      <w:pPr>
        <w:jc w:val="both"/>
        <w:rPr>
          <w:b/>
        </w:rPr>
      </w:pPr>
      <w:r w:rsidRPr="000251E3">
        <w:rPr>
          <w:b/>
        </w:rPr>
        <w:t>Need for ITA by CMS:</w:t>
      </w:r>
    </w:p>
    <w:p w14:paraId="0AAEA7F4" w14:textId="77777777" w:rsidR="004A21FE" w:rsidRDefault="004A21FE" w:rsidP="000251E3">
      <w:pPr>
        <w:jc w:val="both"/>
      </w:pPr>
    </w:p>
    <w:p w14:paraId="0503E377" w14:textId="2D06AC29" w:rsidR="004A21FE" w:rsidRDefault="004A21FE" w:rsidP="000251E3">
      <w:pPr>
        <w:jc w:val="both"/>
      </w:pPr>
      <w:r>
        <w:t xml:space="preserve">The HL-LHC upgrades will require an extensive program of irradiation and detector validation.  The inner trackers for CMS and ATLAS expect integrated </w:t>
      </w:r>
      <w:proofErr w:type="spellStart"/>
      <w:r>
        <w:t>fluences</w:t>
      </w:r>
      <w:proofErr w:type="spellEnd"/>
      <w:r>
        <w:t xml:space="preserve"> of &gt;10</w:t>
      </w:r>
      <w:r w:rsidRPr="00B14B22">
        <w:rPr>
          <w:vertAlign w:val="superscript"/>
        </w:rPr>
        <w:t>16</w:t>
      </w:r>
      <w:r>
        <w:t xml:space="preserve"> neuron-equivalent/cm</w:t>
      </w:r>
      <w:r w:rsidRPr="00B14B22">
        <w:rPr>
          <w:vertAlign w:val="superscript"/>
        </w:rPr>
        <w:t>2</w:t>
      </w:r>
      <w:r>
        <w:t xml:space="preserve">. This is more than an order of magnitude larger than </w:t>
      </w:r>
      <w:r w:rsidR="000251E3">
        <w:t xml:space="preserve">for </w:t>
      </w:r>
      <w:r>
        <w:t xml:space="preserve">the current trackers.  The CMS High Granularity Calorimeter (HGC) will </w:t>
      </w:r>
      <w:r w:rsidR="000251E3">
        <w:t xml:space="preserve">be </w:t>
      </w:r>
      <w:r>
        <w:t xml:space="preserve">exposed to </w:t>
      </w:r>
      <w:proofErr w:type="spellStart"/>
      <w:r>
        <w:t>fluences</w:t>
      </w:r>
      <w:proofErr w:type="spellEnd"/>
      <w:r>
        <w:t xml:space="preserve"> in the 10</w:t>
      </w:r>
      <w:r w:rsidRPr="00B14B22">
        <w:rPr>
          <w:vertAlign w:val="superscript"/>
        </w:rPr>
        <w:t>14</w:t>
      </w:r>
      <w:r>
        <w:t>-10</w:t>
      </w:r>
      <w:r w:rsidRPr="00B14B22">
        <w:rPr>
          <w:vertAlign w:val="superscript"/>
        </w:rPr>
        <w:t>16</w:t>
      </w:r>
      <w:r>
        <w:t xml:space="preserve"> </w:t>
      </w:r>
      <w:proofErr w:type="gramStart"/>
      <w:r>
        <w:t>range</w:t>
      </w:r>
      <w:proofErr w:type="gramEnd"/>
      <w:r>
        <w:t>, requiring various levels of radiation hardness. One goal of an irradiation program is to match the detector design to the projected dose to minimize the overall cost of these detectors by only using the more expensive thin, n-on-p detectors where they are needed.</w:t>
      </w:r>
    </w:p>
    <w:p w14:paraId="0139FAD7" w14:textId="77777777" w:rsidR="004A21FE" w:rsidRDefault="004A21FE" w:rsidP="000251E3">
      <w:pPr>
        <w:jc w:val="both"/>
      </w:pPr>
    </w:p>
    <w:p w14:paraId="2858BCD5" w14:textId="688BA478" w:rsidR="004A21FE" w:rsidRDefault="004A21FE" w:rsidP="000251E3">
      <w:pPr>
        <w:jc w:val="both"/>
      </w:pPr>
      <w:r>
        <w:t>The CMS HGC will use 8” silicon wafers. These large area wafers, which have not yet been used for a HEP experiment, can significantly reduce costs for large area devices such as the CMS HGC (600 m</w:t>
      </w:r>
      <w:r w:rsidRPr="002A2D73">
        <w:rPr>
          <w:vertAlign w:val="superscript"/>
        </w:rPr>
        <w:t>2</w:t>
      </w:r>
      <w:r>
        <w:t xml:space="preserve">). However, foundries are designed to handle full thickness wafers (725 microns), whereas radiation hardness requires thin active </w:t>
      </w:r>
      <w:r>
        <w:lastRenderedPageBreak/>
        <w:t>silicon layers (100-300 microns).  This thinning</w:t>
      </w:r>
      <w:r w:rsidR="00FE29A9">
        <w:t xml:space="preserve"> </w:t>
      </w:r>
      <w:r>
        <w:t>will require new fabrication techniques and materials. There are similar issues for the tracker as well as the Low Gain Avalanche Diodes (LGADs) proposed for the CMS and ATLAS timing layers.</w:t>
      </w:r>
    </w:p>
    <w:p w14:paraId="6F511018" w14:textId="77777777" w:rsidR="004A21FE" w:rsidRDefault="004A21FE" w:rsidP="000251E3">
      <w:pPr>
        <w:jc w:val="both"/>
      </w:pPr>
    </w:p>
    <w:p w14:paraId="13E35076" w14:textId="77777777" w:rsidR="004A21FE" w:rsidRDefault="004A21FE" w:rsidP="000251E3">
      <w:pPr>
        <w:jc w:val="both"/>
      </w:pPr>
      <w:r>
        <w:t xml:space="preserve">All of the sensors and associated electronics will need to be validated for the full range of </w:t>
      </w:r>
      <w:proofErr w:type="spellStart"/>
      <w:r>
        <w:t>fluences</w:t>
      </w:r>
      <w:proofErr w:type="spellEnd"/>
      <w:r>
        <w:t xml:space="preserve">. </w:t>
      </w:r>
      <w:r w:rsidRPr="009742B4">
        <w:t>For example</w:t>
      </w:r>
      <w:r>
        <w:t>,</w:t>
      </w:r>
      <w:r w:rsidRPr="009742B4">
        <w:t xml:space="preserve"> n-on-p sensors are expected to be more radiation hard, but are more expensive to fabricate. Similarly, devices with thinner active areas are expected to be more radiation hard than</w:t>
      </w:r>
      <w:r>
        <w:t xml:space="preserve"> thicker devices, but these de</w:t>
      </w:r>
      <w:r w:rsidRPr="009742B4">
        <w:t>vices require special processing to produce either physically thin wafers or devices with thin high resistivity acti</w:t>
      </w:r>
      <w:r>
        <w:t>ve area stacked on lower resis</w:t>
      </w:r>
      <w:r w:rsidRPr="009742B4">
        <w:t>tivity material. Examples of this are deep diffused silicon, Silicon-on- Insulator (SOI), and Silicon-Silicon bonded wafers.</w:t>
      </w:r>
      <w:r w:rsidRPr="003627EB">
        <w:t xml:space="preserve"> </w:t>
      </w:r>
      <w:r>
        <w:t>Many of these technologies have not yet been validated for the full range of radiation doses.</w:t>
      </w:r>
      <w:r w:rsidRPr="009742B4">
        <w:t xml:space="preserve"> Therefore we will need to test and qualify candidate sensors from several different vendors with several process variants, thicknesses, design rul</w:t>
      </w:r>
      <w:r>
        <w:t xml:space="preserve">es, and substrates. In addition, </w:t>
      </w:r>
      <w:r w:rsidRPr="009742B4">
        <w:t xml:space="preserve">we want to match dose and </w:t>
      </w:r>
      <w:proofErr w:type="spellStart"/>
      <w:r w:rsidRPr="009742B4">
        <w:t>fluence</w:t>
      </w:r>
      <w:proofErr w:type="spellEnd"/>
      <w:r w:rsidRPr="009742B4">
        <w:t xml:space="preserve"> to region of the detector. </w:t>
      </w:r>
    </w:p>
    <w:p w14:paraId="051E18DF" w14:textId="77777777" w:rsidR="00E928C3" w:rsidRDefault="00E928C3" w:rsidP="000251E3">
      <w:pPr>
        <w:jc w:val="both"/>
      </w:pPr>
    </w:p>
    <w:p w14:paraId="4C674AB7" w14:textId="77777777" w:rsidR="008471B3" w:rsidRPr="001F4E4D" w:rsidRDefault="008471B3" w:rsidP="008471B3">
      <w:pPr>
        <w:jc w:val="both"/>
        <w:rPr>
          <w:b/>
        </w:rPr>
      </w:pPr>
      <w:r w:rsidRPr="001F4E4D">
        <w:rPr>
          <w:b/>
        </w:rPr>
        <w:t>FTBF Test Beams</w:t>
      </w:r>
    </w:p>
    <w:p w14:paraId="31AA1B22" w14:textId="77777777" w:rsidR="008471B3" w:rsidRDefault="008471B3" w:rsidP="008471B3">
      <w:pPr>
        <w:jc w:val="both"/>
      </w:pPr>
    </w:p>
    <w:p w14:paraId="52F7F280" w14:textId="61F6CAFF" w:rsidR="008471B3" w:rsidRDefault="008471B3" w:rsidP="008471B3">
      <w:pPr>
        <w:jc w:val="both"/>
      </w:pPr>
      <w:r>
        <w:t xml:space="preserve">Coupled to this powerful irradiation capabilities is the unique </w:t>
      </w:r>
      <w:proofErr w:type="spellStart"/>
      <w:r>
        <w:t>Fermilab</w:t>
      </w:r>
      <w:proofErr w:type="spellEnd"/>
      <w:r>
        <w:t xml:space="preserve"> Test Beam Facility (FTBF), which can then handle irradiated samples and measure their efficiencies. </w:t>
      </w:r>
      <w:r w:rsidR="00FE29A9">
        <w:t xml:space="preserve">The CMS test beam group T992 has pioneered the procedures for handling irradiated sensors at FTBF. They work very closely with the radiation technicians to bring the samples back on site. There is a refrigerator next to the radioactive source box, providing separation from the rest of the facility. In addition, the ATLAS test beam experiments carried out at FTBF have followed the same procedures of communicating with the radiation technicians here. </w:t>
      </w:r>
    </w:p>
    <w:p w14:paraId="143C0CEA" w14:textId="77777777" w:rsidR="00E928C3" w:rsidRPr="00E928C3" w:rsidRDefault="00E928C3" w:rsidP="000251E3">
      <w:pPr>
        <w:jc w:val="both"/>
      </w:pPr>
    </w:p>
    <w:p w14:paraId="7A762B02" w14:textId="77777777" w:rsidR="00E928C3" w:rsidRDefault="00E928C3" w:rsidP="000251E3">
      <w:pPr>
        <w:jc w:val="both"/>
        <w:rPr>
          <w:b/>
        </w:rPr>
      </w:pPr>
    </w:p>
    <w:p w14:paraId="7CBF4F3D" w14:textId="586E05EA" w:rsidR="004A21FE" w:rsidRPr="000251E3" w:rsidRDefault="004A21FE" w:rsidP="000251E3">
      <w:pPr>
        <w:jc w:val="both"/>
        <w:rPr>
          <w:b/>
        </w:rPr>
      </w:pPr>
      <w:proofErr w:type="gramStart"/>
      <w:r w:rsidRPr="000251E3">
        <w:rPr>
          <w:b/>
        </w:rPr>
        <w:t>Other facilities in the U.S.</w:t>
      </w:r>
      <w:proofErr w:type="gramEnd"/>
    </w:p>
    <w:p w14:paraId="524FBF62" w14:textId="77777777" w:rsidR="004A21FE" w:rsidRDefault="004A21FE" w:rsidP="000251E3">
      <w:pPr>
        <w:jc w:val="both"/>
      </w:pPr>
    </w:p>
    <w:p w14:paraId="17226CAE" w14:textId="6ABA821D" w:rsidR="004A21FE" w:rsidRDefault="00E928C3" w:rsidP="000251E3">
      <w:pPr>
        <w:jc w:val="both"/>
      </w:pPr>
      <w:r>
        <w:t xml:space="preserve">The requirements for radiation hardness in LHC </w:t>
      </w:r>
      <w:proofErr w:type="gramStart"/>
      <w:r>
        <w:t>detectors</w:t>
      </w:r>
      <w:r w:rsidR="004A21FE">
        <w:t xml:space="preserve"> adds</w:t>
      </w:r>
      <w:proofErr w:type="gramEnd"/>
      <w:r w:rsidR="004A21FE">
        <w:t xml:space="preserve"> up to a very substantial radiation verification program, with over 100 individual exposures needed.  At the moment there are no facilities in the US that can support the range of this work. The 800 MeV pion beam at Los Alamos supports limited irradiations and provides a valuable service. However, there are limitations to availability and access:</w:t>
      </w:r>
    </w:p>
    <w:p w14:paraId="1EAFFCD8" w14:textId="77777777" w:rsidR="004A21FE" w:rsidRDefault="004A21FE" w:rsidP="000251E3">
      <w:pPr>
        <w:ind w:left="720"/>
        <w:jc w:val="both"/>
      </w:pPr>
      <w:r>
        <w:t>“</w:t>
      </w:r>
      <w:r w:rsidRPr="00263BA3">
        <w:t>Typically the UNM group submits a proposal on behalf of ourselves and 5-10 collaborating institutions for two proton exposures of about 2 ×1016 p/cm2 each, scheduled for July and December. This translates to about 72 hours of beam twice per year. Because of the small beam diameter, these runs are typically oriented toward silicon and diamond sensors, tracking modules, electronics chips, and small mechanical samples.</w:t>
      </w:r>
      <w:r>
        <w:t>”</w:t>
      </w:r>
    </w:p>
    <w:p w14:paraId="6083B5B2" w14:textId="671A6B29" w:rsidR="004A21FE" w:rsidRDefault="004A21FE" w:rsidP="000251E3">
      <w:pPr>
        <w:jc w:val="both"/>
      </w:pPr>
      <w:r>
        <w:t xml:space="preserve">This availability is not adequate for the rigorous radiation testing required for HL-LHC. The CMS HGC group is commissioning </w:t>
      </w:r>
      <w:proofErr w:type="gramStart"/>
      <w:r>
        <w:t xml:space="preserve">the 17 MeV proton </w:t>
      </w:r>
      <w:proofErr w:type="spellStart"/>
      <w:r>
        <w:t>linac</w:t>
      </w:r>
      <w:proofErr w:type="spellEnd"/>
      <w:r>
        <w:t xml:space="preserve"> at Florida State University for use as an irradiation facility,</w:t>
      </w:r>
      <w:proofErr w:type="gramEnd"/>
      <w:r>
        <w:t xml:space="preserve"> but this does not have the optimal </w:t>
      </w:r>
      <w:r>
        <w:lastRenderedPageBreak/>
        <w:t xml:space="preserve">energy and </w:t>
      </w:r>
      <w:r w:rsidR="00701F56">
        <w:t>has</w:t>
      </w:r>
      <w:r>
        <w:t xml:space="preserve"> limited access and availability. We have established that the facilities at TRIUMF are not adequate for these high doses.</w:t>
      </w:r>
    </w:p>
    <w:p w14:paraId="005F0AF9" w14:textId="77777777" w:rsidR="000251E3" w:rsidRDefault="000251E3" w:rsidP="000251E3">
      <w:pPr>
        <w:jc w:val="both"/>
      </w:pPr>
    </w:p>
    <w:p w14:paraId="59349B97" w14:textId="6477953B" w:rsidR="000251E3" w:rsidRDefault="000251E3" w:rsidP="000251E3">
      <w:pPr>
        <w:jc w:val="both"/>
      </w:pPr>
      <w:r>
        <w:t xml:space="preserve">Just recently, there has been a call to set up irradiation facilities at Argonne National Laboratory. This </w:t>
      </w:r>
      <w:r w:rsidR="00654553">
        <w:t>would be in the</w:t>
      </w:r>
      <w:r>
        <w:t xml:space="preserve"> ‘LEAF’, or Low Energy Accelerator Facility. </w:t>
      </w:r>
      <w:r w:rsidR="001F4E4D">
        <w:t xml:space="preserve">A 55 MeV electron beam would be available, as well as a 1-3 MeV gamma source yielding up to 100 </w:t>
      </w:r>
      <w:proofErr w:type="spellStart"/>
      <w:r w:rsidR="001F4E4D">
        <w:t>MRad</w:t>
      </w:r>
      <w:proofErr w:type="spellEnd"/>
      <w:r w:rsidR="001F4E4D">
        <w:t xml:space="preserve"> dose. From this gamma facility a photonuclear induced</w:t>
      </w:r>
      <w:r>
        <w:t xml:space="preserve"> neutron beam capability would exist, with beam averaging about 0.5 MeV and </w:t>
      </w:r>
      <w:proofErr w:type="spellStart"/>
      <w:r>
        <w:t>fluence</w:t>
      </w:r>
      <w:proofErr w:type="spellEnd"/>
      <w:r>
        <w:t xml:space="preserve"> of about 8E11 per second per cm</w:t>
      </w:r>
      <w:r w:rsidR="001F4E4D">
        <w:rPr>
          <w:vertAlign w:val="superscript"/>
        </w:rPr>
        <w:t>2</w:t>
      </w:r>
      <w:r w:rsidR="001F4E4D">
        <w:t xml:space="preserve">. Having these lower energy, high flux beams available for detector irradiation, in conjunction with the FTBF testing area </w:t>
      </w:r>
      <w:r w:rsidR="004D7766">
        <w:t xml:space="preserve">and a new 400 MeV irradiation area </w:t>
      </w:r>
      <w:r w:rsidR="001F4E4D">
        <w:t xml:space="preserve">at </w:t>
      </w:r>
      <w:proofErr w:type="spellStart"/>
      <w:r w:rsidR="001F4E4D">
        <w:t>Fermilab</w:t>
      </w:r>
      <w:proofErr w:type="spellEnd"/>
      <w:r w:rsidR="001F4E4D">
        <w:t xml:space="preserve">, will make the </w:t>
      </w:r>
      <w:r w:rsidR="00701F56">
        <w:t>Chicago region</w:t>
      </w:r>
      <w:r w:rsidR="001F4E4D">
        <w:t xml:space="preserve"> a </w:t>
      </w:r>
      <w:proofErr w:type="gramStart"/>
      <w:r w:rsidR="004D7766">
        <w:t xml:space="preserve">powerful  </w:t>
      </w:r>
      <w:r w:rsidR="001F4E4D">
        <w:t>hub</w:t>
      </w:r>
      <w:proofErr w:type="gramEnd"/>
      <w:r w:rsidR="001F4E4D">
        <w:t xml:space="preserve"> for this kind of activity.</w:t>
      </w:r>
    </w:p>
    <w:p w14:paraId="101E779E" w14:textId="77777777" w:rsidR="00E928C3" w:rsidRDefault="00E928C3" w:rsidP="000251E3">
      <w:pPr>
        <w:jc w:val="both"/>
        <w:rPr>
          <w:b/>
        </w:rPr>
      </w:pPr>
    </w:p>
    <w:p w14:paraId="705E746F" w14:textId="57CEA715" w:rsidR="0090482A" w:rsidRPr="001F4E4D" w:rsidRDefault="008471B3" w:rsidP="000251E3">
      <w:pPr>
        <w:jc w:val="both"/>
        <w:rPr>
          <w:b/>
        </w:rPr>
      </w:pPr>
      <w:r>
        <w:rPr>
          <w:b/>
        </w:rPr>
        <w:t>A Description of the MTA</w:t>
      </w:r>
    </w:p>
    <w:p w14:paraId="0FB93B66" w14:textId="77777777" w:rsidR="0090482A" w:rsidRDefault="0090482A" w:rsidP="000251E3">
      <w:pPr>
        <w:jc w:val="both"/>
      </w:pPr>
    </w:p>
    <w:p w14:paraId="75D20FE9" w14:textId="0B7A1BBA" w:rsidR="001575F1" w:rsidRDefault="0090482A" w:rsidP="000251E3">
      <w:pPr>
        <w:jc w:val="both"/>
      </w:pPr>
      <w:r>
        <w:t>The beam enclosure designated “</w:t>
      </w:r>
      <w:proofErr w:type="spellStart"/>
      <w:r>
        <w:t>Muon</w:t>
      </w:r>
      <w:proofErr w:type="spellEnd"/>
      <w:r>
        <w:t xml:space="preserve"> Test Accelerator” or “MTA” – is located at the end of the linear accelerator (LINAC), wh</w:t>
      </w:r>
      <w:r w:rsidR="00EB1003">
        <w:t xml:space="preserve">ere a beam of </w:t>
      </w:r>
      <w:r>
        <w:t>400 MeV</w:t>
      </w:r>
      <w:r w:rsidR="00EB1003">
        <w:t xml:space="preserve"> energy</w:t>
      </w:r>
      <w:r>
        <w:t xml:space="preserve"> </w:t>
      </w:r>
      <w:r w:rsidR="00EB1003">
        <w:t xml:space="preserve">H- ions </w:t>
      </w:r>
      <w:r>
        <w:t>can be switched away from the trajectory that would no</w:t>
      </w:r>
      <w:r w:rsidR="001575F1">
        <w:t>rmally take them</w:t>
      </w:r>
      <w:r w:rsidR="00EB1003">
        <w:t xml:space="preserve"> into the Booster after </w:t>
      </w:r>
      <w:r w:rsidR="00E928C3">
        <w:t>stripping</w:t>
      </w:r>
      <w:r w:rsidR="00EB1003">
        <w:t xml:space="preserve"> away the electrons. </w:t>
      </w:r>
      <w:r w:rsidR="001575F1">
        <w:t xml:space="preserve"> The MTA enclosure is shown in Figure 1.</w:t>
      </w:r>
    </w:p>
    <w:p w14:paraId="09135D70" w14:textId="77777777" w:rsidR="00561EA8" w:rsidRDefault="00561EA8" w:rsidP="000251E3">
      <w:pPr>
        <w:jc w:val="both"/>
      </w:pPr>
    </w:p>
    <w:p w14:paraId="70CA444A" w14:textId="4B442782" w:rsidR="008471B3" w:rsidRPr="00AC44E4" w:rsidRDefault="008471B3" w:rsidP="000251E3">
      <w:pPr>
        <w:jc w:val="both"/>
        <w:rPr>
          <w:b/>
        </w:rPr>
      </w:pPr>
      <w:r w:rsidRPr="00AC44E4">
        <w:rPr>
          <w:b/>
        </w:rPr>
        <w:t>Beam Capabilities at MTA</w:t>
      </w:r>
    </w:p>
    <w:p w14:paraId="1AAAB7E8" w14:textId="77777777" w:rsidR="008471B3" w:rsidRDefault="008471B3" w:rsidP="000251E3">
      <w:pPr>
        <w:jc w:val="both"/>
        <w:rPr>
          <w:b/>
        </w:rPr>
      </w:pPr>
    </w:p>
    <w:p w14:paraId="37FB353A" w14:textId="77777777" w:rsidR="001D3BC5" w:rsidRPr="00AC44E4" w:rsidRDefault="001D3BC5" w:rsidP="000251E3">
      <w:pPr>
        <w:jc w:val="both"/>
        <w:rPr>
          <w:b/>
        </w:rPr>
      </w:pPr>
    </w:p>
    <w:p w14:paraId="1DC0C261" w14:textId="77777777" w:rsidR="001D3BC5" w:rsidRDefault="00561EA8" w:rsidP="000251E3">
      <w:pPr>
        <w:jc w:val="both"/>
      </w:pPr>
      <w:r>
        <w:t xml:space="preserve">The operational </w:t>
      </w:r>
      <w:proofErr w:type="gramStart"/>
      <w:r>
        <w:t xml:space="preserve">characteristics of the MTA </w:t>
      </w:r>
      <w:proofErr w:type="spellStart"/>
      <w:r>
        <w:t>beamline</w:t>
      </w:r>
      <w:proofErr w:type="spellEnd"/>
      <w:r>
        <w:t xml:space="preserve"> is</w:t>
      </w:r>
      <w:proofErr w:type="gramEnd"/>
      <w:r>
        <w:t xml:space="preserve"> given in reference 1. </w:t>
      </w:r>
      <w:r w:rsidR="001D3BC5">
        <w:t xml:space="preserve">A summary of beam parameters is shown in Table 1.  </w:t>
      </w:r>
    </w:p>
    <w:p w14:paraId="32190236" w14:textId="77777777" w:rsidR="00701F56" w:rsidRDefault="00701F56" w:rsidP="001D3BC5">
      <w:pPr>
        <w:spacing w:after="120"/>
        <w:jc w:val="both"/>
        <w:rPr>
          <w:b/>
        </w:rPr>
      </w:pPr>
      <w:bookmarkStart w:id="0" w:name="_Ref383959676"/>
    </w:p>
    <w:p w14:paraId="27758945" w14:textId="77777777" w:rsidR="001D3BC5" w:rsidRPr="00BD6836" w:rsidRDefault="001D3BC5" w:rsidP="001D3BC5">
      <w:pPr>
        <w:spacing w:after="120"/>
        <w:jc w:val="both"/>
        <w:rPr>
          <w:b/>
        </w:rPr>
      </w:pPr>
      <w:r w:rsidRPr="00BD6836">
        <w:rPr>
          <w:b/>
        </w:rPr>
        <w:t xml:space="preserve">Table </w:t>
      </w:r>
      <w:r w:rsidRPr="00BD6836">
        <w:rPr>
          <w:b/>
        </w:rPr>
        <w:fldChar w:fldCharType="begin"/>
      </w:r>
      <w:r w:rsidRPr="00BD6836">
        <w:rPr>
          <w:b/>
        </w:rPr>
        <w:instrText xml:space="preserve"> SEQ Table \* ARABIC </w:instrText>
      </w:r>
      <w:r w:rsidRPr="00BD6836">
        <w:rPr>
          <w:b/>
        </w:rPr>
        <w:fldChar w:fldCharType="separate"/>
      </w:r>
      <w:r>
        <w:rPr>
          <w:b/>
          <w:noProof/>
        </w:rPr>
        <w:t>1</w:t>
      </w:r>
      <w:r w:rsidRPr="00BD6836">
        <w:rPr>
          <w:b/>
          <w:noProof/>
        </w:rPr>
        <w:fldChar w:fldCharType="end"/>
      </w:r>
      <w:bookmarkEnd w:id="0"/>
      <w:r w:rsidRPr="00BD6836">
        <w:rPr>
          <w:b/>
          <w:noProof/>
        </w:rPr>
        <w:t>:</w:t>
      </w:r>
      <w:r w:rsidRPr="00BD6836">
        <w:rPr>
          <w:b/>
        </w:rPr>
        <w:t xml:space="preserve">  Beam parameters to be expected at the DUT (Device Under Test)</w:t>
      </w:r>
    </w:p>
    <w:tbl>
      <w:tblPr>
        <w:tblStyle w:val="TableGrid"/>
        <w:tblW w:w="7520" w:type="dxa"/>
        <w:jc w:val="center"/>
        <w:tblLook w:val="04A0" w:firstRow="1" w:lastRow="0" w:firstColumn="1" w:lastColumn="0" w:noHBand="0" w:noVBand="1"/>
      </w:tblPr>
      <w:tblGrid>
        <w:gridCol w:w="3780"/>
        <w:gridCol w:w="1870"/>
        <w:gridCol w:w="1870"/>
      </w:tblGrid>
      <w:tr w:rsidR="001D3BC5" w14:paraId="67EED3FC" w14:textId="77777777" w:rsidTr="001D3BC5">
        <w:trPr>
          <w:jc w:val="center"/>
        </w:trPr>
        <w:tc>
          <w:tcPr>
            <w:tcW w:w="3780" w:type="dxa"/>
            <w:tcBorders>
              <w:bottom w:val="double" w:sz="4" w:space="0" w:color="auto"/>
            </w:tcBorders>
          </w:tcPr>
          <w:p w14:paraId="631FDAC8" w14:textId="77777777" w:rsidR="001D3BC5" w:rsidRPr="00D9747E" w:rsidRDefault="001D3BC5" w:rsidP="001D3BC5">
            <w:pPr>
              <w:pStyle w:val="TableParagraph"/>
              <w:spacing w:line="228" w:lineRule="exact"/>
              <w:ind w:left="109"/>
              <w:rPr>
                <w:rFonts w:eastAsia="Times New Roman" w:cs="Arial"/>
                <w:b/>
                <w:bCs/>
                <w:sz w:val="24"/>
                <w:szCs w:val="24"/>
              </w:rPr>
            </w:pPr>
          </w:p>
          <w:p w14:paraId="581905C5" w14:textId="77777777" w:rsidR="001D3BC5" w:rsidRPr="00D9747E" w:rsidRDefault="001D3BC5" w:rsidP="001D3BC5">
            <w:pPr>
              <w:pStyle w:val="TableParagraph"/>
              <w:spacing w:line="228" w:lineRule="exact"/>
              <w:ind w:left="109"/>
              <w:rPr>
                <w:rFonts w:eastAsia="Times New Roman" w:cs="Arial"/>
                <w:sz w:val="24"/>
                <w:szCs w:val="24"/>
              </w:rPr>
            </w:pPr>
            <w:r w:rsidRPr="00D9747E">
              <w:rPr>
                <w:rFonts w:eastAsia="Times New Roman" w:cs="Arial"/>
                <w:b/>
                <w:bCs/>
                <w:sz w:val="24"/>
                <w:szCs w:val="24"/>
              </w:rPr>
              <w:t>Beam</w:t>
            </w:r>
            <w:r w:rsidRPr="00D9747E">
              <w:rPr>
                <w:rFonts w:eastAsia="Times New Roman" w:cs="Arial"/>
                <w:b/>
                <w:bCs/>
                <w:spacing w:val="-17"/>
                <w:sz w:val="24"/>
                <w:szCs w:val="24"/>
              </w:rPr>
              <w:t xml:space="preserve"> </w:t>
            </w:r>
            <w:r w:rsidRPr="00D9747E">
              <w:rPr>
                <w:rFonts w:eastAsia="Times New Roman" w:cs="Arial"/>
                <w:b/>
                <w:bCs/>
                <w:spacing w:val="-2"/>
                <w:sz w:val="24"/>
                <w:szCs w:val="24"/>
              </w:rPr>
              <w:t>S</w:t>
            </w:r>
            <w:r w:rsidRPr="00D9747E">
              <w:rPr>
                <w:rFonts w:eastAsia="Times New Roman" w:cs="Arial"/>
                <w:b/>
                <w:bCs/>
                <w:sz w:val="24"/>
                <w:szCs w:val="24"/>
              </w:rPr>
              <w:t>pecifi</w:t>
            </w:r>
            <w:r w:rsidRPr="00D9747E">
              <w:rPr>
                <w:rFonts w:eastAsia="Times New Roman" w:cs="Arial"/>
                <w:b/>
                <w:bCs/>
                <w:spacing w:val="-2"/>
                <w:sz w:val="24"/>
                <w:szCs w:val="24"/>
              </w:rPr>
              <w:t>c</w:t>
            </w:r>
            <w:r w:rsidRPr="00D9747E">
              <w:rPr>
                <w:rFonts w:eastAsia="Times New Roman" w:cs="Arial"/>
                <w:b/>
                <w:bCs/>
                <w:sz w:val="24"/>
                <w:szCs w:val="24"/>
              </w:rPr>
              <w:t>at</w:t>
            </w:r>
            <w:r w:rsidRPr="00D9747E">
              <w:rPr>
                <w:rFonts w:eastAsia="Times New Roman" w:cs="Arial"/>
                <w:b/>
                <w:bCs/>
                <w:spacing w:val="-2"/>
                <w:sz w:val="24"/>
                <w:szCs w:val="24"/>
              </w:rPr>
              <w:t>i</w:t>
            </w:r>
            <w:r w:rsidRPr="00D9747E">
              <w:rPr>
                <w:rFonts w:eastAsia="Times New Roman" w:cs="Arial"/>
                <w:b/>
                <w:bCs/>
                <w:sz w:val="24"/>
                <w:szCs w:val="24"/>
              </w:rPr>
              <w:t>ons</w:t>
            </w:r>
          </w:p>
        </w:tc>
        <w:tc>
          <w:tcPr>
            <w:tcW w:w="1870" w:type="dxa"/>
            <w:tcBorders>
              <w:bottom w:val="double" w:sz="4" w:space="0" w:color="auto"/>
            </w:tcBorders>
          </w:tcPr>
          <w:p w14:paraId="52FF2B9C" w14:textId="77777777" w:rsidR="001D3BC5" w:rsidRPr="00D9747E" w:rsidRDefault="001D3BC5" w:rsidP="001D3BC5">
            <w:pPr>
              <w:pStyle w:val="TableParagraph"/>
              <w:spacing w:line="228" w:lineRule="exact"/>
              <w:ind w:left="110"/>
              <w:jc w:val="right"/>
              <w:rPr>
                <w:rFonts w:eastAsia="Times New Roman" w:cs="Arial"/>
                <w:b/>
                <w:bCs/>
                <w:sz w:val="24"/>
                <w:szCs w:val="24"/>
              </w:rPr>
            </w:pPr>
          </w:p>
          <w:p w14:paraId="2238DFBB" w14:textId="77777777" w:rsidR="001D3BC5" w:rsidRPr="00D9747E" w:rsidRDefault="001D3BC5" w:rsidP="001D3BC5">
            <w:pPr>
              <w:pStyle w:val="TableParagraph"/>
              <w:spacing w:line="228" w:lineRule="exact"/>
              <w:ind w:left="110"/>
              <w:jc w:val="right"/>
              <w:rPr>
                <w:rFonts w:eastAsia="Times New Roman" w:cs="Arial"/>
                <w:sz w:val="24"/>
                <w:szCs w:val="24"/>
              </w:rPr>
            </w:pPr>
            <w:r w:rsidRPr="00D9747E">
              <w:rPr>
                <w:rFonts w:eastAsia="Times New Roman" w:cs="Arial"/>
                <w:b/>
                <w:bCs/>
                <w:sz w:val="24"/>
                <w:szCs w:val="24"/>
              </w:rPr>
              <w:t>Min</w:t>
            </w:r>
          </w:p>
        </w:tc>
        <w:tc>
          <w:tcPr>
            <w:tcW w:w="1870" w:type="dxa"/>
            <w:tcBorders>
              <w:bottom w:val="double" w:sz="4" w:space="0" w:color="auto"/>
            </w:tcBorders>
          </w:tcPr>
          <w:p w14:paraId="7AEBDD86" w14:textId="77777777" w:rsidR="001D3BC5" w:rsidRPr="00D9747E" w:rsidRDefault="001D3BC5" w:rsidP="001D3BC5">
            <w:pPr>
              <w:pStyle w:val="TableParagraph"/>
              <w:spacing w:line="228" w:lineRule="exact"/>
              <w:ind w:left="110"/>
              <w:jc w:val="right"/>
              <w:rPr>
                <w:rFonts w:eastAsia="Times New Roman" w:cs="Arial"/>
                <w:b/>
                <w:bCs/>
                <w:sz w:val="24"/>
                <w:szCs w:val="24"/>
              </w:rPr>
            </w:pPr>
          </w:p>
          <w:p w14:paraId="459E60A8" w14:textId="77777777" w:rsidR="001D3BC5" w:rsidRPr="00D9747E" w:rsidRDefault="001D3BC5" w:rsidP="001D3BC5">
            <w:pPr>
              <w:pStyle w:val="TableParagraph"/>
              <w:spacing w:line="228" w:lineRule="exact"/>
              <w:ind w:left="110"/>
              <w:jc w:val="right"/>
              <w:rPr>
                <w:rFonts w:eastAsia="Times New Roman" w:cs="Arial"/>
                <w:sz w:val="24"/>
                <w:szCs w:val="24"/>
              </w:rPr>
            </w:pPr>
            <w:r w:rsidRPr="00D9747E">
              <w:rPr>
                <w:rFonts w:eastAsia="Times New Roman" w:cs="Arial"/>
                <w:b/>
                <w:bCs/>
                <w:sz w:val="24"/>
                <w:szCs w:val="24"/>
              </w:rPr>
              <w:t>M</w:t>
            </w:r>
            <w:r w:rsidRPr="00D9747E">
              <w:rPr>
                <w:rFonts w:eastAsia="Times New Roman" w:cs="Arial"/>
                <w:b/>
                <w:bCs/>
                <w:spacing w:val="-1"/>
                <w:sz w:val="24"/>
                <w:szCs w:val="24"/>
              </w:rPr>
              <w:t>a</w:t>
            </w:r>
            <w:r w:rsidRPr="00D9747E">
              <w:rPr>
                <w:rFonts w:eastAsia="Times New Roman" w:cs="Arial"/>
                <w:b/>
                <w:bCs/>
                <w:sz w:val="24"/>
                <w:szCs w:val="24"/>
              </w:rPr>
              <w:t>x</w:t>
            </w:r>
          </w:p>
        </w:tc>
      </w:tr>
      <w:tr w:rsidR="001D3BC5" w14:paraId="6B2AA890" w14:textId="77777777" w:rsidTr="001D3BC5">
        <w:trPr>
          <w:trHeight w:val="450"/>
          <w:jc w:val="center"/>
        </w:trPr>
        <w:tc>
          <w:tcPr>
            <w:tcW w:w="3780" w:type="dxa"/>
            <w:tcBorders>
              <w:top w:val="double" w:sz="4" w:space="0" w:color="auto"/>
            </w:tcBorders>
            <w:vAlign w:val="center"/>
          </w:tcPr>
          <w:p w14:paraId="50476B46" w14:textId="77777777" w:rsidR="001D3BC5" w:rsidRPr="00D9747E" w:rsidRDefault="001D3BC5" w:rsidP="001D3BC5">
            <w:pPr>
              <w:pStyle w:val="TableParagraph"/>
              <w:ind w:left="109"/>
              <w:rPr>
                <w:rFonts w:eastAsia="Times New Roman" w:cs="Arial"/>
                <w:sz w:val="24"/>
                <w:szCs w:val="24"/>
              </w:rPr>
            </w:pPr>
            <w:r w:rsidRPr="00D9747E">
              <w:rPr>
                <w:rFonts w:eastAsia="Times New Roman" w:cs="Arial"/>
                <w:spacing w:val="-1"/>
                <w:sz w:val="24"/>
                <w:szCs w:val="24"/>
              </w:rPr>
              <w:t>Be</w:t>
            </w:r>
            <w:r w:rsidRPr="00D9747E">
              <w:rPr>
                <w:rFonts w:eastAsia="Times New Roman" w:cs="Arial"/>
                <w:spacing w:val="1"/>
                <w:sz w:val="24"/>
                <w:szCs w:val="24"/>
              </w:rPr>
              <w:t>a</w:t>
            </w:r>
            <w:r w:rsidRPr="00D9747E">
              <w:rPr>
                <w:rFonts w:eastAsia="Times New Roman" w:cs="Arial"/>
                <w:sz w:val="24"/>
                <w:szCs w:val="24"/>
              </w:rPr>
              <w:t>m</w:t>
            </w:r>
            <w:r w:rsidRPr="00D9747E">
              <w:rPr>
                <w:rFonts w:eastAsia="Times New Roman" w:cs="Arial"/>
                <w:spacing w:val="-9"/>
                <w:sz w:val="24"/>
                <w:szCs w:val="24"/>
              </w:rPr>
              <w:t xml:space="preserve"> </w:t>
            </w:r>
            <w:r w:rsidRPr="00D9747E">
              <w:rPr>
                <w:rFonts w:eastAsia="Times New Roman" w:cs="Arial"/>
                <w:spacing w:val="-1"/>
                <w:sz w:val="24"/>
                <w:szCs w:val="24"/>
              </w:rPr>
              <w:t>Siz</w:t>
            </w:r>
            <w:r w:rsidRPr="00D9747E">
              <w:rPr>
                <w:rFonts w:eastAsia="Times New Roman" w:cs="Arial"/>
                <w:sz w:val="24"/>
                <w:szCs w:val="24"/>
              </w:rPr>
              <w:t>e</w:t>
            </w:r>
            <w:r w:rsidRPr="00D9747E">
              <w:rPr>
                <w:rFonts w:eastAsia="Times New Roman" w:cs="Arial"/>
                <w:spacing w:val="-6"/>
                <w:sz w:val="24"/>
                <w:szCs w:val="24"/>
              </w:rPr>
              <w:t xml:space="preserve"> </w:t>
            </w:r>
            <w:r w:rsidRPr="00D9747E">
              <w:rPr>
                <w:rFonts w:eastAsia="Times New Roman" w:cs="Arial"/>
                <w:spacing w:val="-1"/>
                <w:sz w:val="24"/>
                <w:szCs w:val="24"/>
              </w:rPr>
              <w:t>(±</w:t>
            </w:r>
            <w:r w:rsidRPr="00D9747E">
              <w:rPr>
                <w:rFonts w:eastAsia="Times New Roman" w:cs="Arial"/>
                <w:spacing w:val="-2"/>
                <w:sz w:val="24"/>
                <w:szCs w:val="24"/>
              </w:rPr>
              <w:t>3</w:t>
            </w:r>
            <w:r w:rsidRPr="00D9747E">
              <w:rPr>
                <w:rFonts w:eastAsia="Arial" w:cs="Arial"/>
                <w:sz w:val="24"/>
                <w:szCs w:val="24"/>
              </w:rPr>
              <w:t>σ</w:t>
            </w:r>
            <w:r w:rsidRPr="00D9747E">
              <w:rPr>
                <w:rFonts w:eastAsia="Times New Roman" w:cs="Arial"/>
                <w:sz w:val="24"/>
                <w:szCs w:val="24"/>
              </w:rPr>
              <w:t>)</w:t>
            </w:r>
            <w:r w:rsidRPr="00D9747E">
              <w:rPr>
                <w:rFonts w:eastAsia="Times New Roman" w:cs="Arial"/>
                <w:spacing w:val="-5"/>
                <w:sz w:val="24"/>
                <w:szCs w:val="24"/>
              </w:rPr>
              <w:t xml:space="preserve"> </w:t>
            </w:r>
            <w:r w:rsidRPr="00D9747E">
              <w:rPr>
                <w:rFonts w:eastAsia="Times New Roman" w:cs="Arial"/>
                <w:sz w:val="24"/>
                <w:szCs w:val="24"/>
              </w:rPr>
              <w:t>at</w:t>
            </w:r>
            <w:r w:rsidRPr="00D9747E">
              <w:rPr>
                <w:rFonts w:eastAsia="Times New Roman" w:cs="Arial"/>
                <w:spacing w:val="-7"/>
                <w:sz w:val="24"/>
                <w:szCs w:val="24"/>
              </w:rPr>
              <w:t xml:space="preserve"> </w:t>
            </w:r>
            <w:r w:rsidRPr="00D9747E">
              <w:rPr>
                <w:rFonts w:eastAsia="Times New Roman" w:cs="Arial"/>
                <w:sz w:val="24"/>
                <w:szCs w:val="24"/>
              </w:rPr>
              <w:t>DU</w:t>
            </w:r>
            <w:r>
              <w:rPr>
                <w:rFonts w:eastAsia="Times New Roman" w:cs="Arial"/>
                <w:sz w:val="24"/>
                <w:szCs w:val="24"/>
              </w:rPr>
              <w:t>T</w:t>
            </w:r>
          </w:p>
        </w:tc>
        <w:tc>
          <w:tcPr>
            <w:tcW w:w="1870" w:type="dxa"/>
            <w:tcBorders>
              <w:top w:val="double" w:sz="4" w:space="0" w:color="auto"/>
            </w:tcBorders>
            <w:vAlign w:val="center"/>
          </w:tcPr>
          <w:p w14:paraId="5EEB3884" w14:textId="77777777" w:rsidR="001D3BC5" w:rsidRPr="00D9747E" w:rsidRDefault="001D3BC5" w:rsidP="001D3BC5">
            <w:pPr>
              <w:pStyle w:val="TableParagraph"/>
              <w:spacing w:line="225" w:lineRule="exact"/>
              <w:ind w:left="109"/>
              <w:jc w:val="right"/>
              <w:rPr>
                <w:rFonts w:eastAsia="Times New Roman" w:cs="Arial"/>
                <w:sz w:val="24"/>
                <w:szCs w:val="24"/>
              </w:rPr>
            </w:pPr>
          </w:p>
          <w:p w14:paraId="00E402DD" w14:textId="77777777" w:rsidR="001D3BC5" w:rsidRPr="00D9747E" w:rsidRDefault="001D3BC5" w:rsidP="001D3BC5">
            <w:pPr>
              <w:pStyle w:val="TableParagraph"/>
              <w:spacing w:line="225" w:lineRule="exact"/>
              <w:ind w:left="109"/>
              <w:jc w:val="right"/>
              <w:rPr>
                <w:rFonts w:eastAsia="Times New Roman" w:cs="Arial"/>
                <w:sz w:val="24"/>
                <w:szCs w:val="24"/>
              </w:rPr>
            </w:pPr>
            <w:r w:rsidRPr="00D9747E">
              <w:rPr>
                <w:rFonts w:eastAsia="Times New Roman" w:cs="Arial"/>
                <w:sz w:val="24"/>
                <w:szCs w:val="24"/>
              </w:rPr>
              <w:t>1</w:t>
            </w:r>
            <w:r w:rsidRPr="00D9747E">
              <w:rPr>
                <w:rFonts w:eastAsia="Times New Roman" w:cs="Arial"/>
                <w:spacing w:val="-4"/>
                <w:sz w:val="24"/>
                <w:szCs w:val="24"/>
              </w:rPr>
              <w:t xml:space="preserve"> </w:t>
            </w:r>
            <w:r w:rsidRPr="00D9747E">
              <w:rPr>
                <w:rFonts w:eastAsia="Times New Roman" w:cs="Arial"/>
                <w:sz w:val="24"/>
                <w:szCs w:val="24"/>
              </w:rPr>
              <w:t>cm</w:t>
            </w:r>
          </w:p>
        </w:tc>
        <w:tc>
          <w:tcPr>
            <w:tcW w:w="1870" w:type="dxa"/>
            <w:tcBorders>
              <w:top w:val="double" w:sz="4" w:space="0" w:color="auto"/>
            </w:tcBorders>
            <w:vAlign w:val="center"/>
          </w:tcPr>
          <w:p w14:paraId="464E82C5" w14:textId="77777777" w:rsidR="001D3BC5" w:rsidRPr="00D9747E" w:rsidRDefault="001D3BC5" w:rsidP="001D3BC5">
            <w:pPr>
              <w:pStyle w:val="TableParagraph"/>
              <w:spacing w:line="225" w:lineRule="exact"/>
              <w:ind w:left="109"/>
              <w:jc w:val="right"/>
              <w:rPr>
                <w:rFonts w:eastAsia="Times New Roman" w:cs="Arial"/>
                <w:sz w:val="24"/>
                <w:szCs w:val="24"/>
              </w:rPr>
            </w:pPr>
          </w:p>
          <w:p w14:paraId="4CFB9908" w14:textId="77777777" w:rsidR="001D3BC5" w:rsidRPr="00D9747E" w:rsidRDefault="001D3BC5" w:rsidP="001D3BC5">
            <w:pPr>
              <w:pStyle w:val="TableParagraph"/>
              <w:spacing w:line="225" w:lineRule="exact"/>
              <w:ind w:left="109"/>
              <w:jc w:val="right"/>
              <w:rPr>
                <w:rFonts w:eastAsia="Times New Roman" w:cs="Arial"/>
                <w:sz w:val="24"/>
                <w:szCs w:val="24"/>
              </w:rPr>
            </w:pPr>
            <w:r w:rsidRPr="00D9747E">
              <w:rPr>
                <w:rFonts w:eastAsia="Times New Roman" w:cs="Arial"/>
                <w:sz w:val="24"/>
                <w:szCs w:val="24"/>
              </w:rPr>
              <w:t>5</w:t>
            </w:r>
            <w:r w:rsidRPr="00D9747E">
              <w:rPr>
                <w:rFonts w:eastAsia="Times New Roman" w:cs="Arial"/>
                <w:spacing w:val="-1"/>
                <w:sz w:val="24"/>
                <w:szCs w:val="24"/>
              </w:rPr>
              <w:t>-</w:t>
            </w:r>
            <w:r w:rsidRPr="00D9747E">
              <w:rPr>
                <w:rFonts w:eastAsia="Times New Roman" w:cs="Arial"/>
                <w:sz w:val="24"/>
                <w:szCs w:val="24"/>
              </w:rPr>
              <w:t>7</w:t>
            </w:r>
            <w:r w:rsidRPr="00D9747E">
              <w:rPr>
                <w:rFonts w:eastAsia="Times New Roman" w:cs="Arial"/>
                <w:spacing w:val="-6"/>
                <w:sz w:val="24"/>
                <w:szCs w:val="24"/>
              </w:rPr>
              <w:t xml:space="preserve"> </w:t>
            </w:r>
            <w:r w:rsidRPr="00D9747E">
              <w:rPr>
                <w:rFonts w:eastAsia="Times New Roman" w:cs="Arial"/>
                <w:sz w:val="24"/>
                <w:szCs w:val="24"/>
              </w:rPr>
              <w:t>cm</w:t>
            </w:r>
          </w:p>
        </w:tc>
      </w:tr>
      <w:tr w:rsidR="001D3BC5" w14:paraId="49A42952" w14:textId="77777777" w:rsidTr="001D3BC5">
        <w:trPr>
          <w:trHeight w:val="450"/>
          <w:jc w:val="center"/>
        </w:trPr>
        <w:tc>
          <w:tcPr>
            <w:tcW w:w="3780" w:type="dxa"/>
            <w:vAlign w:val="center"/>
          </w:tcPr>
          <w:p w14:paraId="5E91824A" w14:textId="77777777" w:rsidR="001D3BC5" w:rsidRPr="00D9747E" w:rsidRDefault="001D3BC5" w:rsidP="001D3BC5">
            <w:pPr>
              <w:pStyle w:val="TableParagraph"/>
              <w:ind w:left="109"/>
              <w:rPr>
                <w:rFonts w:eastAsia="Times New Roman" w:cs="Arial"/>
                <w:sz w:val="24"/>
                <w:szCs w:val="24"/>
              </w:rPr>
            </w:pPr>
            <w:r w:rsidRPr="00D9747E">
              <w:rPr>
                <w:rFonts w:eastAsia="Times New Roman" w:cs="Arial"/>
                <w:spacing w:val="-1"/>
                <w:sz w:val="24"/>
                <w:szCs w:val="24"/>
              </w:rPr>
              <w:t>Be</w:t>
            </w:r>
            <w:r w:rsidRPr="00D9747E">
              <w:rPr>
                <w:rFonts w:eastAsia="Times New Roman" w:cs="Arial"/>
                <w:spacing w:val="1"/>
                <w:sz w:val="24"/>
                <w:szCs w:val="24"/>
              </w:rPr>
              <w:t>a</w:t>
            </w:r>
            <w:r w:rsidRPr="00D9747E">
              <w:rPr>
                <w:rFonts w:eastAsia="Times New Roman" w:cs="Arial"/>
                <w:sz w:val="24"/>
                <w:szCs w:val="24"/>
              </w:rPr>
              <w:t>m</w:t>
            </w:r>
            <w:r w:rsidRPr="00D9747E">
              <w:rPr>
                <w:rFonts w:eastAsia="Times New Roman" w:cs="Arial"/>
                <w:spacing w:val="-9"/>
                <w:sz w:val="24"/>
                <w:szCs w:val="24"/>
              </w:rPr>
              <w:t xml:space="preserve"> </w:t>
            </w:r>
            <w:r w:rsidRPr="00D9747E">
              <w:rPr>
                <w:rFonts w:eastAsia="Times New Roman" w:cs="Arial"/>
                <w:spacing w:val="-1"/>
                <w:sz w:val="24"/>
                <w:szCs w:val="24"/>
              </w:rPr>
              <w:t>Diverg</w:t>
            </w:r>
            <w:r w:rsidRPr="00D9747E">
              <w:rPr>
                <w:rFonts w:eastAsia="Times New Roman" w:cs="Arial"/>
                <w:spacing w:val="-2"/>
                <w:sz w:val="24"/>
                <w:szCs w:val="24"/>
              </w:rPr>
              <w:t>e</w:t>
            </w:r>
            <w:r w:rsidRPr="00D9747E">
              <w:rPr>
                <w:rFonts w:eastAsia="Times New Roman" w:cs="Arial"/>
                <w:sz w:val="24"/>
                <w:szCs w:val="24"/>
              </w:rPr>
              <w:t>n</w:t>
            </w:r>
            <w:r w:rsidRPr="00D9747E">
              <w:rPr>
                <w:rFonts w:eastAsia="Times New Roman" w:cs="Arial"/>
                <w:spacing w:val="-1"/>
                <w:sz w:val="24"/>
                <w:szCs w:val="24"/>
              </w:rPr>
              <w:t>c</w:t>
            </w:r>
            <w:r w:rsidRPr="00D9747E">
              <w:rPr>
                <w:rFonts w:eastAsia="Times New Roman" w:cs="Arial"/>
                <w:sz w:val="24"/>
                <w:szCs w:val="24"/>
              </w:rPr>
              <w:t>e</w:t>
            </w:r>
            <w:r w:rsidRPr="00D9747E">
              <w:rPr>
                <w:rFonts w:eastAsia="Times New Roman" w:cs="Arial"/>
                <w:spacing w:val="-8"/>
                <w:sz w:val="24"/>
                <w:szCs w:val="24"/>
              </w:rPr>
              <w:t xml:space="preserve"> </w:t>
            </w:r>
            <w:r w:rsidRPr="00D9747E">
              <w:rPr>
                <w:rFonts w:eastAsia="Times New Roman" w:cs="Arial"/>
                <w:spacing w:val="-1"/>
                <w:sz w:val="24"/>
                <w:szCs w:val="24"/>
              </w:rPr>
              <w:t>(±</w:t>
            </w:r>
            <w:r w:rsidRPr="00D9747E">
              <w:rPr>
                <w:rFonts w:eastAsia="Times New Roman" w:cs="Arial"/>
                <w:sz w:val="24"/>
                <w:szCs w:val="24"/>
              </w:rPr>
              <w:t>3</w:t>
            </w:r>
            <w:r w:rsidRPr="00D9747E">
              <w:rPr>
                <w:rFonts w:eastAsia="Arial" w:cs="Arial"/>
                <w:spacing w:val="-2"/>
                <w:sz w:val="24"/>
                <w:szCs w:val="24"/>
              </w:rPr>
              <w:t>σ</w:t>
            </w:r>
            <w:r w:rsidRPr="00D9747E">
              <w:rPr>
                <w:rFonts w:eastAsia="Times New Roman" w:cs="Arial"/>
                <w:sz w:val="24"/>
                <w:szCs w:val="24"/>
              </w:rPr>
              <w:t>)</w:t>
            </w:r>
            <w:r w:rsidRPr="00D9747E">
              <w:rPr>
                <w:rFonts w:eastAsia="Times New Roman" w:cs="Arial"/>
                <w:spacing w:val="-7"/>
                <w:sz w:val="24"/>
                <w:szCs w:val="24"/>
              </w:rPr>
              <w:t xml:space="preserve"> </w:t>
            </w:r>
            <w:r w:rsidRPr="00D9747E">
              <w:rPr>
                <w:rFonts w:eastAsia="Times New Roman" w:cs="Arial"/>
                <w:sz w:val="24"/>
                <w:szCs w:val="24"/>
              </w:rPr>
              <w:t>at</w:t>
            </w:r>
            <w:r w:rsidRPr="00D9747E">
              <w:rPr>
                <w:rFonts w:eastAsia="Times New Roman" w:cs="Arial"/>
                <w:spacing w:val="-8"/>
                <w:sz w:val="24"/>
                <w:szCs w:val="24"/>
              </w:rPr>
              <w:t xml:space="preserve"> </w:t>
            </w:r>
            <w:r w:rsidRPr="00D9747E">
              <w:rPr>
                <w:rFonts w:eastAsia="Times New Roman" w:cs="Arial"/>
                <w:spacing w:val="-1"/>
                <w:sz w:val="24"/>
                <w:szCs w:val="24"/>
              </w:rPr>
              <w:t>D</w:t>
            </w:r>
            <w:r w:rsidRPr="00D9747E">
              <w:rPr>
                <w:rFonts w:eastAsia="Times New Roman" w:cs="Arial"/>
                <w:sz w:val="24"/>
                <w:szCs w:val="24"/>
              </w:rPr>
              <w:t>U</w:t>
            </w:r>
            <w:r>
              <w:rPr>
                <w:rFonts w:eastAsia="Times New Roman" w:cs="Arial"/>
                <w:sz w:val="24"/>
                <w:szCs w:val="24"/>
              </w:rPr>
              <w:t>T</w:t>
            </w:r>
          </w:p>
        </w:tc>
        <w:tc>
          <w:tcPr>
            <w:tcW w:w="1870" w:type="dxa"/>
            <w:vAlign w:val="center"/>
          </w:tcPr>
          <w:p w14:paraId="0F4032F8" w14:textId="77777777" w:rsidR="001D3BC5" w:rsidRPr="00D9747E" w:rsidRDefault="001D3BC5" w:rsidP="001D3BC5">
            <w:pPr>
              <w:pStyle w:val="TableParagraph"/>
              <w:spacing w:line="225" w:lineRule="exact"/>
              <w:ind w:left="109"/>
              <w:jc w:val="right"/>
              <w:rPr>
                <w:rFonts w:eastAsia="Times New Roman" w:cs="Arial"/>
                <w:sz w:val="24"/>
                <w:szCs w:val="24"/>
              </w:rPr>
            </w:pPr>
          </w:p>
          <w:p w14:paraId="2CEFFEA8" w14:textId="77777777" w:rsidR="001D3BC5" w:rsidRPr="00D9747E" w:rsidRDefault="001D3BC5" w:rsidP="001D3BC5">
            <w:pPr>
              <w:pStyle w:val="TableParagraph"/>
              <w:spacing w:line="225" w:lineRule="exact"/>
              <w:ind w:left="109"/>
              <w:jc w:val="right"/>
              <w:rPr>
                <w:rFonts w:eastAsia="Times New Roman" w:cs="Arial"/>
                <w:sz w:val="24"/>
                <w:szCs w:val="24"/>
              </w:rPr>
            </w:pPr>
            <w:r w:rsidRPr="00D9747E">
              <w:rPr>
                <w:rFonts w:eastAsia="Times New Roman" w:cs="Arial"/>
                <w:sz w:val="24"/>
                <w:szCs w:val="24"/>
              </w:rPr>
              <w:t>0</w:t>
            </w:r>
            <w:r w:rsidRPr="00D9747E">
              <w:rPr>
                <w:rFonts w:eastAsia="Times New Roman" w:cs="Arial"/>
                <w:spacing w:val="-1"/>
                <w:sz w:val="24"/>
                <w:szCs w:val="24"/>
              </w:rPr>
              <w:t>.</w:t>
            </w:r>
            <w:r w:rsidRPr="00D9747E">
              <w:rPr>
                <w:rFonts w:eastAsia="Times New Roman" w:cs="Arial"/>
                <w:sz w:val="24"/>
                <w:szCs w:val="24"/>
              </w:rPr>
              <w:t>1</w:t>
            </w:r>
            <w:r w:rsidRPr="00D9747E">
              <w:rPr>
                <w:rFonts w:eastAsia="Times New Roman" w:cs="Arial"/>
                <w:spacing w:val="-5"/>
                <w:sz w:val="24"/>
                <w:szCs w:val="24"/>
              </w:rPr>
              <w:t xml:space="preserve"> </w:t>
            </w:r>
            <w:proofErr w:type="spellStart"/>
            <w:r w:rsidRPr="00D9747E">
              <w:rPr>
                <w:rFonts w:eastAsia="Times New Roman" w:cs="Arial"/>
                <w:spacing w:val="-3"/>
                <w:sz w:val="24"/>
                <w:szCs w:val="24"/>
              </w:rPr>
              <w:t>m</w:t>
            </w:r>
            <w:r w:rsidRPr="00D9747E">
              <w:rPr>
                <w:rFonts w:eastAsia="Times New Roman" w:cs="Arial"/>
                <w:sz w:val="24"/>
                <w:szCs w:val="24"/>
              </w:rPr>
              <w:t>r</w:t>
            </w:r>
            <w:proofErr w:type="spellEnd"/>
          </w:p>
        </w:tc>
        <w:tc>
          <w:tcPr>
            <w:tcW w:w="1870" w:type="dxa"/>
            <w:vAlign w:val="center"/>
          </w:tcPr>
          <w:p w14:paraId="0E092D1B" w14:textId="77777777" w:rsidR="001D3BC5" w:rsidRPr="00D9747E" w:rsidRDefault="001D3BC5" w:rsidP="001D3BC5">
            <w:pPr>
              <w:pStyle w:val="TableParagraph"/>
              <w:spacing w:line="225" w:lineRule="exact"/>
              <w:ind w:left="108"/>
              <w:jc w:val="right"/>
              <w:rPr>
                <w:rFonts w:eastAsia="Times New Roman" w:cs="Arial"/>
                <w:sz w:val="24"/>
                <w:szCs w:val="24"/>
              </w:rPr>
            </w:pPr>
          </w:p>
          <w:p w14:paraId="11140F85" w14:textId="77777777" w:rsidR="001D3BC5" w:rsidRPr="00D9747E" w:rsidRDefault="001D3BC5" w:rsidP="001D3BC5">
            <w:pPr>
              <w:pStyle w:val="TableParagraph"/>
              <w:spacing w:line="225" w:lineRule="exact"/>
              <w:ind w:left="108"/>
              <w:jc w:val="right"/>
              <w:rPr>
                <w:rFonts w:eastAsia="Times New Roman" w:cs="Arial"/>
                <w:sz w:val="24"/>
                <w:szCs w:val="24"/>
              </w:rPr>
            </w:pPr>
            <w:r w:rsidRPr="00D9747E">
              <w:rPr>
                <w:rFonts w:eastAsia="Times New Roman" w:cs="Arial"/>
                <w:sz w:val="24"/>
                <w:szCs w:val="24"/>
              </w:rPr>
              <w:t>1</w:t>
            </w:r>
            <w:r w:rsidRPr="00D9747E">
              <w:rPr>
                <w:rFonts w:eastAsia="Times New Roman" w:cs="Arial"/>
                <w:spacing w:val="-4"/>
                <w:sz w:val="24"/>
                <w:szCs w:val="24"/>
              </w:rPr>
              <w:t xml:space="preserve"> </w:t>
            </w:r>
            <w:proofErr w:type="spellStart"/>
            <w:r w:rsidRPr="00D9747E">
              <w:rPr>
                <w:rFonts w:eastAsia="Times New Roman" w:cs="Arial"/>
                <w:spacing w:val="-3"/>
                <w:sz w:val="24"/>
                <w:szCs w:val="24"/>
              </w:rPr>
              <w:t>m</w:t>
            </w:r>
            <w:r w:rsidRPr="00D9747E">
              <w:rPr>
                <w:rFonts w:eastAsia="Times New Roman" w:cs="Arial"/>
                <w:sz w:val="24"/>
                <w:szCs w:val="24"/>
              </w:rPr>
              <w:t>r</w:t>
            </w:r>
            <w:proofErr w:type="spellEnd"/>
          </w:p>
        </w:tc>
      </w:tr>
      <w:tr w:rsidR="001D3BC5" w14:paraId="7B6AAA63" w14:textId="77777777" w:rsidTr="001D3BC5">
        <w:trPr>
          <w:trHeight w:val="450"/>
          <w:jc w:val="center"/>
        </w:trPr>
        <w:tc>
          <w:tcPr>
            <w:tcW w:w="3780" w:type="dxa"/>
            <w:tcBorders>
              <w:bottom w:val="single" w:sz="4" w:space="0" w:color="auto"/>
            </w:tcBorders>
            <w:vAlign w:val="center"/>
          </w:tcPr>
          <w:p w14:paraId="39D21DFC" w14:textId="77777777" w:rsidR="001D3BC5" w:rsidRPr="00D9747E" w:rsidRDefault="001D3BC5" w:rsidP="001D3BC5">
            <w:pPr>
              <w:pStyle w:val="TableParagraph"/>
              <w:ind w:left="109"/>
              <w:rPr>
                <w:rFonts w:eastAsia="Times New Roman" w:cs="Arial"/>
                <w:sz w:val="24"/>
                <w:szCs w:val="24"/>
              </w:rPr>
            </w:pPr>
            <w:r w:rsidRPr="00D9747E">
              <w:rPr>
                <w:rFonts w:eastAsia="Times New Roman" w:cs="Arial"/>
                <w:sz w:val="24"/>
                <w:szCs w:val="24"/>
              </w:rPr>
              <w:t>Nu</w:t>
            </w:r>
            <w:r w:rsidRPr="00D9747E">
              <w:rPr>
                <w:rFonts w:eastAsia="Times New Roman" w:cs="Arial"/>
                <w:spacing w:val="-3"/>
                <w:sz w:val="24"/>
                <w:szCs w:val="24"/>
              </w:rPr>
              <w:t>m</w:t>
            </w:r>
            <w:r w:rsidRPr="00D9747E">
              <w:rPr>
                <w:rFonts w:eastAsia="Times New Roman" w:cs="Arial"/>
                <w:sz w:val="24"/>
                <w:szCs w:val="24"/>
              </w:rPr>
              <w:t>ber</w:t>
            </w:r>
            <w:r w:rsidRPr="00D9747E">
              <w:rPr>
                <w:rFonts w:eastAsia="Times New Roman" w:cs="Arial"/>
                <w:spacing w:val="-7"/>
                <w:sz w:val="24"/>
                <w:szCs w:val="24"/>
              </w:rPr>
              <w:t xml:space="preserve"> </w:t>
            </w:r>
            <w:r w:rsidRPr="00D9747E">
              <w:rPr>
                <w:rFonts w:eastAsia="Times New Roman" w:cs="Arial"/>
                <w:sz w:val="24"/>
                <w:szCs w:val="24"/>
              </w:rPr>
              <w:t>of</w:t>
            </w:r>
            <w:r w:rsidRPr="00D9747E">
              <w:rPr>
                <w:rFonts w:eastAsia="Times New Roman" w:cs="Arial"/>
                <w:spacing w:val="-7"/>
                <w:sz w:val="24"/>
                <w:szCs w:val="24"/>
              </w:rPr>
              <w:t xml:space="preserve"> </w:t>
            </w:r>
            <w:r w:rsidRPr="00D9747E">
              <w:rPr>
                <w:rFonts w:eastAsia="Times New Roman" w:cs="Arial"/>
                <w:spacing w:val="-2"/>
                <w:sz w:val="24"/>
                <w:szCs w:val="24"/>
              </w:rPr>
              <w:t>P</w:t>
            </w:r>
            <w:r w:rsidRPr="00D9747E">
              <w:rPr>
                <w:rFonts w:eastAsia="Times New Roman" w:cs="Arial"/>
                <w:sz w:val="24"/>
                <w:szCs w:val="24"/>
              </w:rPr>
              <w:t>r</w:t>
            </w:r>
            <w:r w:rsidRPr="00D9747E">
              <w:rPr>
                <w:rFonts w:eastAsia="Times New Roman" w:cs="Arial"/>
                <w:spacing w:val="-1"/>
                <w:sz w:val="24"/>
                <w:szCs w:val="24"/>
              </w:rPr>
              <w:t>ot</w:t>
            </w:r>
            <w:r w:rsidRPr="00D9747E">
              <w:rPr>
                <w:rFonts w:eastAsia="Times New Roman" w:cs="Arial"/>
                <w:sz w:val="24"/>
                <w:szCs w:val="24"/>
              </w:rPr>
              <w:t>on</w:t>
            </w:r>
            <w:r w:rsidRPr="00D9747E">
              <w:rPr>
                <w:rFonts w:eastAsia="Times New Roman" w:cs="Arial"/>
                <w:spacing w:val="-1"/>
                <w:sz w:val="24"/>
                <w:szCs w:val="24"/>
              </w:rPr>
              <w:t>/p</w:t>
            </w:r>
            <w:r w:rsidRPr="00D9747E">
              <w:rPr>
                <w:rFonts w:eastAsia="Times New Roman" w:cs="Arial"/>
                <w:sz w:val="24"/>
                <w:szCs w:val="24"/>
              </w:rPr>
              <w:t>u</w:t>
            </w:r>
            <w:r w:rsidRPr="00D9747E">
              <w:rPr>
                <w:rFonts w:eastAsia="Times New Roman" w:cs="Arial"/>
                <w:spacing w:val="-1"/>
                <w:sz w:val="24"/>
                <w:szCs w:val="24"/>
              </w:rPr>
              <w:t>ls</w:t>
            </w:r>
            <w:r w:rsidRPr="00D9747E">
              <w:rPr>
                <w:rFonts w:eastAsia="Times New Roman" w:cs="Arial"/>
                <w:sz w:val="24"/>
                <w:szCs w:val="24"/>
              </w:rPr>
              <w:t>e</w:t>
            </w:r>
          </w:p>
        </w:tc>
        <w:tc>
          <w:tcPr>
            <w:tcW w:w="1870" w:type="dxa"/>
            <w:tcBorders>
              <w:bottom w:val="single" w:sz="4" w:space="0" w:color="auto"/>
            </w:tcBorders>
            <w:vAlign w:val="center"/>
          </w:tcPr>
          <w:p w14:paraId="4CD5154D" w14:textId="77777777" w:rsidR="001D3BC5" w:rsidRPr="00D9747E" w:rsidRDefault="001D3BC5" w:rsidP="001D3BC5">
            <w:pPr>
              <w:pStyle w:val="TableParagraph"/>
              <w:spacing w:line="225" w:lineRule="exact"/>
              <w:ind w:left="109"/>
              <w:jc w:val="right"/>
              <w:rPr>
                <w:rFonts w:eastAsia="Times New Roman" w:cs="Arial"/>
                <w:sz w:val="24"/>
                <w:szCs w:val="24"/>
              </w:rPr>
            </w:pPr>
          </w:p>
          <w:p w14:paraId="259F1320" w14:textId="77777777" w:rsidR="001D3BC5" w:rsidRPr="00D9747E" w:rsidRDefault="001D3BC5" w:rsidP="001D3BC5">
            <w:pPr>
              <w:pStyle w:val="TableParagraph"/>
              <w:spacing w:line="225" w:lineRule="exact"/>
              <w:ind w:left="109"/>
              <w:jc w:val="right"/>
              <w:rPr>
                <w:rFonts w:eastAsia="Times New Roman" w:cs="Arial"/>
                <w:sz w:val="24"/>
                <w:szCs w:val="24"/>
              </w:rPr>
            </w:pPr>
            <w:r>
              <w:rPr>
                <w:rFonts w:eastAsia="Times New Roman" w:cs="Arial"/>
                <w:sz w:val="24"/>
                <w:szCs w:val="24"/>
              </w:rPr>
              <w:t>0</w:t>
            </w:r>
            <w:r w:rsidRPr="008C7C64">
              <w:rPr>
                <w:rFonts w:eastAsia="Times New Roman" w:cs="Arial"/>
                <w:spacing w:val="-1"/>
                <w:sz w:val="24"/>
                <w:szCs w:val="24"/>
              </w:rPr>
              <w:t>.</w:t>
            </w:r>
            <w:r>
              <w:rPr>
                <w:rFonts w:eastAsia="Times New Roman" w:cs="Arial"/>
                <w:sz w:val="24"/>
                <w:szCs w:val="24"/>
              </w:rPr>
              <w:t>3×</w:t>
            </w:r>
            <w:r w:rsidRPr="008C7C64">
              <w:rPr>
                <w:rFonts w:eastAsia="Times New Roman" w:cs="Arial"/>
                <w:sz w:val="24"/>
                <w:szCs w:val="24"/>
              </w:rPr>
              <w:t>10</w:t>
            </w:r>
            <w:r>
              <w:rPr>
                <w:rFonts w:eastAsia="Times New Roman" w:cs="Arial"/>
                <w:sz w:val="24"/>
                <w:szCs w:val="24"/>
                <w:vertAlign w:val="superscript"/>
              </w:rPr>
              <w:t>12</w:t>
            </w:r>
          </w:p>
        </w:tc>
        <w:tc>
          <w:tcPr>
            <w:tcW w:w="1870" w:type="dxa"/>
            <w:tcBorders>
              <w:bottom w:val="single" w:sz="4" w:space="0" w:color="auto"/>
            </w:tcBorders>
            <w:vAlign w:val="center"/>
          </w:tcPr>
          <w:p w14:paraId="62AD7888" w14:textId="77777777" w:rsidR="001D3BC5" w:rsidRPr="00D9747E" w:rsidRDefault="001D3BC5" w:rsidP="001D3BC5">
            <w:pPr>
              <w:pStyle w:val="TableParagraph"/>
              <w:spacing w:line="225" w:lineRule="exact"/>
              <w:ind w:left="108"/>
              <w:jc w:val="right"/>
              <w:rPr>
                <w:rFonts w:eastAsia="Times New Roman" w:cs="Arial"/>
                <w:sz w:val="24"/>
                <w:szCs w:val="24"/>
              </w:rPr>
            </w:pPr>
          </w:p>
          <w:p w14:paraId="33F5E54E" w14:textId="77777777" w:rsidR="001D3BC5" w:rsidRPr="00D9747E" w:rsidRDefault="001D3BC5" w:rsidP="001D3BC5">
            <w:pPr>
              <w:pStyle w:val="TableParagraph"/>
              <w:spacing w:line="225" w:lineRule="exact"/>
              <w:ind w:left="108"/>
              <w:jc w:val="right"/>
              <w:rPr>
                <w:rFonts w:eastAsia="Times New Roman" w:cs="Arial"/>
                <w:sz w:val="24"/>
                <w:szCs w:val="24"/>
              </w:rPr>
            </w:pPr>
            <w:r>
              <w:rPr>
                <w:rFonts w:eastAsia="Times New Roman" w:cs="Arial"/>
                <w:sz w:val="24"/>
                <w:szCs w:val="24"/>
              </w:rPr>
              <w:t>7.5×</w:t>
            </w:r>
            <w:r w:rsidRPr="008C7C64">
              <w:rPr>
                <w:rFonts w:eastAsia="Times New Roman" w:cs="Arial"/>
                <w:sz w:val="24"/>
                <w:szCs w:val="24"/>
              </w:rPr>
              <w:t>10</w:t>
            </w:r>
            <w:r>
              <w:rPr>
                <w:rFonts w:eastAsia="Times New Roman" w:cs="Arial"/>
                <w:sz w:val="24"/>
                <w:szCs w:val="24"/>
                <w:vertAlign w:val="superscript"/>
              </w:rPr>
              <w:t>12</w:t>
            </w:r>
          </w:p>
        </w:tc>
      </w:tr>
      <w:tr w:rsidR="001D3BC5" w14:paraId="17B69A91" w14:textId="77777777" w:rsidTr="001D3BC5">
        <w:trPr>
          <w:trHeight w:val="450"/>
          <w:jc w:val="center"/>
        </w:trPr>
        <w:tc>
          <w:tcPr>
            <w:tcW w:w="3780" w:type="dxa"/>
            <w:tcBorders>
              <w:bottom w:val="double" w:sz="4" w:space="0" w:color="auto"/>
            </w:tcBorders>
            <w:vAlign w:val="center"/>
          </w:tcPr>
          <w:p w14:paraId="46179BFD" w14:textId="77777777" w:rsidR="001D3BC5" w:rsidRPr="00D9747E" w:rsidRDefault="001D3BC5" w:rsidP="001D3BC5">
            <w:pPr>
              <w:pStyle w:val="TableParagraph"/>
              <w:ind w:left="142"/>
              <w:rPr>
                <w:rFonts w:eastAsia="Times New Roman" w:cs="Arial"/>
                <w:sz w:val="24"/>
                <w:szCs w:val="24"/>
              </w:rPr>
            </w:pPr>
            <w:r w:rsidRPr="00D9747E">
              <w:rPr>
                <w:rFonts w:eastAsia="Times New Roman" w:cs="Arial"/>
                <w:spacing w:val="-1"/>
                <w:sz w:val="24"/>
                <w:szCs w:val="24"/>
              </w:rPr>
              <w:t>P</w:t>
            </w:r>
            <w:r w:rsidRPr="00D9747E">
              <w:rPr>
                <w:rFonts w:eastAsia="Times New Roman" w:cs="Arial"/>
                <w:sz w:val="24"/>
                <w:szCs w:val="24"/>
              </w:rPr>
              <w:t>u</w:t>
            </w:r>
            <w:r w:rsidRPr="00D9747E">
              <w:rPr>
                <w:rFonts w:eastAsia="Times New Roman" w:cs="Arial"/>
                <w:spacing w:val="-1"/>
                <w:sz w:val="24"/>
                <w:szCs w:val="24"/>
              </w:rPr>
              <w:t>ls</w:t>
            </w:r>
            <w:r w:rsidRPr="00D9747E">
              <w:rPr>
                <w:rFonts w:eastAsia="Times New Roman" w:cs="Arial"/>
                <w:sz w:val="24"/>
                <w:szCs w:val="24"/>
              </w:rPr>
              <w:t>e</w:t>
            </w:r>
            <w:r w:rsidRPr="00D9747E">
              <w:rPr>
                <w:rFonts w:eastAsia="Times New Roman" w:cs="Arial"/>
                <w:spacing w:val="-14"/>
                <w:sz w:val="24"/>
                <w:szCs w:val="24"/>
              </w:rPr>
              <w:t xml:space="preserve"> </w:t>
            </w:r>
            <w:r w:rsidRPr="00D9747E">
              <w:rPr>
                <w:rFonts w:eastAsia="Times New Roman" w:cs="Arial"/>
                <w:spacing w:val="-1"/>
                <w:sz w:val="24"/>
                <w:szCs w:val="24"/>
              </w:rPr>
              <w:t>Duration</w:t>
            </w:r>
          </w:p>
        </w:tc>
        <w:tc>
          <w:tcPr>
            <w:tcW w:w="1870" w:type="dxa"/>
            <w:tcBorders>
              <w:bottom w:val="double" w:sz="4" w:space="0" w:color="auto"/>
            </w:tcBorders>
            <w:vAlign w:val="center"/>
          </w:tcPr>
          <w:p w14:paraId="12C814DA" w14:textId="77777777" w:rsidR="001D3BC5" w:rsidRPr="00D9747E" w:rsidRDefault="001D3BC5" w:rsidP="001D3BC5">
            <w:pPr>
              <w:pStyle w:val="TableParagraph"/>
              <w:spacing w:before="10"/>
              <w:ind w:left="109"/>
              <w:jc w:val="right"/>
              <w:rPr>
                <w:rFonts w:eastAsia="Times New Roman" w:cs="Arial"/>
                <w:sz w:val="24"/>
                <w:szCs w:val="24"/>
              </w:rPr>
            </w:pPr>
            <w:r w:rsidRPr="00D9747E">
              <w:rPr>
                <w:rFonts w:eastAsia="Times New Roman" w:cs="Arial"/>
                <w:sz w:val="24"/>
                <w:szCs w:val="24"/>
              </w:rPr>
              <w:t>2</w:t>
            </w:r>
            <w:r w:rsidRPr="00D9747E">
              <w:rPr>
                <w:rFonts w:eastAsia="Times New Roman" w:cs="Arial"/>
                <w:spacing w:val="-3"/>
                <w:sz w:val="24"/>
                <w:szCs w:val="24"/>
              </w:rPr>
              <w:t xml:space="preserve"> </w:t>
            </w:r>
            <w:r w:rsidRPr="00D9747E">
              <w:rPr>
                <w:rFonts w:eastAsia="Arial" w:cs="Arial"/>
                <w:spacing w:val="-2"/>
                <w:sz w:val="24"/>
                <w:szCs w:val="24"/>
              </w:rPr>
              <w:t>µ</w:t>
            </w:r>
            <w:r w:rsidRPr="00D9747E">
              <w:rPr>
                <w:rFonts w:eastAsia="Times New Roman" w:cs="Arial"/>
                <w:sz w:val="24"/>
                <w:szCs w:val="24"/>
              </w:rPr>
              <w:t>s</w:t>
            </w:r>
          </w:p>
        </w:tc>
        <w:tc>
          <w:tcPr>
            <w:tcW w:w="1870" w:type="dxa"/>
            <w:tcBorders>
              <w:bottom w:val="double" w:sz="4" w:space="0" w:color="auto"/>
            </w:tcBorders>
            <w:vAlign w:val="center"/>
          </w:tcPr>
          <w:p w14:paraId="20D49DCE" w14:textId="77777777" w:rsidR="001D3BC5" w:rsidRPr="00D9747E" w:rsidRDefault="001D3BC5" w:rsidP="001D3BC5">
            <w:pPr>
              <w:pStyle w:val="TableParagraph"/>
              <w:spacing w:before="10"/>
              <w:ind w:left="109"/>
              <w:jc w:val="right"/>
              <w:rPr>
                <w:rFonts w:eastAsia="Times New Roman" w:cs="Arial"/>
                <w:sz w:val="24"/>
                <w:szCs w:val="24"/>
              </w:rPr>
            </w:pPr>
            <w:r w:rsidRPr="00D9747E">
              <w:rPr>
                <w:rFonts w:eastAsia="Times New Roman" w:cs="Arial"/>
                <w:sz w:val="24"/>
                <w:szCs w:val="24"/>
              </w:rPr>
              <w:t>50</w:t>
            </w:r>
            <w:r w:rsidRPr="00D9747E">
              <w:rPr>
                <w:rFonts w:eastAsia="Times New Roman" w:cs="Arial"/>
                <w:spacing w:val="-4"/>
                <w:sz w:val="24"/>
                <w:szCs w:val="24"/>
              </w:rPr>
              <w:t xml:space="preserve"> </w:t>
            </w:r>
            <w:r w:rsidRPr="00D9747E">
              <w:rPr>
                <w:rFonts w:eastAsia="Arial" w:cs="Arial"/>
                <w:spacing w:val="-2"/>
                <w:sz w:val="24"/>
                <w:szCs w:val="24"/>
              </w:rPr>
              <w:t>µ</w:t>
            </w:r>
            <w:r w:rsidRPr="00D9747E">
              <w:rPr>
                <w:rFonts w:eastAsia="Times New Roman" w:cs="Arial"/>
                <w:sz w:val="24"/>
                <w:szCs w:val="24"/>
              </w:rPr>
              <w:t>s</w:t>
            </w:r>
          </w:p>
        </w:tc>
      </w:tr>
    </w:tbl>
    <w:p w14:paraId="53545F07" w14:textId="77777777" w:rsidR="001D3BC5" w:rsidRDefault="001D3BC5" w:rsidP="001D3BC5">
      <w:pPr>
        <w:rPr>
          <w:rFonts w:ascii="Arial" w:hAnsi="Arial" w:cs="Arial"/>
          <w:spacing w:val="-16"/>
        </w:rPr>
      </w:pPr>
    </w:p>
    <w:p w14:paraId="58DCBE18" w14:textId="77777777" w:rsidR="001D3BC5" w:rsidRDefault="001D3BC5" w:rsidP="000251E3">
      <w:pPr>
        <w:jc w:val="both"/>
      </w:pPr>
    </w:p>
    <w:p w14:paraId="484669AA" w14:textId="06EDC40E" w:rsidR="00CC663C" w:rsidRDefault="00EB1003" w:rsidP="000251E3">
      <w:pPr>
        <w:jc w:val="both"/>
      </w:pPr>
      <w:r>
        <w:t>The len</w:t>
      </w:r>
      <w:r w:rsidR="00DB631E">
        <w:t xml:space="preserve">gth of </w:t>
      </w:r>
      <w:r w:rsidR="00E928C3">
        <w:t>the LINAC</w:t>
      </w:r>
      <w:r w:rsidR="00DB631E">
        <w:t xml:space="preserve"> pulse is typically 5</w:t>
      </w:r>
      <w:r>
        <w:t xml:space="preserve">0 </w:t>
      </w:r>
      <w:r>
        <w:rPr>
          <w:rFonts w:ascii="Symbol" w:hAnsi="Symbol"/>
        </w:rPr>
        <w:t></w:t>
      </w:r>
      <w:r>
        <w:t>sec</w:t>
      </w:r>
      <w:r w:rsidR="00900EF1">
        <w:t>, with 4.5E12 protons per pulse (PPP) being delivered. T</w:t>
      </w:r>
      <w:r>
        <w:t>otal beam flux</w:t>
      </w:r>
      <w:r w:rsidR="00900EF1">
        <w:t xml:space="preserve"> delivered</w:t>
      </w:r>
      <w:r>
        <w:t xml:space="preserve"> is </w:t>
      </w:r>
      <w:r w:rsidR="00900EF1">
        <w:t xml:space="preserve">then </w:t>
      </w:r>
      <w:r>
        <w:t>proportional</w:t>
      </w:r>
      <w:r w:rsidR="00900EF1">
        <w:t xml:space="preserve"> to the number of these pulses</w:t>
      </w:r>
      <w:r>
        <w:t xml:space="preserve">. </w:t>
      </w:r>
    </w:p>
    <w:p w14:paraId="38830A86" w14:textId="77777777" w:rsidR="00CC663C" w:rsidRDefault="00CC663C" w:rsidP="000251E3">
      <w:pPr>
        <w:jc w:val="both"/>
      </w:pPr>
    </w:p>
    <w:p w14:paraId="6EE1DF88" w14:textId="77777777" w:rsidR="004D7766" w:rsidRDefault="00EB1003" w:rsidP="000251E3">
      <w:pPr>
        <w:jc w:val="both"/>
      </w:pPr>
      <w:r>
        <w:t>Pulses are provided to the Booster at 15 Hz rep rate</w:t>
      </w:r>
      <w:r w:rsidR="00900EF1">
        <w:t xml:space="preserve">. The smallest effect on the physics program would be to extract one of these pulses over a long </w:t>
      </w:r>
      <w:proofErr w:type="spellStart"/>
      <w:r w:rsidR="00900EF1">
        <w:t>supercycle</w:t>
      </w:r>
      <w:proofErr w:type="spellEnd"/>
      <w:r w:rsidR="00900EF1">
        <w:t xml:space="preserve"> –</w:t>
      </w:r>
      <w:r w:rsidR="00E52B25">
        <w:t xml:space="preserve"> say one per minute, as is done currently.</w:t>
      </w:r>
      <w:r w:rsidR="00900EF1">
        <w:t xml:space="preserve">  At that rate, then one can irradiate a </w:t>
      </w:r>
    </w:p>
    <w:p w14:paraId="1B6C3498" w14:textId="77777777" w:rsidR="004D7766" w:rsidRDefault="004D7766" w:rsidP="004D7766">
      <w:pPr>
        <w:jc w:val="both"/>
      </w:pPr>
    </w:p>
    <w:p w14:paraId="212A6105" w14:textId="77777777" w:rsidR="004D7766" w:rsidRDefault="004D7766" w:rsidP="004D7766">
      <w:pPr>
        <w:jc w:val="both"/>
      </w:pPr>
      <w:r>
        <w:rPr>
          <w:noProof/>
        </w:rPr>
        <w:drawing>
          <wp:inline distT="0" distB="0" distL="0" distR="0" wp14:anchorId="6CBF5074" wp14:editId="027E71E6">
            <wp:extent cx="3911221" cy="439597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2919" cy="4397883"/>
                    </a:xfrm>
                    <a:prstGeom prst="rect">
                      <a:avLst/>
                    </a:prstGeom>
                    <a:noFill/>
                    <a:ln>
                      <a:noFill/>
                    </a:ln>
                  </pic:spPr>
                </pic:pic>
              </a:graphicData>
            </a:graphic>
          </wp:inline>
        </w:drawing>
      </w:r>
    </w:p>
    <w:p w14:paraId="71D8C053" w14:textId="77777777" w:rsidR="004D7766" w:rsidRPr="00561EA8" w:rsidRDefault="004D7766" w:rsidP="004D7766">
      <w:pPr>
        <w:ind w:left="720"/>
        <w:jc w:val="both"/>
        <w:rPr>
          <w:sz w:val="22"/>
        </w:rPr>
      </w:pPr>
      <w:r w:rsidRPr="00561EA8">
        <w:rPr>
          <w:sz w:val="22"/>
        </w:rPr>
        <w:t xml:space="preserve">Figure 1: A map of the MTA </w:t>
      </w:r>
      <w:proofErr w:type="spellStart"/>
      <w:r w:rsidRPr="00561EA8">
        <w:rPr>
          <w:sz w:val="22"/>
        </w:rPr>
        <w:t>beamline</w:t>
      </w:r>
      <w:proofErr w:type="spellEnd"/>
      <w:r w:rsidRPr="00561EA8">
        <w:rPr>
          <w:sz w:val="22"/>
        </w:rPr>
        <w:t xml:space="preserve"> (lower figure) leading into the MTA test enclosure (upper figure).  The two areas for absorbers are shown.  The large blank area in the MTA enclosure is filled with a 5T solenoid magnet and a large RF cavity. This would be the ‘experimental’ area where the movable absorber can be placed.</w:t>
      </w:r>
    </w:p>
    <w:p w14:paraId="2357233F" w14:textId="77777777" w:rsidR="004D7766" w:rsidRDefault="004D7766" w:rsidP="004D7766">
      <w:pPr>
        <w:jc w:val="both"/>
      </w:pPr>
    </w:p>
    <w:p w14:paraId="60EFDB5C" w14:textId="77777777" w:rsidR="004D7766" w:rsidRDefault="004D7766" w:rsidP="004D7766">
      <w:pPr>
        <w:jc w:val="both"/>
      </w:pPr>
    </w:p>
    <w:p w14:paraId="463C6A2B" w14:textId="6A495C70" w:rsidR="00A22FB1" w:rsidRDefault="00900EF1" w:rsidP="000251E3">
      <w:pPr>
        <w:jc w:val="both"/>
      </w:pPr>
      <w:proofErr w:type="gramStart"/>
      <w:r>
        <w:t>sampl</w:t>
      </w:r>
      <w:r w:rsidR="00CC663C">
        <w:t>e</w:t>
      </w:r>
      <w:proofErr w:type="gramEnd"/>
      <w:r w:rsidR="00CC663C">
        <w:t xml:space="preserve"> with 1E15 protons in about 220 minutes, or 4</w:t>
      </w:r>
      <w:r>
        <w:t xml:space="preserve"> hours. This would have an impact on the </w:t>
      </w:r>
      <w:proofErr w:type="spellStart"/>
      <w:r w:rsidR="008471B3">
        <w:t>Fermilab</w:t>
      </w:r>
      <w:proofErr w:type="spellEnd"/>
      <w:r w:rsidR="008471B3">
        <w:t xml:space="preserve"> neutrino </w:t>
      </w:r>
      <w:r w:rsidR="00CC663C">
        <w:t xml:space="preserve">physics program of 1.7%.  If the Booster </w:t>
      </w:r>
      <w:r w:rsidR="00193FB0">
        <w:t xml:space="preserve">beam </w:t>
      </w:r>
      <w:r w:rsidR="00CC663C">
        <w:t xml:space="preserve">is down for any reason, </w:t>
      </w:r>
      <w:r w:rsidR="00193FB0">
        <w:t xml:space="preserve">and one can dedicate full time to irradiation, </w:t>
      </w:r>
      <w:r w:rsidR="00CC663C">
        <w:t xml:space="preserve">then this rate </w:t>
      </w:r>
      <w:r w:rsidR="00E52B25">
        <w:t>could conceivably</w:t>
      </w:r>
      <w:r w:rsidR="00CC663C">
        <w:t xml:space="preserve"> </w:t>
      </w:r>
      <w:r w:rsidR="00E52B25">
        <w:t xml:space="preserve">be increased </w:t>
      </w:r>
      <w:r w:rsidR="00CC663C">
        <w:t xml:space="preserve">to </w:t>
      </w:r>
      <w:r w:rsidR="00A82ED2">
        <w:t>the level of</w:t>
      </w:r>
      <w:r w:rsidR="00E52B25">
        <w:t xml:space="preserve"> 1E15 in 20 minutes</w:t>
      </w:r>
      <w:r w:rsidR="00193FB0">
        <w:t xml:space="preserve">. No other </w:t>
      </w:r>
      <w:r w:rsidR="00A82ED2">
        <w:t xml:space="preserve">U.S. </w:t>
      </w:r>
      <w:r w:rsidR="00193FB0">
        <w:t>facility can provide this kind of intensity and energy for irradiation studies.</w:t>
      </w:r>
    </w:p>
    <w:p w14:paraId="6608BB88" w14:textId="77777777" w:rsidR="008471B3" w:rsidRDefault="008471B3" w:rsidP="008471B3">
      <w:pPr>
        <w:widowControl w:val="0"/>
        <w:autoSpaceDE w:val="0"/>
        <w:autoSpaceDN w:val="0"/>
        <w:adjustRightInd w:val="0"/>
        <w:jc w:val="both"/>
        <w:rPr>
          <w:rFonts w:cs="Calibri"/>
          <w:b/>
        </w:rPr>
      </w:pPr>
    </w:p>
    <w:p w14:paraId="1F21ED43" w14:textId="77777777" w:rsidR="008471B3" w:rsidRDefault="008471B3" w:rsidP="008471B3">
      <w:pPr>
        <w:widowControl w:val="0"/>
        <w:autoSpaceDE w:val="0"/>
        <w:autoSpaceDN w:val="0"/>
        <w:adjustRightInd w:val="0"/>
        <w:jc w:val="both"/>
        <w:rPr>
          <w:rFonts w:cs="Calibri"/>
        </w:rPr>
      </w:pPr>
      <w:r w:rsidRPr="002824DB">
        <w:rPr>
          <w:rFonts w:cs="Calibri"/>
        </w:rPr>
        <w:t xml:space="preserve">The 2 modes of running </w:t>
      </w:r>
      <w:r>
        <w:rPr>
          <w:rFonts w:cs="Calibri"/>
        </w:rPr>
        <w:t xml:space="preserve">beam to MTA </w:t>
      </w:r>
      <w:r w:rsidRPr="002824DB">
        <w:rPr>
          <w:rFonts w:cs="Calibri"/>
        </w:rPr>
        <w:t xml:space="preserve">are </w:t>
      </w:r>
      <w:r>
        <w:rPr>
          <w:rFonts w:cs="Calibri"/>
        </w:rPr>
        <w:t>‘</w:t>
      </w:r>
      <w:proofErr w:type="spellStart"/>
      <w:r w:rsidRPr="002824DB">
        <w:rPr>
          <w:rFonts w:cs="Calibri"/>
        </w:rPr>
        <w:t>emittance</w:t>
      </w:r>
      <w:proofErr w:type="spellEnd"/>
      <w:r>
        <w:rPr>
          <w:rFonts w:cs="Calibri"/>
        </w:rPr>
        <w:t>’</w:t>
      </w:r>
      <w:r w:rsidRPr="002824DB">
        <w:rPr>
          <w:rFonts w:cs="Calibri"/>
        </w:rPr>
        <w:t xml:space="preserve"> mode and </w:t>
      </w:r>
      <w:r>
        <w:rPr>
          <w:rFonts w:cs="Calibri"/>
        </w:rPr>
        <w:t>‘</w:t>
      </w:r>
      <w:r w:rsidRPr="002824DB">
        <w:rPr>
          <w:rFonts w:cs="Calibri"/>
        </w:rPr>
        <w:t>experimental</w:t>
      </w:r>
      <w:r>
        <w:rPr>
          <w:rFonts w:cs="Calibri"/>
        </w:rPr>
        <w:t>’</w:t>
      </w:r>
      <w:r w:rsidRPr="002824DB">
        <w:rPr>
          <w:rFonts w:cs="Calibri"/>
        </w:rPr>
        <w:t xml:space="preserve"> mod</w:t>
      </w:r>
      <w:r>
        <w:rPr>
          <w:rFonts w:cs="Calibri"/>
        </w:rPr>
        <w:t>e.  The shielding assessment </w:t>
      </w:r>
      <w:r w:rsidRPr="002824DB">
        <w:rPr>
          <w:rFonts w:cs="Calibri"/>
        </w:rPr>
        <w:t xml:space="preserve">establishes these modes and what </w:t>
      </w:r>
      <w:proofErr w:type="gramStart"/>
      <w:r w:rsidRPr="002824DB">
        <w:rPr>
          <w:rFonts w:cs="Calibri"/>
        </w:rPr>
        <w:t>is</w:t>
      </w:r>
      <w:proofErr w:type="gramEnd"/>
      <w:r w:rsidRPr="002824DB">
        <w:rPr>
          <w:rFonts w:cs="Calibri"/>
        </w:rPr>
        <w:t xml:space="preserve"> needed for each.  In experim</w:t>
      </w:r>
      <w:r>
        <w:rPr>
          <w:rFonts w:cs="Calibri"/>
        </w:rPr>
        <w:t xml:space="preserve">ental mode there is a clause </w:t>
      </w:r>
      <w:r w:rsidRPr="002824DB">
        <w:rPr>
          <w:rFonts w:cs="Calibri"/>
        </w:rPr>
        <w:t>that says each experiment must be considered individually.  Fo</w:t>
      </w:r>
      <w:r>
        <w:rPr>
          <w:rFonts w:cs="Calibri"/>
        </w:rPr>
        <w:t xml:space="preserve">r experimental mode you can </w:t>
      </w:r>
      <w:r w:rsidRPr="002824DB">
        <w:rPr>
          <w:rFonts w:cs="Calibri"/>
        </w:rPr>
        <w:t>either run the beam all the way to the permanent absorber that is buried in the downstream wall</w:t>
      </w:r>
      <w:r>
        <w:rPr>
          <w:rFonts w:cs="Calibri"/>
        </w:rPr>
        <w:t xml:space="preserve"> (which has not yet </w:t>
      </w:r>
      <w:r w:rsidRPr="002824DB">
        <w:rPr>
          <w:rFonts w:cs="Calibri"/>
        </w:rPr>
        <w:t>been done</w:t>
      </w:r>
      <w:r>
        <w:rPr>
          <w:rFonts w:cs="Calibri"/>
        </w:rPr>
        <w:t>)</w:t>
      </w:r>
      <w:r w:rsidRPr="002824DB">
        <w:rPr>
          <w:rFonts w:cs="Calibri"/>
        </w:rPr>
        <w:t xml:space="preserve"> or absorb </w:t>
      </w:r>
      <w:proofErr w:type="gramStart"/>
      <w:r w:rsidRPr="002824DB">
        <w:rPr>
          <w:rFonts w:cs="Calibri"/>
        </w:rPr>
        <w:t>all of the</w:t>
      </w:r>
      <w:proofErr w:type="gramEnd"/>
      <w:r w:rsidRPr="002824DB">
        <w:rPr>
          <w:rFonts w:cs="Calibri"/>
        </w:rPr>
        <w:t xml:space="preserve"> beam in a </w:t>
      </w:r>
      <w:r>
        <w:rPr>
          <w:rFonts w:cs="Calibri"/>
        </w:rPr>
        <w:t>movable absorber</w:t>
      </w:r>
      <w:r w:rsidRPr="002824DB">
        <w:rPr>
          <w:rFonts w:cs="Calibri"/>
        </w:rPr>
        <w:t xml:space="preserve"> that can be installe</w:t>
      </w:r>
      <w:r>
        <w:rPr>
          <w:rFonts w:cs="Calibri"/>
        </w:rPr>
        <w:t xml:space="preserve">d in different </w:t>
      </w:r>
      <w:r w:rsidRPr="002824DB">
        <w:rPr>
          <w:rFonts w:cs="Calibri"/>
        </w:rPr>
        <w:t>locations.  This absorber has been used in 2 locations</w:t>
      </w:r>
      <w:r>
        <w:rPr>
          <w:rFonts w:cs="Calibri"/>
        </w:rPr>
        <w:t xml:space="preserve"> in the enclosure</w:t>
      </w:r>
      <w:r w:rsidRPr="002824DB">
        <w:rPr>
          <w:rFonts w:cs="Calibri"/>
        </w:rPr>
        <w:t xml:space="preserve">.  If a different location </w:t>
      </w:r>
      <w:r>
        <w:rPr>
          <w:rFonts w:cs="Calibri"/>
        </w:rPr>
        <w:t>is desired, then one has to a</w:t>
      </w:r>
      <w:r w:rsidRPr="002824DB">
        <w:rPr>
          <w:rFonts w:cs="Calibri"/>
        </w:rPr>
        <w:t xml:space="preserve">mend the shielding </w:t>
      </w:r>
      <w:r w:rsidRPr="002824DB">
        <w:rPr>
          <w:rFonts w:cs="Calibri"/>
        </w:rPr>
        <w:lastRenderedPageBreak/>
        <w:t xml:space="preserve">assessment to </w:t>
      </w:r>
      <w:r>
        <w:rPr>
          <w:rFonts w:cs="Calibri"/>
        </w:rPr>
        <w:t xml:space="preserve">verify that it </w:t>
      </w:r>
      <w:r w:rsidRPr="002824DB">
        <w:rPr>
          <w:rFonts w:cs="Calibri"/>
        </w:rPr>
        <w:t>is O</w:t>
      </w:r>
      <w:r>
        <w:rPr>
          <w:rFonts w:cs="Calibri"/>
        </w:rPr>
        <w:t xml:space="preserve">K to put the absorber there. About 1 to 2 weeks of </w:t>
      </w:r>
      <w:proofErr w:type="spellStart"/>
      <w:r>
        <w:rPr>
          <w:rFonts w:cs="Calibri"/>
        </w:rPr>
        <w:t>beamline</w:t>
      </w:r>
      <w:proofErr w:type="spellEnd"/>
      <w:r>
        <w:rPr>
          <w:rFonts w:cs="Calibri"/>
        </w:rPr>
        <w:t xml:space="preserve"> physicist work is </w:t>
      </w:r>
      <w:proofErr w:type="gramStart"/>
      <w:r>
        <w:rPr>
          <w:rFonts w:cs="Calibri"/>
        </w:rPr>
        <w:t>required  for</w:t>
      </w:r>
      <w:proofErr w:type="gramEnd"/>
      <w:r>
        <w:rPr>
          <w:rFonts w:cs="Calibri"/>
        </w:rPr>
        <w:t xml:space="preserve"> creating that assessment.</w:t>
      </w:r>
      <w:r w:rsidRPr="002824DB">
        <w:rPr>
          <w:rFonts w:cs="Calibri"/>
        </w:rPr>
        <w:t> </w:t>
      </w:r>
      <w:r>
        <w:rPr>
          <w:rFonts w:cs="Calibri"/>
        </w:rPr>
        <w:t> </w:t>
      </w:r>
    </w:p>
    <w:p w14:paraId="7397E918" w14:textId="77777777" w:rsidR="008471B3" w:rsidRDefault="008471B3" w:rsidP="008471B3">
      <w:pPr>
        <w:widowControl w:val="0"/>
        <w:autoSpaceDE w:val="0"/>
        <w:autoSpaceDN w:val="0"/>
        <w:adjustRightInd w:val="0"/>
        <w:jc w:val="both"/>
        <w:rPr>
          <w:rFonts w:cs="Calibri"/>
        </w:rPr>
      </w:pPr>
    </w:p>
    <w:p w14:paraId="25D6420B" w14:textId="77777777" w:rsidR="008471B3" w:rsidRDefault="008471B3" w:rsidP="008471B3">
      <w:pPr>
        <w:widowControl w:val="0"/>
        <w:autoSpaceDE w:val="0"/>
        <w:autoSpaceDN w:val="0"/>
        <w:adjustRightInd w:val="0"/>
        <w:jc w:val="both"/>
        <w:rPr>
          <w:rFonts w:cs="Calibri"/>
        </w:rPr>
      </w:pPr>
      <w:r>
        <w:rPr>
          <w:rFonts w:cs="Calibri"/>
        </w:rPr>
        <w:t xml:space="preserve">The intensity </w:t>
      </w:r>
      <w:r w:rsidRPr="002824DB">
        <w:rPr>
          <w:rFonts w:cs="Calibri"/>
        </w:rPr>
        <w:t xml:space="preserve">limits for the two modes of operation are:  600 pulses/hour or 4.5 x 10^15 protons/hour for beam measurements </w:t>
      </w:r>
      <w:r>
        <w:rPr>
          <w:rFonts w:cs="Calibri"/>
        </w:rPr>
        <w:t xml:space="preserve"> ‘</w:t>
      </w:r>
      <w:proofErr w:type="spellStart"/>
      <w:r>
        <w:rPr>
          <w:rFonts w:cs="Calibri"/>
        </w:rPr>
        <w:t>emittance</w:t>
      </w:r>
      <w:proofErr w:type="spellEnd"/>
      <w:r>
        <w:rPr>
          <w:rFonts w:cs="Calibri"/>
        </w:rPr>
        <w:t xml:space="preserve"> mode’) </w:t>
      </w:r>
      <w:r w:rsidRPr="002824DB">
        <w:rPr>
          <w:rFonts w:cs="Calibri"/>
        </w:rPr>
        <w:t>and 60 pulses/hour or 4.5 x 10^14 proton</w:t>
      </w:r>
      <w:r>
        <w:rPr>
          <w:rFonts w:cs="Calibri"/>
        </w:rPr>
        <w:t>s/hour to MTA experiments (‘experimental mode’)</w:t>
      </w:r>
    </w:p>
    <w:p w14:paraId="27B07172" w14:textId="77777777" w:rsidR="008471B3" w:rsidRDefault="008471B3" w:rsidP="008471B3">
      <w:pPr>
        <w:widowControl w:val="0"/>
        <w:autoSpaceDE w:val="0"/>
        <w:autoSpaceDN w:val="0"/>
        <w:adjustRightInd w:val="0"/>
        <w:jc w:val="both"/>
        <w:rPr>
          <w:rFonts w:cs="Calibri"/>
        </w:rPr>
      </w:pPr>
    </w:p>
    <w:p w14:paraId="706342E6" w14:textId="1F32E025" w:rsidR="001575F1" w:rsidRDefault="008471B3" w:rsidP="000251E3">
      <w:pPr>
        <w:widowControl w:val="0"/>
        <w:autoSpaceDE w:val="0"/>
        <w:autoSpaceDN w:val="0"/>
        <w:adjustRightInd w:val="0"/>
        <w:jc w:val="both"/>
        <w:rPr>
          <w:rFonts w:cs="Calibri"/>
          <w:b/>
        </w:rPr>
      </w:pPr>
      <w:r>
        <w:rPr>
          <w:rFonts w:cs="Calibri"/>
          <w:b/>
        </w:rPr>
        <w:t>Status of the MTA area</w:t>
      </w:r>
    </w:p>
    <w:p w14:paraId="2928B962" w14:textId="77777777" w:rsidR="00DB34CF" w:rsidRDefault="00DB34CF" w:rsidP="000251E3">
      <w:pPr>
        <w:widowControl w:val="0"/>
        <w:autoSpaceDE w:val="0"/>
        <w:autoSpaceDN w:val="0"/>
        <w:adjustRightInd w:val="0"/>
        <w:jc w:val="both"/>
        <w:rPr>
          <w:rFonts w:cs="Calibri"/>
        </w:rPr>
      </w:pPr>
    </w:p>
    <w:p w14:paraId="78223511" w14:textId="59F69D0E" w:rsidR="00561EA8" w:rsidRDefault="001F2E6F" w:rsidP="00561EA8">
      <w:pPr>
        <w:widowControl w:val="0"/>
        <w:autoSpaceDE w:val="0"/>
        <w:autoSpaceDN w:val="0"/>
        <w:adjustRightInd w:val="0"/>
        <w:jc w:val="both"/>
        <w:rPr>
          <w:rFonts w:cs="Calibri"/>
        </w:rPr>
      </w:pPr>
      <w:r>
        <w:rPr>
          <w:rFonts w:cs="Calibri"/>
        </w:rPr>
        <w:t xml:space="preserve">Here is a summary </w:t>
      </w:r>
      <w:r w:rsidR="00E928C3">
        <w:rPr>
          <w:rFonts w:cs="Calibri"/>
        </w:rPr>
        <w:t xml:space="preserve">of the status of MTA </w:t>
      </w:r>
      <w:r>
        <w:rPr>
          <w:rFonts w:cs="Calibri"/>
        </w:rPr>
        <w:t xml:space="preserve">from Tom </w:t>
      </w:r>
      <w:proofErr w:type="spellStart"/>
      <w:r>
        <w:rPr>
          <w:rFonts w:cs="Calibri"/>
        </w:rPr>
        <w:t>Kobilarcik</w:t>
      </w:r>
      <w:proofErr w:type="spellEnd"/>
      <w:r>
        <w:rPr>
          <w:rFonts w:cs="Calibri"/>
        </w:rPr>
        <w:t xml:space="preserve">, the MTA </w:t>
      </w:r>
      <w:proofErr w:type="spellStart"/>
      <w:r w:rsidR="00EF5F2D">
        <w:rPr>
          <w:rFonts w:cs="Calibri"/>
        </w:rPr>
        <w:t>beamline</w:t>
      </w:r>
      <w:proofErr w:type="spellEnd"/>
      <w:r w:rsidR="00EF5F2D">
        <w:rPr>
          <w:rFonts w:cs="Calibri"/>
        </w:rPr>
        <w:t xml:space="preserve"> physicist. </w:t>
      </w:r>
      <w:r w:rsidR="008D68AE">
        <w:rPr>
          <w:rFonts w:cs="Calibri"/>
        </w:rPr>
        <w:t xml:space="preserve">Currently, the </w:t>
      </w:r>
      <w:r w:rsidR="00561EA8">
        <w:rPr>
          <w:rFonts w:cs="Calibri"/>
        </w:rPr>
        <w:t xml:space="preserve">approved configuration is shown in Figure 2, with the movable absorber in a furthest downstream location such that irradiation of components in the </w:t>
      </w:r>
      <w:proofErr w:type="spellStart"/>
      <w:r w:rsidR="00561EA8">
        <w:rPr>
          <w:rFonts w:cs="Calibri"/>
        </w:rPr>
        <w:t>beamline</w:t>
      </w:r>
      <w:proofErr w:type="spellEnd"/>
      <w:r w:rsidR="00561EA8">
        <w:rPr>
          <w:rFonts w:cs="Calibri"/>
        </w:rPr>
        <w:t xml:space="preserve"> will be minimized. The MTA </w:t>
      </w:r>
      <w:proofErr w:type="spellStart"/>
      <w:r w:rsidR="00561EA8">
        <w:rPr>
          <w:rFonts w:cs="Calibri"/>
        </w:rPr>
        <w:t>beamline</w:t>
      </w:r>
      <w:proofErr w:type="spellEnd"/>
      <w:r w:rsidR="00561EA8">
        <w:rPr>
          <w:rFonts w:cs="Calibri"/>
        </w:rPr>
        <w:t xml:space="preserve"> is not operational, due to beryllium contamination caused by a ruptured window in the </w:t>
      </w:r>
      <w:proofErr w:type="spellStart"/>
      <w:r w:rsidR="00561EA8">
        <w:rPr>
          <w:rFonts w:cs="Calibri"/>
        </w:rPr>
        <w:t>beamline</w:t>
      </w:r>
      <w:proofErr w:type="spellEnd"/>
      <w:r w:rsidR="00561EA8">
        <w:rPr>
          <w:rFonts w:cs="Calibri"/>
        </w:rPr>
        <w:t xml:space="preserve">. </w:t>
      </w:r>
    </w:p>
    <w:p w14:paraId="5784E7BD" w14:textId="77777777" w:rsidR="00561EA8" w:rsidRDefault="00561EA8" w:rsidP="000251E3">
      <w:pPr>
        <w:widowControl w:val="0"/>
        <w:autoSpaceDE w:val="0"/>
        <w:autoSpaceDN w:val="0"/>
        <w:adjustRightInd w:val="0"/>
        <w:jc w:val="both"/>
        <w:rPr>
          <w:rFonts w:cs="Calibri"/>
        </w:rPr>
      </w:pPr>
    </w:p>
    <w:p w14:paraId="20BB2B0F" w14:textId="71044641" w:rsidR="00561EA8" w:rsidRDefault="00561EA8" w:rsidP="000251E3">
      <w:pPr>
        <w:widowControl w:val="0"/>
        <w:autoSpaceDE w:val="0"/>
        <w:autoSpaceDN w:val="0"/>
        <w:adjustRightInd w:val="0"/>
        <w:jc w:val="both"/>
        <w:rPr>
          <w:rFonts w:cs="Calibri"/>
        </w:rPr>
      </w:pPr>
      <w:r>
        <w:rPr>
          <w:rFonts w:cs="Calibri"/>
          <w:noProof/>
        </w:rPr>
        <w:drawing>
          <wp:inline distT="0" distB="0" distL="0" distR="0" wp14:anchorId="5F7E7605" wp14:editId="7934FF21">
            <wp:extent cx="4798464" cy="20860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675" cy="2086183"/>
                    </a:xfrm>
                    <a:prstGeom prst="rect">
                      <a:avLst/>
                    </a:prstGeom>
                    <a:noFill/>
                    <a:ln>
                      <a:noFill/>
                    </a:ln>
                  </pic:spPr>
                </pic:pic>
              </a:graphicData>
            </a:graphic>
          </wp:inline>
        </w:drawing>
      </w:r>
    </w:p>
    <w:p w14:paraId="012C82C3" w14:textId="77777777" w:rsidR="00561EA8" w:rsidRDefault="00561EA8" w:rsidP="000251E3">
      <w:pPr>
        <w:widowControl w:val="0"/>
        <w:autoSpaceDE w:val="0"/>
        <w:autoSpaceDN w:val="0"/>
        <w:adjustRightInd w:val="0"/>
        <w:jc w:val="both"/>
        <w:rPr>
          <w:rFonts w:cs="Calibri"/>
        </w:rPr>
      </w:pPr>
    </w:p>
    <w:p w14:paraId="41F46F9C" w14:textId="3D072EAE" w:rsidR="00561EA8" w:rsidRDefault="00561EA8" w:rsidP="001D3BC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Figure 2: This side view of the current configuration shows beam pipe spool pieces.</w:t>
      </w:r>
      <w:r w:rsidR="001D3BC5">
        <w:rPr>
          <w:rFonts w:ascii="Times New Roman" w:hAnsi="Times New Roman" w:cs="Times New Roman"/>
          <w:sz w:val="20"/>
          <w:szCs w:val="20"/>
        </w:rPr>
        <w:t xml:space="preserve"> The beam absorber </w:t>
      </w:r>
      <w:r>
        <w:rPr>
          <w:rFonts w:ascii="Times New Roman" w:hAnsi="Times New Roman" w:cs="Times New Roman"/>
          <w:sz w:val="20"/>
          <w:szCs w:val="20"/>
        </w:rPr>
        <w:t>will rest against the final downstream</w:t>
      </w:r>
      <w:r w:rsidR="001D3BC5">
        <w:rPr>
          <w:rFonts w:ascii="Times New Roman" w:hAnsi="Times New Roman" w:cs="Times New Roman"/>
          <w:sz w:val="20"/>
          <w:szCs w:val="20"/>
        </w:rPr>
        <w:t xml:space="preserve"> </w:t>
      </w:r>
      <w:r>
        <w:rPr>
          <w:rFonts w:ascii="Times New Roman" w:hAnsi="Times New Roman" w:cs="Times New Roman"/>
          <w:sz w:val="20"/>
          <w:szCs w:val="20"/>
        </w:rPr>
        <w:t>vacuum window flange.</w:t>
      </w:r>
    </w:p>
    <w:p w14:paraId="429A9CED" w14:textId="77777777" w:rsidR="00561EA8" w:rsidRDefault="00561EA8" w:rsidP="00561EA8">
      <w:pPr>
        <w:widowControl w:val="0"/>
        <w:autoSpaceDE w:val="0"/>
        <w:autoSpaceDN w:val="0"/>
        <w:adjustRightInd w:val="0"/>
        <w:jc w:val="both"/>
        <w:rPr>
          <w:rFonts w:cs="Calibri"/>
        </w:rPr>
      </w:pPr>
    </w:p>
    <w:p w14:paraId="752C7E0F" w14:textId="77777777" w:rsidR="00EF5F2D" w:rsidRDefault="00EF5F2D" w:rsidP="000251E3">
      <w:pPr>
        <w:widowControl w:val="0"/>
        <w:autoSpaceDE w:val="0"/>
        <w:autoSpaceDN w:val="0"/>
        <w:adjustRightInd w:val="0"/>
        <w:jc w:val="both"/>
        <w:rPr>
          <w:rFonts w:cs="Calibri"/>
        </w:rPr>
      </w:pPr>
    </w:p>
    <w:p w14:paraId="167B8346" w14:textId="09B62B8C" w:rsidR="001F2E6F" w:rsidRDefault="00EF5F2D" w:rsidP="000251E3">
      <w:pPr>
        <w:widowControl w:val="0"/>
        <w:autoSpaceDE w:val="0"/>
        <w:autoSpaceDN w:val="0"/>
        <w:adjustRightInd w:val="0"/>
        <w:jc w:val="both"/>
        <w:rPr>
          <w:rFonts w:cs="Calibri"/>
        </w:rPr>
      </w:pPr>
      <w:r w:rsidRPr="002824DB">
        <w:rPr>
          <w:rFonts w:cs="Calibri"/>
        </w:rPr>
        <w:t xml:space="preserve">We need 4 </w:t>
      </w:r>
      <w:r>
        <w:rPr>
          <w:rFonts w:cs="Calibri"/>
        </w:rPr>
        <w:t>MWPC wire chambers</w:t>
      </w:r>
      <w:r w:rsidRPr="002824DB">
        <w:rPr>
          <w:rFonts w:cs="Calibri"/>
        </w:rPr>
        <w:t xml:space="preserve"> repaired</w:t>
      </w:r>
      <w:r>
        <w:rPr>
          <w:rFonts w:cs="Calibri"/>
        </w:rPr>
        <w:t xml:space="preserve"> and installed</w:t>
      </w:r>
      <w:r w:rsidRPr="002824DB">
        <w:rPr>
          <w:rFonts w:cs="Calibri"/>
        </w:rPr>
        <w:t xml:space="preserve">.  This will require </w:t>
      </w:r>
      <w:r>
        <w:rPr>
          <w:rFonts w:cs="Calibri"/>
        </w:rPr>
        <w:t>re-wrapping the wires</w:t>
      </w:r>
      <w:proofErr w:type="gramStart"/>
      <w:r>
        <w:rPr>
          <w:rFonts w:cs="Calibri"/>
        </w:rPr>
        <w:t>.,</w:t>
      </w:r>
      <w:proofErr w:type="gramEnd"/>
      <w:r>
        <w:rPr>
          <w:rFonts w:cs="Calibri"/>
        </w:rPr>
        <w:t xml:space="preserve"> aligning it to the </w:t>
      </w:r>
      <w:proofErr w:type="spellStart"/>
      <w:r>
        <w:rPr>
          <w:rFonts w:cs="Calibri"/>
        </w:rPr>
        <w:t>beamline</w:t>
      </w:r>
      <w:proofErr w:type="spellEnd"/>
      <w:r>
        <w:rPr>
          <w:rFonts w:cs="Calibri"/>
        </w:rPr>
        <w:t>, hooking it up to a readout system and then perform measurements</w:t>
      </w:r>
      <w:r w:rsidRPr="002824DB">
        <w:rPr>
          <w:rFonts w:cs="Calibri"/>
        </w:rPr>
        <w:t>. </w:t>
      </w:r>
      <w:r w:rsidR="008D68AE">
        <w:rPr>
          <w:rFonts w:cs="Calibri"/>
        </w:rPr>
        <w:t>It is estimated that three technicians</w:t>
      </w:r>
      <w:r w:rsidR="00665422" w:rsidRPr="002824DB">
        <w:rPr>
          <w:rFonts w:cs="Calibri"/>
        </w:rPr>
        <w:t xml:space="preserve"> working full time for 1 week could likely</w:t>
      </w:r>
      <w:r w:rsidR="008D68AE">
        <w:rPr>
          <w:rFonts w:cs="Calibri"/>
        </w:rPr>
        <w:t xml:space="preserve"> get the </w:t>
      </w:r>
      <w:proofErr w:type="spellStart"/>
      <w:r w:rsidR="008D68AE">
        <w:rPr>
          <w:rFonts w:cs="Calibri"/>
        </w:rPr>
        <w:t>beamline</w:t>
      </w:r>
      <w:proofErr w:type="spellEnd"/>
      <w:r w:rsidR="008D68AE">
        <w:rPr>
          <w:rFonts w:cs="Calibri"/>
        </w:rPr>
        <w:t xml:space="preserve"> cle</w:t>
      </w:r>
      <w:r>
        <w:rPr>
          <w:rFonts w:cs="Calibri"/>
        </w:rPr>
        <w:t xml:space="preserve">aned and rebuilt, including new </w:t>
      </w:r>
      <w:r w:rsidR="008D68AE">
        <w:rPr>
          <w:rFonts w:cs="Calibri"/>
        </w:rPr>
        <w:t>windows.</w:t>
      </w:r>
      <w:r w:rsidR="001F2E6F">
        <w:rPr>
          <w:rFonts w:cs="Calibri"/>
        </w:rPr>
        <w:t xml:space="preserve"> </w:t>
      </w:r>
      <w:r>
        <w:rPr>
          <w:rFonts w:cs="Calibri"/>
        </w:rPr>
        <w:t xml:space="preserve"> It is estimated that the cost for the </w:t>
      </w:r>
      <w:proofErr w:type="spellStart"/>
      <w:r>
        <w:rPr>
          <w:rFonts w:cs="Calibri"/>
        </w:rPr>
        <w:t>beamline</w:t>
      </w:r>
      <w:proofErr w:type="spellEnd"/>
      <w:r>
        <w:rPr>
          <w:rFonts w:cs="Calibri"/>
        </w:rPr>
        <w:t xml:space="preserve"> work will be </w:t>
      </w:r>
      <w:r w:rsidR="004D7766">
        <w:rPr>
          <w:rFonts w:cs="Calibri"/>
        </w:rPr>
        <w:t>about</w:t>
      </w:r>
      <w:r>
        <w:rPr>
          <w:rFonts w:cs="Calibri"/>
        </w:rPr>
        <w:t xml:space="preserve"> $10K. </w:t>
      </w:r>
    </w:p>
    <w:p w14:paraId="7AB43B30" w14:textId="77777777" w:rsidR="001F2E6F" w:rsidRDefault="001F2E6F" w:rsidP="000251E3">
      <w:pPr>
        <w:widowControl w:val="0"/>
        <w:autoSpaceDE w:val="0"/>
        <w:autoSpaceDN w:val="0"/>
        <w:adjustRightInd w:val="0"/>
        <w:jc w:val="both"/>
        <w:rPr>
          <w:rFonts w:cs="Calibri"/>
        </w:rPr>
      </w:pPr>
    </w:p>
    <w:p w14:paraId="71692A6E" w14:textId="1809A223" w:rsidR="00783817" w:rsidRDefault="00665422" w:rsidP="000251E3">
      <w:pPr>
        <w:widowControl w:val="0"/>
        <w:autoSpaceDE w:val="0"/>
        <w:autoSpaceDN w:val="0"/>
        <w:adjustRightInd w:val="0"/>
        <w:jc w:val="both"/>
        <w:rPr>
          <w:rFonts w:cs="Calibri"/>
        </w:rPr>
      </w:pPr>
      <w:r w:rsidRPr="002824DB">
        <w:rPr>
          <w:rFonts w:cs="Calibri"/>
        </w:rPr>
        <w:t>The</w:t>
      </w:r>
      <w:r w:rsidR="008D68AE">
        <w:rPr>
          <w:rFonts w:cs="Calibri"/>
        </w:rPr>
        <w:t>re is a large RF cavity in the enclosure, belonging to the</w:t>
      </w:r>
      <w:r w:rsidRPr="002824DB">
        <w:rPr>
          <w:rFonts w:cs="Calibri"/>
        </w:rPr>
        <w:t xml:space="preserve"> </w:t>
      </w:r>
      <w:r w:rsidR="001F2E6F">
        <w:rPr>
          <w:rFonts w:cs="Calibri"/>
        </w:rPr>
        <w:t>MTA</w:t>
      </w:r>
      <w:r w:rsidRPr="002824DB">
        <w:rPr>
          <w:rFonts w:cs="Calibri"/>
        </w:rPr>
        <w:t xml:space="preserve"> </w:t>
      </w:r>
      <w:r w:rsidR="008D68AE">
        <w:rPr>
          <w:rFonts w:cs="Calibri"/>
        </w:rPr>
        <w:t xml:space="preserve">researchers. </w:t>
      </w:r>
      <w:r w:rsidR="00EF5F2D">
        <w:rPr>
          <w:rFonts w:cs="Calibri"/>
        </w:rPr>
        <w:t xml:space="preserve">Although it is not required that this cavity </w:t>
      </w:r>
      <w:r w:rsidR="001F2E6F">
        <w:rPr>
          <w:rFonts w:cs="Calibri"/>
        </w:rPr>
        <w:t xml:space="preserve">be removed before running </w:t>
      </w:r>
      <w:r w:rsidRPr="002824DB">
        <w:rPr>
          <w:rFonts w:cs="Calibri"/>
        </w:rPr>
        <w:t xml:space="preserve">any </w:t>
      </w:r>
      <w:r w:rsidR="001F2E6F">
        <w:rPr>
          <w:rFonts w:cs="Calibri"/>
        </w:rPr>
        <w:t xml:space="preserve">intense </w:t>
      </w:r>
      <w:r w:rsidRPr="002824DB">
        <w:rPr>
          <w:rFonts w:cs="Calibri"/>
        </w:rPr>
        <w:t>beam</w:t>
      </w:r>
      <w:r w:rsidR="00EF5F2D">
        <w:rPr>
          <w:rFonts w:cs="Calibri"/>
        </w:rPr>
        <w:t>, it is recommended</w:t>
      </w:r>
      <w:r w:rsidR="00AC44E4">
        <w:rPr>
          <w:rFonts w:cs="Calibri"/>
        </w:rPr>
        <w:t xml:space="preserve"> so as to make removal in the future </w:t>
      </w:r>
      <w:r w:rsidR="001D3BC5">
        <w:rPr>
          <w:rFonts w:cs="Calibri"/>
        </w:rPr>
        <w:t>safer</w:t>
      </w:r>
      <w:r w:rsidR="00AC44E4">
        <w:rPr>
          <w:rFonts w:cs="Calibri"/>
        </w:rPr>
        <w:t xml:space="preserve">. </w:t>
      </w:r>
      <w:r w:rsidR="008D68AE">
        <w:rPr>
          <w:rFonts w:cs="Calibri"/>
        </w:rPr>
        <w:t xml:space="preserve">Removing this cavity requires significant </w:t>
      </w:r>
      <w:r w:rsidRPr="002824DB">
        <w:rPr>
          <w:rFonts w:cs="Calibri"/>
        </w:rPr>
        <w:t>planning</w:t>
      </w:r>
      <w:r w:rsidR="008D68AE">
        <w:rPr>
          <w:rFonts w:cs="Calibri"/>
        </w:rPr>
        <w:t xml:space="preserve"> and resources</w:t>
      </w:r>
      <w:r w:rsidR="001F2E6F">
        <w:rPr>
          <w:rFonts w:cs="Calibri"/>
        </w:rPr>
        <w:t>.</w:t>
      </w:r>
      <w:r w:rsidRPr="002824DB">
        <w:rPr>
          <w:rFonts w:cs="Calibri"/>
        </w:rPr>
        <w:t xml:space="preserve"> </w:t>
      </w:r>
      <w:r w:rsidR="008D68AE">
        <w:rPr>
          <w:rFonts w:cs="Calibri"/>
        </w:rPr>
        <w:t>We</w:t>
      </w:r>
      <w:r w:rsidRPr="002824DB">
        <w:rPr>
          <w:rFonts w:cs="Calibri"/>
        </w:rPr>
        <w:t xml:space="preserve"> estimate an engineer would need to spend a week making plans </w:t>
      </w:r>
      <w:r w:rsidR="00DB34CF">
        <w:rPr>
          <w:rFonts w:cs="Calibri"/>
        </w:rPr>
        <w:t xml:space="preserve">with </w:t>
      </w:r>
      <w:r w:rsidR="008D68AE">
        <w:rPr>
          <w:rFonts w:cs="Calibri"/>
        </w:rPr>
        <w:t xml:space="preserve">the </w:t>
      </w:r>
      <w:r w:rsidR="00DB34CF">
        <w:rPr>
          <w:rFonts w:cs="Calibri"/>
        </w:rPr>
        <w:t xml:space="preserve">Industrial </w:t>
      </w:r>
      <w:r w:rsidR="008D68AE">
        <w:rPr>
          <w:rFonts w:cs="Calibri"/>
        </w:rPr>
        <w:t>Hygiene group</w:t>
      </w:r>
      <w:r w:rsidRPr="002824DB">
        <w:rPr>
          <w:rFonts w:cs="Calibri"/>
        </w:rPr>
        <w:t xml:space="preserve">.  </w:t>
      </w:r>
      <w:r w:rsidR="00BB4F06">
        <w:rPr>
          <w:rFonts w:cs="Calibri"/>
        </w:rPr>
        <w:t>We estimate</w:t>
      </w:r>
      <w:r w:rsidRPr="002824DB">
        <w:rPr>
          <w:rFonts w:cs="Calibri"/>
        </w:rPr>
        <w:t xml:space="preserve"> </w:t>
      </w:r>
      <w:r w:rsidRPr="002824DB">
        <w:rPr>
          <w:rFonts w:cs="Calibri"/>
        </w:rPr>
        <w:lastRenderedPageBreak/>
        <w:t>at least 2 weeks full time for 3 technicians to get the cav</w:t>
      </w:r>
      <w:r w:rsidR="00BB4F06">
        <w:rPr>
          <w:rFonts w:cs="Calibri"/>
        </w:rPr>
        <w:t>ity out</w:t>
      </w:r>
      <w:proofErr w:type="gramStart"/>
      <w:r w:rsidR="00BB4F06">
        <w:rPr>
          <w:rFonts w:cs="Calibri"/>
        </w:rPr>
        <w:t>. </w:t>
      </w:r>
      <w:proofErr w:type="gramEnd"/>
      <w:r w:rsidR="00BB4F06">
        <w:rPr>
          <w:rFonts w:cs="Calibri"/>
        </w:rPr>
        <w:t>   This will require</w:t>
      </w:r>
      <w:r w:rsidRPr="002824DB">
        <w:rPr>
          <w:rFonts w:cs="Calibri"/>
        </w:rPr>
        <w:t xml:space="preserve"> 1 day with a crane from outside.  </w:t>
      </w:r>
      <w:r w:rsidR="00BB4F06">
        <w:rPr>
          <w:rFonts w:cs="Calibri"/>
        </w:rPr>
        <w:t>(Note: t</w:t>
      </w:r>
      <w:r w:rsidRPr="002824DB">
        <w:rPr>
          <w:rFonts w:cs="Calibri"/>
        </w:rPr>
        <w:t>his is assuming</w:t>
      </w:r>
      <w:r w:rsidR="00DB34CF">
        <w:rPr>
          <w:rFonts w:cs="Calibri"/>
        </w:rPr>
        <w:t xml:space="preserve"> all of the hardware </w:t>
      </w:r>
      <w:r w:rsidRPr="002824DB">
        <w:rPr>
          <w:rFonts w:cs="Calibri"/>
        </w:rPr>
        <w:t xml:space="preserve">for </w:t>
      </w:r>
      <w:r w:rsidR="00BB4F06">
        <w:rPr>
          <w:rFonts w:cs="Calibri"/>
        </w:rPr>
        <w:t>de-</w:t>
      </w:r>
      <w:r w:rsidRPr="002824DB">
        <w:rPr>
          <w:rFonts w:cs="Calibri"/>
        </w:rPr>
        <w:t>ins</w:t>
      </w:r>
      <w:r w:rsidR="00BB4F06">
        <w:rPr>
          <w:rFonts w:cs="Calibri"/>
        </w:rPr>
        <w:t>tallation is still available.  We are</w:t>
      </w:r>
      <w:r w:rsidRPr="002824DB">
        <w:rPr>
          <w:rFonts w:cs="Calibri"/>
        </w:rPr>
        <w:t xml:space="preserve"> not sure where </w:t>
      </w:r>
      <w:r w:rsidR="00EF5F2D">
        <w:rPr>
          <w:rFonts w:cs="Calibri"/>
        </w:rPr>
        <w:t xml:space="preserve">this </w:t>
      </w:r>
      <w:proofErr w:type="gramStart"/>
      <w:r w:rsidR="00EF5F2D">
        <w:rPr>
          <w:rFonts w:cs="Calibri"/>
        </w:rPr>
        <w:t xml:space="preserve">equipment </w:t>
      </w:r>
      <w:r w:rsidRPr="002824DB">
        <w:rPr>
          <w:rFonts w:cs="Calibri"/>
        </w:rPr>
        <w:t xml:space="preserve"> end</w:t>
      </w:r>
      <w:r w:rsidR="00BB4F06">
        <w:rPr>
          <w:rFonts w:cs="Calibri"/>
        </w:rPr>
        <w:t>ed</w:t>
      </w:r>
      <w:proofErr w:type="gramEnd"/>
      <w:r w:rsidR="00BB4F06">
        <w:rPr>
          <w:rFonts w:cs="Calibri"/>
        </w:rPr>
        <w:t xml:space="preserve"> up being stored at.  The </w:t>
      </w:r>
      <w:r w:rsidRPr="002824DB">
        <w:rPr>
          <w:rFonts w:cs="Calibri"/>
        </w:rPr>
        <w:t>engineer who installed the cavity, Ryan Schultz, h</w:t>
      </w:r>
      <w:r w:rsidR="00BB4F06">
        <w:rPr>
          <w:rFonts w:cs="Calibri"/>
        </w:rPr>
        <w:t xml:space="preserve">as since left the lab.) </w:t>
      </w:r>
    </w:p>
    <w:p w14:paraId="5904C2B8" w14:textId="77777777" w:rsidR="00783817" w:rsidRDefault="00783817" w:rsidP="000251E3">
      <w:pPr>
        <w:widowControl w:val="0"/>
        <w:autoSpaceDE w:val="0"/>
        <w:autoSpaceDN w:val="0"/>
        <w:adjustRightInd w:val="0"/>
        <w:jc w:val="both"/>
        <w:rPr>
          <w:rFonts w:cs="Calibri"/>
        </w:rPr>
      </w:pPr>
    </w:p>
    <w:p w14:paraId="7F273CCE" w14:textId="4764059A" w:rsidR="00654553" w:rsidRDefault="00665422" w:rsidP="000251E3">
      <w:pPr>
        <w:widowControl w:val="0"/>
        <w:autoSpaceDE w:val="0"/>
        <w:autoSpaceDN w:val="0"/>
        <w:adjustRightInd w:val="0"/>
        <w:jc w:val="both"/>
        <w:rPr>
          <w:rFonts w:cs="Calibri"/>
        </w:rPr>
      </w:pPr>
      <w:r w:rsidRPr="002824DB">
        <w:rPr>
          <w:rFonts w:cs="Calibri"/>
        </w:rPr>
        <w:t xml:space="preserve">We do not know if the </w:t>
      </w:r>
      <w:r w:rsidR="00AC44E4">
        <w:rPr>
          <w:rFonts w:cs="Calibri"/>
        </w:rPr>
        <w:t xml:space="preserve">current </w:t>
      </w:r>
      <w:proofErr w:type="gramStart"/>
      <w:r w:rsidRPr="002824DB">
        <w:rPr>
          <w:rFonts w:cs="Calibri"/>
        </w:rPr>
        <w:t>ion pump</w:t>
      </w:r>
      <w:proofErr w:type="gramEnd"/>
      <w:r w:rsidRPr="002824DB">
        <w:rPr>
          <w:rFonts w:cs="Calibri"/>
        </w:rPr>
        <w:t xml:space="preserve"> </w:t>
      </w:r>
      <w:r w:rsidR="00701F56">
        <w:rPr>
          <w:rFonts w:cs="Calibri"/>
        </w:rPr>
        <w:t>works</w:t>
      </w:r>
      <w:r w:rsidRPr="002824DB">
        <w:rPr>
          <w:rFonts w:cs="Calibri"/>
        </w:rPr>
        <w:t xml:space="preserve">.  </w:t>
      </w:r>
      <w:r w:rsidR="00701F56">
        <w:rPr>
          <w:rFonts w:cs="Calibri"/>
        </w:rPr>
        <w:t>For</w:t>
      </w:r>
      <w:r w:rsidR="00654553">
        <w:rPr>
          <w:rFonts w:cs="Calibri"/>
        </w:rPr>
        <w:t xml:space="preserve"> the future it is recommended that we </w:t>
      </w:r>
      <w:r w:rsidR="00783817">
        <w:rPr>
          <w:rFonts w:cs="Calibri"/>
        </w:rPr>
        <w:t xml:space="preserve">install an additional </w:t>
      </w:r>
      <w:r w:rsidRPr="002824DB">
        <w:rPr>
          <w:rFonts w:cs="Calibri"/>
        </w:rPr>
        <w:t>ion pump.  This would allow work in the experimental area with UB</w:t>
      </w:r>
      <w:r w:rsidR="00783817">
        <w:rPr>
          <w:rFonts w:cs="Calibri"/>
        </w:rPr>
        <w:t>V03 (vacuum valve) closed.</w:t>
      </w:r>
      <w:r w:rsidR="00654553">
        <w:rPr>
          <w:rFonts w:cs="Calibri"/>
        </w:rPr>
        <w:t xml:space="preserve"> </w:t>
      </w:r>
      <w:r w:rsidRPr="002824DB">
        <w:rPr>
          <w:rFonts w:cs="Calibri"/>
        </w:rPr>
        <w:t xml:space="preserve">In the event of a problem in the experiment the </w:t>
      </w:r>
      <w:proofErr w:type="spellStart"/>
      <w:r w:rsidRPr="002824DB">
        <w:rPr>
          <w:rFonts w:cs="Calibri"/>
        </w:rPr>
        <w:t>beamline</w:t>
      </w:r>
      <w:proofErr w:type="spellEnd"/>
      <w:r w:rsidRPr="002824DB">
        <w:rPr>
          <w:rFonts w:cs="Calibri"/>
        </w:rPr>
        <w:t xml:space="preserve"> would s</w:t>
      </w:r>
      <w:r w:rsidR="00783817">
        <w:rPr>
          <w:rFonts w:cs="Calibri"/>
        </w:rPr>
        <w:t xml:space="preserve">till be protected.  </w:t>
      </w:r>
      <w:r w:rsidR="00654553">
        <w:rPr>
          <w:rFonts w:cs="Calibri"/>
        </w:rPr>
        <w:t>A</w:t>
      </w:r>
      <w:r w:rsidR="00783817">
        <w:rPr>
          <w:rFonts w:cs="Calibri"/>
        </w:rPr>
        <w:t xml:space="preserve"> new </w:t>
      </w:r>
      <w:r w:rsidRPr="002824DB">
        <w:rPr>
          <w:rFonts w:cs="Calibri"/>
        </w:rPr>
        <w:t>ion pump woul</w:t>
      </w:r>
      <w:r w:rsidR="00654553">
        <w:rPr>
          <w:rFonts w:cs="Calibri"/>
        </w:rPr>
        <w:t>d likely cost $10K</w:t>
      </w:r>
      <w:r w:rsidRPr="002824DB">
        <w:rPr>
          <w:rFonts w:cs="Calibri"/>
        </w:rPr>
        <w:t xml:space="preserve">.  If the </w:t>
      </w:r>
      <w:r w:rsidR="00783817">
        <w:rPr>
          <w:rFonts w:cs="Calibri"/>
        </w:rPr>
        <w:t>upstream ion pump is bad then</w:t>
      </w:r>
      <w:r w:rsidRPr="002824DB">
        <w:rPr>
          <w:rFonts w:cs="Calibri"/>
        </w:rPr>
        <w:t xml:space="preserve"> we need 2 ion pumps</w:t>
      </w:r>
      <w:r w:rsidR="00654553">
        <w:rPr>
          <w:rFonts w:cs="Calibri"/>
        </w:rPr>
        <w:t xml:space="preserve">. </w:t>
      </w:r>
      <w:r w:rsidRPr="002824DB">
        <w:rPr>
          <w:rFonts w:cs="Calibri"/>
        </w:rPr>
        <w:t>There is also a beam valve tha</w:t>
      </w:r>
      <w:r w:rsidR="00783817">
        <w:rPr>
          <w:rFonts w:cs="Calibri"/>
        </w:rPr>
        <w:t xml:space="preserve">t may or may not </w:t>
      </w:r>
      <w:proofErr w:type="gramStart"/>
      <w:r w:rsidR="00783817">
        <w:rPr>
          <w:rFonts w:cs="Calibri"/>
        </w:rPr>
        <w:t xml:space="preserve">function  </w:t>
      </w:r>
      <w:r w:rsidRPr="002824DB">
        <w:rPr>
          <w:rFonts w:cs="Calibri"/>
        </w:rPr>
        <w:t>properly</w:t>
      </w:r>
      <w:proofErr w:type="gramEnd"/>
      <w:r w:rsidRPr="002824DB">
        <w:rPr>
          <w:rFonts w:cs="Calibri"/>
        </w:rPr>
        <w:t xml:space="preserve">.  </w:t>
      </w:r>
      <w:r w:rsidR="00654553">
        <w:rPr>
          <w:rFonts w:cs="Calibri"/>
        </w:rPr>
        <w:t>(</w:t>
      </w:r>
      <w:proofErr w:type="gramStart"/>
      <w:r w:rsidR="00654553" w:rsidRPr="002F20F5">
        <w:rPr>
          <w:rFonts w:cs="Calibri"/>
          <w:i/>
        </w:rPr>
        <w:t>cost</w:t>
      </w:r>
      <w:proofErr w:type="gramEnd"/>
      <w:r w:rsidR="00654553" w:rsidRPr="002F20F5">
        <w:rPr>
          <w:rFonts w:cs="Calibri"/>
          <w:i/>
        </w:rPr>
        <w:t xml:space="preserve"> estimate?)</w:t>
      </w:r>
      <w:r w:rsidR="00783817" w:rsidRPr="002F20F5">
        <w:rPr>
          <w:rFonts w:cs="Calibri"/>
          <w:i/>
        </w:rPr>
        <w:t>.</w:t>
      </w:r>
      <w:r w:rsidR="00783817">
        <w:rPr>
          <w:rFonts w:cs="Calibri"/>
        </w:rPr>
        <w:t xml:space="preserve"> </w:t>
      </w:r>
    </w:p>
    <w:p w14:paraId="0DD67485" w14:textId="77777777" w:rsidR="00654553" w:rsidRDefault="00654553" w:rsidP="000251E3">
      <w:pPr>
        <w:widowControl w:val="0"/>
        <w:autoSpaceDE w:val="0"/>
        <w:autoSpaceDN w:val="0"/>
        <w:adjustRightInd w:val="0"/>
        <w:jc w:val="both"/>
        <w:rPr>
          <w:rFonts w:cs="Calibri"/>
        </w:rPr>
      </w:pPr>
    </w:p>
    <w:p w14:paraId="0E6EC633" w14:textId="1C35D01C" w:rsidR="00654553" w:rsidRDefault="00665422" w:rsidP="000251E3">
      <w:pPr>
        <w:widowControl w:val="0"/>
        <w:autoSpaceDE w:val="0"/>
        <w:autoSpaceDN w:val="0"/>
        <w:adjustRightInd w:val="0"/>
        <w:jc w:val="both"/>
        <w:rPr>
          <w:rFonts w:cs="Calibri"/>
        </w:rPr>
      </w:pPr>
      <w:r w:rsidRPr="002824DB">
        <w:rPr>
          <w:rFonts w:cs="Calibri"/>
        </w:rPr>
        <w:t xml:space="preserve">The </w:t>
      </w:r>
      <w:proofErr w:type="spellStart"/>
      <w:r w:rsidRPr="002824DB">
        <w:rPr>
          <w:rFonts w:cs="Calibri"/>
        </w:rPr>
        <w:t>emittance</w:t>
      </w:r>
      <w:proofErr w:type="spellEnd"/>
      <w:r w:rsidRPr="002824DB">
        <w:rPr>
          <w:rFonts w:cs="Calibri"/>
        </w:rPr>
        <w:t xml:space="preserve"> absorber still has beryllium in it.  The samples ar</w:t>
      </w:r>
      <w:r w:rsidR="00783817">
        <w:rPr>
          <w:rFonts w:cs="Calibri"/>
        </w:rPr>
        <w:t xml:space="preserve">ound it came back above the </w:t>
      </w:r>
      <w:r w:rsidRPr="002824DB">
        <w:rPr>
          <w:rFonts w:cs="Calibri"/>
        </w:rPr>
        <w:t xml:space="preserve">beryllium action level.  </w:t>
      </w:r>
      <w:r w:rsidR="00E928C3">
        <w:rPr>
          <w:rFonts w:cs="Calibri"/>
        </w:rPr>
        <w:t>We should</w:t>
      </w:r>
      <w:r w:rsidRPr="002824DB">
        <w:rPr>
          <w:rFonts w:cs="Calibri"/>
        </w:rPr>
        <w:t xml:space="preserve"> plan on 3 techs for 2 days an</w:t>
      </w:r>
      <w:r w:rsidR="00F970B5">
        <w:rPr>
          <w:rFonts w:cs="Calibri"/>
        </w:rPr>
        <w:t xml:space="preserve">d 1 engineer to perform the </w:t>
      </w:r>
      <w:r w:rsidRPr="002824DB">
        <w:rPr>
          <w:rFonts w:cs="Calibri"/>
        </w:rPr>
        <w:t>hazard analysis and plan of action</w:t>
      </w:r>
      <w:r w:rsidR="00701F56">
        <w:rPr>
          <w:rFonts w:cs="Calibri"/>
        </w:rPr>
        <w:t xml:space="preserve">. </w:t>
      </w:r>
      <w:r w:rsidRPr="002824DB">
        <w:rPr>
          <w:rFonts w:cs="Calibri"/>
        </w:rPr>
        <w:t xml:space="preserve">If you only ran in </w:t>
      </w:r>
      <w:proofErr w:type="spellStart"/>
      <w:r w:rsidRPr="002824DB">
        <w:rPr>
          <w:rFonts w:cs="Calibri"/>
        </w:rPr>
        <w:t>emittance</w:t>
      </w:r>
      <w:proofErr w:type="spellEnd"/>
      <w:r w:rsidRPr="002824DB">
        <w:rPr>
          <w:rFonts w:cs="Calibri"/>
        </w:rPr>
        <w:t xml:space="preserve"> mode to the first absorber </w:t>
      </w:r>
      <w:r w:rsidR="00F970B5">
        <w:rPr>
          <w:rFonts w:cs="Calibri"/>
        </w:rPr>
        <w:t>then removing the MICE cavity would not technically be required.</w:t>
      </w:r>
      <w:r w:rsidR="00654553">
        <w:rPr>
          <w:rFonts w:cs="Calibri"/>
        </w:rPr>
        <w:t xml:space="preserve"> </w:t>
      </w:r>
    </w:p>
    <w:p w14:paraId="5100FF7F" w14:textId="77777777" w:rsidR="00654553" w:rsidRDefault="00654553" w:rsidP="000251E3">
      <w:pPr>
        <w:widowControl w:val="0"/>
        <w:autoSpaceDE w:val="0"/>
        <w:autoSpaceDN w:val="0"/>
        <w:adjustRightInd w:val="0"/>
        <w:jc w:val="both"/>
        <w:rPr>
          <w:rFonts w:cs="Calibri"/>
        </w:rPr>
      </w:pPr>
    </w:p>
    <w:p w14:paraId="453E3D25" w14:textId="10C320F6" w:rsidR="002F20F5" w:rsidRDefault="00665422" w:rsidP="000251E3">
      <w:pPr>
        <w:widowControl w:val="0"/>
        <w:autoSpaceDE w:val="0"/>
        <w:autoSpaceDN w:val="0"/>
        <w:adjustRightInd w:val="0"/>
        <w:jc w:val="both"/>
        <w:rPr>
          <w:rFonts w:cs="Calibri"/>
        </w:rPr>
      </w:pPr>
      <w:proofErr w:type="gramStart"/>
      <w:r w:rsidRPr="002824DB">
        <w:rPr>
          <w:rFonts w:cs="Calibri"/>
        </w:rPr>
        <w:t>For any experiment we will need to buy a vacuum window, cost estima</w:t>
      </w:r>
      <w:r w:rsidR="00F970B5">
        <w:rPr>
          <w:rFonts w:cs="Calibri"/>
        </w:rPr>
        <w:t xml:space="preserve">te </w:t>
      </w:r>
      <w:r w:rsidR="002F20F5">
        <w:rPr>
          <w:rFonts w:cs="Calibri"/>
        </w:rPr>
        <w:t>$</w:t>
      </w:r>
      <w:r w:rsidR="00F970B5">
        <w:rPr>
          <w:rFonts w:cs="Calibri"/>
        </w:rPr>
        <w:t>5</w:t>
      </w:r>
      <w:r w:rsidR="002F20F5">
        <w:rPr>
          <w:rFonts w:cs="Calibri"/>
        </w:rPr>
        <w:t>K</w:t>
      </w:r>
      <w:r w:rsidR="00F970B5">
        <w:rPr>
          <w:rFonts w:cs="Calibri"/>
        </w:rPr>
        <w:t>.</w:t>
      </w:r>
      <w:proofErr w:type="gramEnd"/>
      <w:r w:rsidR="00F970B5">
        <w:rPr>
          <w:rFonts w:cs="Calibri"/>
        </w:rPr>
        <w:t xml:space="preserve">  Then we will need </w:t>
      </w:r>
      <w:r w:rsidRPr="002824DB">
        <w:rPr>
          <w:rFonts w:cs="Calibri"/>
        </w:rPr>
        <w:t>an engineer to write the window note.  I would plan on 1 engineer</w:t>
      </w:r>
      <w:r w:rsidR="00F970B5">
        <w:rPr>
          <w:rFonts w:cs="Calibri"/>
        </w:rPr>
        <w:t xml:space="preserve"> for at least 1 week to get this done.  </w:t>
      </w:r>
      <w:r w:rsidRPr="002824DB">
        <w:rPr>
          <w:rFonts w:cs="Calibri"/>
        </w:rPr>
        <w:t>Any experim</w:t>
      </w:r>
      <w:r w:rsidR="002F20F5">
        <w:rPr>
          <w:rFonts w:cs="Calibri"/>
        </w:rPr>
        <w:t>ent will require an ORC.</w:t>
      </w:r>
    </w:p>
    <w:p w14:paraId="7D388E05" w14:textId="77777777" w:rsidR="002F20F5" w:rsidRDefault="002F20F5" w:rsidP="000251E3">
      <w:pPr>
        <w:widowControl w:val="0"/>
        <w:autoSpaceDE w:val="0"/>
        <w:autoSpaceDN w:val="0"/>
        <w:adjustRightInd w:val="0"/>
        <w:jc w:val="both"/>
        <w:rPr>
          <w:rFonts w:cs="Calibri"/>
        </w:rPr>
      </w:pPr>
    </w:p>
    <w:p w14:paraId="3E99679E" w14:textId="2CFC2A1F" w:rsidR="00665422" w:rsidRDefault="002F20F5" w:rsidP="002F20F5">
      <w:pPr>
        <w:widowControl w:val="0"/>
        <w:autoSpaceDE w:val="0"/>
        <w:autoSpaceDN w:val="0"/>
        <w:adjustRightInd w:val="0"/>
        <w:jc w:val="both"/>
        <w:rPr>
          <w:rFonts w:cs="Calibri"/>
        </w:rPr>
      </w:pPr>
      <w:r>
        <w:rPr>
          <w:rFonts w:cs="Calibri"/>
        </w:rPr>
        <w:t>Summary of costs and manpower:</w:t>
      </w:r>
    </w:p>
    <w:p w14:paraId="599DC810" w14:textId="4B088954" w:rsidR="002F20F5" w:rsidRDefault="002F20F5" w:rsidP="002F20F5">
      <w:pPr>
        <w:widowControl w:val="0"/>
        <w:autoSpaceDE w:val="0"/>
        <w:autoSpaceDN w:val="0"/>
        <w:adjustRightInd w:val="0"/>
        <w:jc w:val="both"/>
        <w:rPr>
          <w:rFonts w:cs="Calibri"/>
        </w:rPr>
      </w:pPr>
      <w:r>
        <w:rPr>
          <w:rFonts w:cs="Calibri"/>
        </w:rPr>
        <w:tab/>
      </w:r>
      <w:proofErr w:type="spellStart"/>
      <w:r>
        <w:rPr>
          <w:rFonts w:cs="Calibri"/>
        </w:rPr>
        <w:t>Beamline</w:t>
      </w:r>
      <w:proofErr w:type="spellEnd"/>
      <w:r>
        <w:rPr>
          <w:rFonts w:cs="Calibri"/>
        </w:rPr>
        <w:t xml:space="preserve"> repair: $10k, 3 technician weeks</w:t>
      </w:r>
    </w:p>
    <w:p w14:paraId="28D434BE" w14:textId="6B2D3B0F" w:rsidR="002F20F5" w:rsidRDefault="002F20F5" w:rsidP="002F20F5">
      <w:pPr>
        <w:widowControl w:val="0"/>
        <w:autoSpaceDE w:val="0"/>
        <w:autoSpaceDN w:val="0"/>
        <w:adjustRightInd w:val="0"/>
        <w:jc w:val="both"/>
        <w:rPr>
          <w:rFonts w:cs="Calibri"/>
        </w:rPr>
      </w:pPr>
      <w:r>
        <w:rPr>
          <w:rFonts w:cs="Calibri"/>
        </w:rPr>
        <w:tab/>
        <w:t>Beam Window: $5K, 1 Engineer week</w:t>
      </w:r>
    </w:p>
    <w:p w14:paraId="6FF8196A" w14:textId="2C92F97C" w:rsidR="002F20F5" w:rsidRDefault="002F20F5" w:rsidP="002F20F5">
      <w:pPr>
        <w:widowControl w:val="0"/>
        <w:autoSpaceDE w:val="0"/>
        <w:autoSpaceDN w:val="0"/>
        <w:adjustRightInd w:val="0"/>
        <w:jc w:val="both"/>
        <w:rPr>
          <w:rFonts w:cs="Calibri"/>
        </w:rPr>
      </w:pPr>
      <w:r>
        <w:rPr>
          <w:rFonts w:cs="Calibri"/>
        </w:rPr>
        <w:tab/>
        <w:t xml:space="preserve">Ion pumps and valve: $15K, </w:t>
      </w:r>
    </w:p>
    <w:p w14:paraId="2B87CE00" w14:textId="2A80F724" w:rsidR="002F20F5" w:rsidRDefault="002F20F5" w:rsidP="002F20F5">
      <w:pPr>
        <w:widowControl w:val="0"/>
        <w:autoSpaceDE w:val="0"/>
        <w:autoSpaceDN w:val="0"/>
        <w:adjustRightInd w:val="0"/>
        <w:jc w:val="both"/>
        <w:rPr>
          <w:rFonts w:cs="Calibri"/>
        </w:rPr>
      </w:pPr>
      <w:r>
        <w:rPr>
          <w:rFonts w:cs="Calibri"/>
        </w:rPr>
        <w:tab/>
      </w:r>
      <w:proofErr w:type="spellStart"/>
      <w:r>
        <w:rPr>
          <w:rFonts w:cs="Calibri"/>
        </w:rPr>
        <w:t>Emittance</w:t>
      </w:r>
      <w:proofErr w:type="spellEnd"/>
      <w:r>
        <w:rPr>
          <w:rFonts w:cs="Calibri"/>
        </w:rPr>
        <w:t xml:space="preserve"> absorber cleaning: 3 technician days, 1 Engineer day</w:t>
      </w:r>
    </w:p>
    <w:p w14:paraId="3C009ED9" w14:textId="77DD61BA" w:rsidR="00AC44E4" w:rsidRDefault="002F20F5" w:rsidP="001D3BC5">
      <w:pPr>
        <w:widowControl w:val="0"/>
        <w:autoSpaceDE w:val="0"/>
        <w:autoSpaceDN w:val="0"/>
        <w:adjustRightInd w:val="0"/>
        <w:jc w:val="both"/>
        <w:rPr>
          <w:rFonts w:cs="Calibri"/>
        </w:rPr>
      </w:pPr>
      <w:r>
        <w:rPr>
          <w:rFonts w:cs="Calibri"/>
        </w:rPr>
        <w:tab/>
        <w:t>Removing the RF cavity: 1 engineer week, 6 technician weeks</w:t>
      </w:r>
    </w:p>
    <w:p w14:paraId="44EEAAB1" w14:textId="6DCCA389" w:rsidR="004D7766" w:rsidRPr="001D3BC5" w:rsidRDefault="004D7766" w:rsidP="001D3BC5">
      <w:pPr>
        <w:widowControl w:val="0"/>
        <w:autoSpaceDE w:val="0"/>
        <w:autoSpaceDN w:val="0"/>
        <w:adjustRightInd w:val="0"/>
        <w:jc w:val="both"/>
        <w:rPr>
          <w:rFonts w:cs="Calibri"/>
        </w:rPr>
      </w:pPr>
      <w:r>
        <w:rPr>
          <w:rFonts w:cs="Calibri"/>
        </w:rPr>
        <w:t>Assuming a day of manpower is on the order of $1000, then this totals to approximately $50K in labor and $30K in materials. The cost of operations is unknown at the moment.</w:t>
      </w:r>
    </w:p>
    <w:p w14:paraId="7EDAB1C9" w14:textId="77777777" w:rsidR="00AC44E4" w:rsidRDefault="00AC44E4" w:rsidP="000251E3">
      <w:pPr>
        <w:jc w:val="both"/>
        <w:rPr>
          <w:b/>
        </w:rPr>
      </w:pPr>
    </w:p>
    <w:p w14:paraId="3265D7CE" w14:textId="7E0A1142" w:rsidR="00193FB0" w:rsidRPr="001F4E4D" w:rsidRDefault="00141F1D" w:rsidP="000251E3">
      <w:pPr>
        <w:jc w:val="both"/>
        <w:rPr>
          <w:b/>
        </w:rPr>
      </w:pPr>
      <w:r w:rsidRPr="001F4E4D">
        <w:rPr>
          <w:b/>
        </w:rPr>
        <w:t>Summary</w:t>
      </w:r>
    </w:p>
    <w:p w14:paraId="62238D7C" w14:textId="77777777" w:rsidR="0075370F" w:rsidRDefault="0075370F" w:rsidP="000251E3">
      <w:pPr>
        <w:jc w:val="both"/>
      </w:pPr>
    </w:p>
    <w:p w14:paraId="01C118EC" w14:textId="21256868" w:rsidR="00BB7C11" w:rsidRDefault="00B3487A" w:rsidP="000251E3">
      <w:pPr>
        <w:jc w:val="both"/>
      </w:pPr>
      <w:r>
        <w:t xml:space="preserve">It is imperative that the next phase of detectors and readout for the HL-LHC experiments be tested for radiation hardness, up to and beyond a </w:t>
      </w:r>
      <w:proofErr w:type="spellStart"/>
      <w:r>
        <w:t>fluence</w:t>
      </w:r>
      <w:proofErr w:type="spellEnd"/>
      <w:r>
        <w:t xml:space="preserve"> of 1E16 particles per cm</w:t>
      </w:r>
      <w:r>
        <w:rPr>
          <w:vertAlign w:val="superscript"/>
        </w:rPr>
        <w:t>2</w:t>
      </w:r>
      <w:r w:rsidR="00701F56">
        <w:t xml:space="preserve">. There is support </w:t>
      </w:r>
      <w:r w:rsidR="00BB7C11">
        <w:t>from</w:t>
      </w:r>
      <w:r w:rsidR="00701F56">
        <w:t xml:space="preserve"> both the CMS and ATLAS collaborations for this activity. In addition, the </w:t>
      </w:r>
      <w:proofErr w:type="spellStart"/>
      <w:r w:rsidR="00701F56">
        <w:t>sPHENIX</w:t>
      </w:r>
      <w:proofErr w:type="spellEnd"/>
      <w:r w:rsidR="00701F56">
        <w:t xml:space="preserve"> group has expressed interest in having an irradiation facility near the FTBF. Our ability to provide both a test beam and an irradiation facility at one location makes </w:t>
      </w:r>
      <w:proofErr w:type="spellStart"/>
      <w:r w:rsidR="00701F56">
        <w:t>Fermilab</w:t>
      </w:r>
      <w:proofErr w:type="spellEnd"/>
      <w:r w:rsidR="00701F56">
        <w:t xml:space="preserve"> unique and will draw in many users. </w:t>
      </w:r>
      <w:r w:rsidR="004D7766">
        <w:t xml:space="preserve">We propose that </w:t>
      </w:r>
      <w:r w:rsidR="00BB7C11">
        <w:t xml:space="preserve">a minimal set of </w:t>
      </w:r>
      <w:r w:rsidR="004D7766">
        <w:t xml:space="preserve">repairs at MTA be performed so that we can </w:t>
      </w:r>
      <w:r w:rsidR="00BB7C11">
        <w:t>deliver 4 hours of irradiation beam into the enclosure to determine viability of this plan.</w:t>
      </w:r>
    </w:p>
    <w:p w14:paraId="421B965A" w14:textId="77777777" w:rsidR="00FB733D" w:rsidRDefault="00FB733D" w:rsidP="000251E3">
      <w:pPr>
        <w:jc w:val="both"/>
        <w:rPr>
          <w:i/>
        </w:rPr>
      </w:pPr>
    </w:p>
    <w:p w14:paraId="0DB4C83C" w14:textId="47AE8956" w:rsidR="00FB733D" w:rsidRDefault="00FB733D" w:rsidP="000251E3">
      <w:pPr>
        <w:jc w:val="both"/>
        <w:rPr>
          <w:b/>
        </w:rPr>
      </w:pPr>
      <w:r w:rsidRPr="00FB733D">
        <w:rPr>
          <w:b/>
        </w:rPr>
        <w:t>References</w:t>
      </w:r>
    </w:p>
    <w:p w14:paraId="7001EA0F" w14:textId="04AFA41F" w:rsidR="00FB733D" w:rsidRDefault="00FB733D" w:rsidP="000251E3">
      <w:pPr>
        <w:jc w:val="both"/>
      </w:pPr>
      <w:r>
        <w:t>1) “</w:t>
      </w:r>
      <w:proofErr w:type="spellStart"/>
      <w:r>
        <w:t>MuCool</w:t>
      </w:r>
      <w:proofErr w:type="spellEnd"/>
      <w:r>
        <w:t xml:space="preserve"> Test Area (MTA) Experimental Capabilities”; March 2014</w:t>
      </w:r>
    </w:p>
    <w:p w14:paraId="1EF9CB88" w14:textId="0DD7878E" w:rsidR="00FB733D" w:rsidRPr="00B3487A" w:rsidRDefault="00FB733D" w:rsidP="000251E3">
      <w:pPr>
        <w:jc w:val="both"/>
      </w:pPr>
      <w:r>
        <w:t>2) “MTA Facility Proposal for Beam Studies with the MICE Cavity”; March 7, 2016</w:t>
      </w:r>
      <w:bookmarkStart w:id="1" w:name="_GoBack"/>
      <w:bookmarkEnd w:id="1"/>
    </w:p>
    <w:sectPr w:rsidR="00FB733D" w:rsidRPr="00B3487A" w:rsidSect="00961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C48"/>
    <w:multiLevelType w:val="hybridMultilevel"/>
    <w:tmpl w:val="FFD899EC"/>
    <w:lvl w:ilvl="0" w:tplc="9EAA7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91DEC"/>
    <w:multiLevelType w:val="hybridMultilevel"/>
    <w:tmpl w:val="36A6F182"/>
    <w:lvl w:ilvl="0" w:tplc="26922350">
      <w:numFmt w:val="bullet"/>
      <w:lvlText w:val="-"/>
      <w:lvlJc w:val="left"/>
      <w:pPr>
        <w:ind w:left="1080" w:hanging="360"/>
      </w:pPr>
      <w:rPr>
        <w:rFonts w:ascii="Cambria" w:eastAsiaTheme="minorEastAsia" w:hAnsi="Cambria"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y Kathleen Rominsky">
    <w15:presenceInfo w15:providerId="None" w15:userId="Mandy Kathleen Romin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0F"/>
    <w:rsid w:val="000251E3"/>
    <w:rsid w:val="00036839"/>
    <w:rsid w:val="00141F1D"/>
    <w:rsid w:val="001575F1"/>
    <w:rsid w:val="00193FB0"/>
    <w:rsid w:val="001D3BC5"/>
    <w:rsid w:val="001F2E6F"/>
    <w:rsid w:val="001F4E4D"/>
    <w:rsid w:val="0021502E"/>
    <w:rsid w:val="002824DB"/>
    <w:rsid w:val="002F20F5"/>
    <w:rsid w:val="00387595"/>
    <w:rsid w:val="003D6505"/>
    <w:rsid w:val="00420D6F"/>
    <w:rsid w:val="004A21FE"/>
    <w:rsid w:val="004D7766"/>
    <w:rsid w:val="005443B0"/>
    <w:rsid w:val="00561EA8"/>
    <w:rsid w:val="005E528C"/>
    <w:rsid w:val="00654553"/>
    <w:rsid w:val="00665422"/>
    <w:rsid w:val="00701F56"/>
    <w:rsid w:val="00731852"/>
    <w:rsid w:val="0074236A"/>
    <w:rsid w:val="00743C97"/>
    <w:rsid w:val="0075370F"/>
    <w:rsid w:val="00783817"/>
    <w:rsid w:val="008471B3"/>
    <w:rsid w:val="008D68AE"/>
    <w:rsid w:val="00900EF1"/>
    <w:rsid w:val="00903012"/>
    <w:rsid w:val="0090482A"/>
    <w:rsid w:val="00952FCB"/>
    <w:rsid w:val="0096125D"/>
    <w:rsid w:val="00A10126"/>
    <w:rsid w:val="00A22FB1"/>
    <w:rsid w:val="00A82ED2"/>
    <w:rsid w:val="00AC44E4"/>
    <w:rsid w:val="00B3487A"/>
    <w:rsid w:val="00BB4F06"/>
    <w:rsid w:val="00BB7C11"/>
    <w:rsid w:val="00C50042"/>
    <w:rsid w:val="00CC663C"/>
    <w:rsid w:val="00D83342"/>
    <w:rsid w:val="00D961F3"/>
    <w:rsid w:val="00DB34CF"/>
    <w:rsid w:val="00DB631E"/>
    <w:rsid w:val="00E52B25"/>
    <w:rsid w:val="00E928C3"/>
    <w:rsid w:val="00EB1003"/>
    <w:rsid w:val="00EF5F2D"/>
    <w:rsid w:val="00F9135B"/>
    <w:rsid w:val="00F970B5"/>
    <w:rsid w:val="00FB733D"/>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23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0F"/>
    <w:pPr>
      <w:ind w:left="720"/>
      <w:contextualSpacing/>
    </w:pPr>
  </w:style>
  <w:style w:type="paragraph" w:styleId="BalloonText">
    <w:name w:val="Balloon Text"/>
    <w:basedOn w:val="Normal"/>
    <w:link w:val="BalloonTextChar"/>
    <w:uiPriority w:val="99"/>
    <w:semiHidden/>
    <w:unhideWhenUsed/>
    <w:rsid w:val="00157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F1"/>
    <w:rPr>
      <w:rFonts w:ascii="Lucida Grande" w:hAnsi="Lucida Grande" w:cs="Lucida Grande"/>
      <w:sz w:val="18"/>
      <w:szCs w:val="18"/>
    </w:rPr>
  </w:style>
  <w:style w:type="table" w:styleId="TableGrid">
    <w:name w:val="Table Grid"/>
    <w:basedOn w:val="TableNormal"/>
    <w:uiPriority w:val="59"/>
    <w:rsid w:val="001D3BC5"/>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D3BC5"/>
    <w:pPr>
      <w:widowControl w:val="0"/>
    </w:pPr>
    <w:rPr>
      <w:rFonts w:eastAsiaTheme="minorHAnsi"/>
      <w:sz w:val="22"/>
      <w:szCs w:val="22"/>
    </w:rPr>
  </w:style>
  <w:style w:type="paragraph" w:styleId="Revision">
    <w:name w:val="Revision"/>
    <w:hidden/>
    <w:uiPriority w:val="99"/>
    <w:semiHidden/>
    <w:rsid w:val="004D7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0F"/>
    <w:pPr>
      <w:ind w:left="720"/>
      <w:contextualSpacing/>
    </w:pPr>
  </w:style>
  <w:style w:type="paragraph" w:styleId="BalloonText">
    <w:name w:val="Balloon Text"/>
    <w:basedOn w:val="Normal"/>
    <w:link w:val="BalloonTextChar"/>
    <w:uiPriority w:val="99"/>
    <w:semiHidden/>
    <w:unhideWhenUsed/>
    <w:rsid w:val="00157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F1"/>
    <w:rPr>
      <w:rFonts w:ascii="Lucida Grande" w:hAnsi="Lucida Grande" w:cs="Lucida Grande"/>
      <w:sz w:val="18"/>
      <w:szCs w:val="18"/>
    </w:rPr>
  </w:style>
  <w:style w:type="table" w:styleId="TableGrid">
    <w:name w:val="Table Grid"/>
    <w:basedOn w:val="TableNormal"/>
    <w:uiPriority w:val="59"/>
    <w:rsid w:val="001D3BC5"/>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D3BC5"/>
    <w:pPr>
      <w:widowControl w:val="0"/>
    </w:pPr>
    <w:rPr>
      <w:rFonts w:eastAsiaTheme="minorHAnsi"/>
      <w:sz w:val="22"/>
      <w:szCs w:val="22"/>
    </w:rPr>
  </w:style>
  <w:style w:type="paragraph" w:styleId="Revision">
    <w:name w:val="Revision"/>
    <w:hidden/>
    <w:uiPriority w:val="99"/>
    <w:semiHidden/>
    <w:rsid w:val="004D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2013</Words>
  <Characters>11476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Ramberg</dc:creator>
  <cp:keywords/>
  <dc:description/>
  <cp:lastModifiedBy>Erik Ramberg</cp:lastModifiedBy>
  <cp:revision>2</cp:revision>
  <dcterms:created xsi:type="dcterms:W3CDTF">2017-09-13T18:50:00Z</dcterms:created>
  <dcterms:modified xsi:type="dcterms:W3CDTF">2017-09-13T18:50:00Z</dcterms:modified>
</cp:coreProperties>
</file>