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8A73" w14:textId="77777777" w:rsidR="002543A4" w:rsidRDefault="002543A4" w:rsidP="00B36B36">
      <w:pPr>
        <w:jc w:val="center"/>
        <w:rPr>
          <w:sz w:val="24"/>
        </w:rPr>
      </w:pPr>
      <w:bookmarkStart w:id="0" w:name="_GoBack"/>
      <w:bookmarkEnd w:id="0"/>
    </w:p>
    <w:p w14:paraId="72F4983E" w14:textId="1ED7117F" w:rsidR="00F06049" w:rsidRDefault="00F06049">
      <w:pPr>
        <w:rPr>
          <w:sz w:val="24"/>
        </w:rPr>
      </w:pPr>
    </w:p>
    <w:p w14:paraId="2C816847" w14:textId="35352D31" w:rsidR="002543A4" w:rsidRDefault="002543A4">
      <w:pPr>
        <w:jc w:val="center"/>
        <w:rPr>
          <w:b/>
          <w:sz w:val="40"/>
          <w:szCs w:val="40"/>
        </w:rPr>
      </w:pPr>
    </w:p>
    <w:p w14:paraId="5C9C893D" w14:textId="0915782A" w:rsidR="000C3FAF" w:rsidRDefault="000C3FAF">
      <w:pPr>
        <w:jc w:val="center"/>
        <w:rPr>
          <w:b/>
          <w:sz w:val="40"/>
          <w:szCs w:val="40"/>
        </w:rPr>
      </w:pPr>
      <w:r w:rsidRPr="000C3FAF">
        <w:rPr>
          <w:b/>
          <w:noProof/>
          <w:sz w:val="40"/>
          <w:szCs w:val="40"/>
        </w:rPr>
        <w:drawing>
          <wp:inline distT="0" distB="0" distL="0" distR="0" wp14:anchorId="17AF8C8C" wp14:editId="44AF8D8F">
            <wp:extent cx="4057610" cy="1691297"/>
            <wp:effectExtent l="0" t="0" r="635" b="444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57610" cy="16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65597" w14:textId="49CB7BB3" w:rsidR="00835972" w:rsidRDefault="00835972" w:rsidP="00E36696">
      <w:pPr>
        <w:tabs>
          <w:tab w:val="left" w:pos="2820"/>
        </w:tabs>
        <w:jc w:val="center"/>
        <w:rPr>
          <w:b/>
          <w:sz w:val="40"/>
          <w:szCs w:val="40"/>
        </w:rPr>
      </w:pPr>
    </w:p>
    <w:p w14:paraId="1E554F0E" w14:textId="77777777" w:rsidR="00E36696" w:rsidRDefault="00E36696" w:rsidP="00E36696">
      <w:pPr>
        <w:tabs>
          <w:tab w:val="left" w:pos="2820"/>
        </w:tabs>
        <w:jc w:val="center"/>
        <w:rPr>
          <w:b/>
          <w:sz w:val="40"/>
          <w:szCs w:val="40"/>
        </w:rPr>
      </w:pPr>
    </w:p>
    <w:p w14:paraId="18BE4572" w14:textId="73586A4C" w:rsidR="00F06049" w:rsidRPr="001445A8" w:rsidRDefault="000C57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</w:t>
      </w:r>
      <w:r w:rsidR="00931EC6" w:rsidRPr="001445A8">
        <w:rPr>
          <w:rFonts w:ascii="Arial" w:hAnsi="Arial" w:cs="Arial"/>
          <w:b/>
          <w:sz w:val="40"/>
          <w:szCs w:val="40"/>
        </w:rPr>
        <w:t xml:space="preserve"> </w:t>
      </w:r>
      <w:r w:rsidR="007E0E56">
        <w:rPr>
          <w:rFonts w:ascii="Arial" w:hAnsi="Arial" w:cs="Arial"/>
          <w:b/>
          <w:sz w:val="40"/>
          <w:szCs w:val="40"/>
        </w:rPr>
        <w:t>HL-LHC Accelerator Upgrade Project</w:t>
      </w:r>
    </w:p>
    <w:p w14:paraId="567ADF3F" w14:textId="77777777" w:rsidR="00F06049" w:rsidRPr="001445A8" w:rsidRDefault="00F060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42D35841" w14:textId="77777777" w:rsidR="00F06049" w:rsidRPr="001445A8" w:rsidRDefault="00F060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40ED8809" w14:textId="2BED9721" w:rsidR="00F06049" w:rsidRPr="00F429E3" w:rsidRDefault="0009579B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rFonts w:ascii="Arial" w:hAnsi="Arial" w:cs="Arial"/>
          <w:b/>
          <w:sz w:val="32"/>
        </w:rPr>
      </w:pPr>
      <w:r w:rsidRPr="00F429E3">
        <w:rPr>
          <w:rFonts w:ascii="Arial" w:hAnsi="Arial" w:cs="Arial"/>
          <w:b/>
          <w:sz w:val="32"/>
        </w:rPr>
        <w:t>RISK MANAGEMENT PLAN</w:t>
      </w:r>
    </w:p>
    <w:p w14:paraId="7388939D" w14:textId="77777777" w:rsidR="00755AB7" w:rsidRDefault="00755AB7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rFonts w:ascii="Arial" w:hAnsi="Arial" w:cs="Arial"/>
          <w:b/>
          <w:sz w:val="32"/>
        </w:rPr>
      </w:pPr>
    </w:p>
    <w:p w14:paraId="32D098EC" w14:textId="77777777" w:rsidR="00784FF8" w:rsidRDefault="00784FF8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54C8A937" w14:textId="77777777" w:rsidR="00B36B36" w:rsidRDefault="00B36B36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60E5A22C" w14:textId="77777777" w:rsidR="00B36B36" w:rsidRDefault="00B36B36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2F508E9D" w14:textId="4374ECB5" w:rsidR="00915972" w:rsidRDefault="00915972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</w:p>
    <w:p w14:paraId="77A9A99A" w14:textId="1848141B" w:rsidR="0009579B" w:rsidRDefault="0009579B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</w:p>
    <w:p w14:paraId="2037FBDE" w14:textId="695B42B0" w:rsidR="0009579B" w:rsidRDefault="0009579B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</w:p>
    <w:p w14:paraId="6D1A5963" w14:textId="77777777" w:rsidR="0009579B" w:rsidRDefault="0009579B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29E3" w:rsidRPr="00F429E3" w14:paraId="233E87BB" w14:textId="77777777" w:rsidTr="00784FF8">
        <w:tc>
          <w:tcPr>
            <w:tcW w:w="8630" w:type="dxa"/>
          </w:tcPr>
          <w:p w14:paraId="1D8841DC" w14:textId="77777777" w:rsidR="00784FF8" w:rsidRPr="00F429E3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F429E3">
              <w:rPr>
                <w:rFonts w:ascii="Arial" w:hAnsi="Arial" w:cs="Arial"/>
                <w:b/>
                <w:bCs/>
                <w:sz w:val="18"/>
              </w:rPr>
              <w:t>Prepared by:</w:t>
            </w:r>
          </w:p>
          <w:p w14:paraId="252F50E1" w14:textId="79794E1F" w:rsidR="00784FF8" w:rsidRPr="00F429E3" w:rsidRDefault="0009579B" w:rsidP="00784FF8">
            <w:pPr>
              <w:rPr>
                <w:rFonts w:ascii="Arial" w:hAnsi="Arial" w:cs="Arial"/>
                <w:sz w:val="18"/>
              </w:rPr>
            </w:pPr>
            <w:r w:rsidRPr="00F429E3">
              <w:rPr>
                <w:rFonts w:ascii="Arial" w:hAnsi="Arial" w:cs="Arial"/>
              </w:rPr>
              <w:t>Ruben Carcagno, HL-LHC AUP Deputy Project Manager, FNAL</w:t>
            </w:r>
          </w:p>
        </w:tc>
      </w:tr>
      <w:tr w:rsidR="00F429E3" w:rsidRPr="00F429E3" w14:paraId="13D2F9CD" w14:textId="77777777" w:rsidTr="00784FF8">
        <w:tc>
          <w:tcPr>
            <w:tcW w:w="8630" w:type="dxa"/>
          </w:tcPr>
          <w:p w14:paraId="6C3BF519" w14:textId="7B6D4C5C" w:rsidR="00784FF8" w:rsidRPr="00F429E3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F429E3">
              <w:rPr>
                <w:rFonts w:ascii="Arial" w:hAnsi="Arial" w:cs="Arial"/>
                <w:b/>
                <w:bCs/>
                <w:sz w:val="18"/>
              </w:rPr>
              <w:t xml:space="preserve">Reviewed </w:t>
            </w:r>
            <w:r w:rsidR="0009579B" w:rsidRPr="00F429E3">
              <w:rPr>
                <w:rFonts w:ascii="Arial" w:hAnsi="Arial" w:cs="Arial"/>
                <w:b/>
                <w:bCs/>
                <w:sz w:val="18"/>
              </w:rPr>
              <w:t xml:space="preserve">and approved </w:t>
            </w:r>
            <w:r w:rsidRPr="00F429E3">
              <w:rPr>
                <w:rFonts w:ascii="Arial" w:hAnsi="Arial" w:cs="Arial"/>
                <w:b/>
                <w:bCs/>
                <w:sz w:val="18"/>
              </w:rPr>
              <w:t xml:space="preserve">by: </w:t>
            </w:r>
          </w:p>
          <w:p w14:paraId="30E9C90E" w14:textId="39424CDC" w:rsidR="00784FF8" w:rsidRPr="00F429E3" w:rsidRDefault="0009579B" w:rsidP="00784FF8">
            <w:pPr>
              <w:rPr>
                <w:rFonts w:ascii="Arial" w:hAnsi="Arial" w:cs="Arial"/>
                <w:sz w:val="18"/>
              </w:rPr>
            </w:pPr>
            <w:r w:rsidRPr="00F429E3">
              <w:rPr>
                <w:rFonts w:ascii="Arial" w:hAnsi="Arial" w:cs="Arial"/>
              </w:rPr>
              <w:t>Giorgio Apollinari, HL-LHC AUP Project Manager, FNAL</w:t>
            </w:r>
          </w:p>
        </w:tc>
      </w:tr>
    </w:tbl>
    <w:p w14:paraId="52C4240C" w14:textId="52D8DA64" w:rsidR="00784FF8" w:rsidRDefault="00784FF8">
      <w:pPr>
        <w:rPr>
          <w:sz w:val="24"/>
          <w:szCs w:val="24"/>
        </w:rPr>
      </w:pPr>
      <w:bookmarkStart w:id="1" w:name="_Toc465734408"/>
    </w:p>
    <w:p w14:paraId="2C577EE6" w14:textId="5AC862DD" w:rsidR="00217B63" w:rsidRDefault="00217B63" w:rsidP="00F255F7">
      <w:pPr>
        <w:rPr>
          <w:sz w:val="24"/>
          <w:szCs w:val="24"/>
        </w:rPr>
      </w:pPr>
    </w:p>
    <w:p w14:paraId="5485ABAC" w14:textId="77777777" w:rsidR="0009579B" w:rsidRDefault="0009579B" w:rsidP="00F255F7">
      <w:pPr>
        <w:rPr>
          <w:sz w:val="24"/>
          <w:szCs w:val="24"/>
        </w:rPr>
      </w:pPr>
    </w:p>
    <w:p w14:paraId="49A7B4F4" w14:textId="77777777" w:rsidR="00217B63" w:rsidRDefault="00217B63" w:rsidP="00217B63">
      <w:pPr>
        <w:rPr>
          <w:color w:val="000000"/>
        </w:rPr>
      </w:pPr>
    </w:p>
    <w:p w14:paraId="41D5D141" w14:textId="77777777" w:rsidR="00217B63" w:rsidRPr="006D3727" w:rsidRDefault="00217B63" w:rsidP="00217B63">
      <w:pPr>
        <w:jc w:val="center"/>
        <w:rPr>
          <w:rFonts w:ascii="Arial" w:hAnsi="Arial" w:cs="Arial"/>
          <w:color w:val="000000"/>
        </w:rPr>
      </w:pPr>
      <w:r w:rsidRPr="006D3727">
        <w:rPr>
          <w:rFonts w:ascii="Arial" w:hAnsi="Arial" w:cs="Arial"/>
          <w:b/>
          <w:color w:val="000000"/>
          <w:u w:val="single"/>
        </w:rPr>
        <w:lastRenderedPageBreak/>
        <w:t xml:space="preserve">Revision </w:t>
      </w:r>
      <w:r w:rsidR="00BF6D00" w:rsidRPr="006D3727">
        <w:rPr>
          <w:rFonts w:ascii="Arial" w:hAnsi="Arial" w:cs="Arial"/>
          <w:b/>
          <w:color w:val="000000"/>
          <w:u w:val="single"/>
        </w:rPr>
        <w:t>History</w:t>
      </w:r>
    </w:p>
    <w:p w14:paraId="42C97192" w14:textId="77777777" w:rsidR="00217B63" w:rsidRDefault="00217B63" w:rsidP="00217B63">
      <w:pPr>
        <w:jc w:val="both"/>
        <w:rPr>
          <w:color w:val="000000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907"/>
        <w:gridCol w:w="1710"/>
        <w:gridCol w:w="5884"/>
      </w:tblGrid>
      <w:tr w:rsidR="00D73A3C" w:rsidRPr="001445A8" w14:paraId="655EE80C" w14:textId="77777777" w:rsidTr="00D73A3C">
        <w:trPr>
          <w:jc w:val="center"/>
        </w:trPr>
        <w:tc>
          <w:tcPr>
            <w:tcW w:w="1075" w:type="dxa"/>
          </w:tcPr>
          <w:p w14:paraId="4516C86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</w:t>
            </w:r>
          </w:p>
        </w:tc>
        <w:tc>
          <w:tcPr>
            <w:tcW w:w="907" w:type="dxa"/>
          </w:tcPr>
          <w:p w14:paraId="1612F382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1710" w:type="dxa"/>
          </w:tcPr>
          <w:p w14:paraId="70147EC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Section No.</w:t>
            </w:r>
          </w:p>
        </w:tc>
        <w:tc>
          <w:tcPr>
            <w:tcW w:w="5884" w:type="dxa"/>
          </w:tcPr>
          <w:p w14:paraId="5D501C6A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 Description</w:t>
            </w:r>
          </w:p>
        </w:tc>
      </w:tr>
      <w:tr w:rsidR="00D73A3C" w:rsidRPr="001445A8" w14:paraId="4CBF5FC6" w14:textId="77777777" w:rsidTr="00D73A3C">
        <w:trPr>
          <w:jc w:val="center"/>
        </w:trPr>
        <w:tc>
          <w:tcPr>
            <w:tcW w:w="1075" w:type="dxa"/>
          </w:tcPr>
          <w:p w14:paraId="04F8F086" w14:textId="39B84AF1" w:rsidR="00BF6D00" w:rsidRPr="001445A8" w:rsidRDefault="000C5708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v0</w:t>
            </w:r>
          </w:p>
        </w:tc>
        <w:tc>
          <w:tcPr>
            <w:tcW w:w="907" w:type="dxa"/>
          </w:tcPr>
          <w:p w14:paraId="5D300830" w14:textId="2F704CB7" w:rsidR="00BF6D00" w:rsidRPr="001445A8" w:rsidRDefault="006F5EFC" w:rsidP="00DB649B">
            <w:pPr>
              <w:jc w:val="center"/>
              <w:rPr>
                <w:rFonts w:ascii="Arial" w:hAnsi="Arial" w:cs="Arial"/>
                <w:color w:val="FF0000"/>
              </w:rPr>
            </w:pPr>
            <w:r w:rsidRPr="00D73A3C">
              <w:rPr>
                <w:rFonts w:ascii="Arial" w:hAnsi="Arial" w:cs="Arial"/>
                <w:color w:val="000000" w:themeColor="text1"/>
              </w:rPr>
              <w:t>6/29/17</w:t>
            </w:r>
          </w:p>
        </w:tc>
        <w:tc>
          <w:tcPr>
            <w:tcW w:w="1710" w:type="dxa"/>
          </w:tcPr>
          <w:p w14:paraId="16B70C8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All</w:t>
            </w:r>
          </w:p>
        </w:tc>
        <w:tc>
          <w:tcPr>
            <w:tcW w:w="5884" w:type="dxa"/>
          </w:tcPr>
          <w:p w14:paraId="076870E3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Initial Release</w:t>
            </w:r>
          </w:p>
        </w:tc>
      </w:tr>
      <w:tr w:rsidR="00D73A3C" w:rsidRPr="001445A8" w14:paraId="7E27AE76" w14:textId="77777777" w:rsidTr="00D73A3C">
        <w:trPr>
          <w:jc w:val="center"/>
        </w:trPr>
        <w:tc>
          <w:tcPr>
            <w:tcW w:w="1075" w:type="dxa"/>
          </w:tcPr>
          <w:p w14:paraId="64CA085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35AE000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43653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078E6E3C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6B6EF03B" w14:textId="77777777" w:rsidTr="00D73A3C">
        <w:trPr>
          <w:trHeight w:val="162"/>
          <w:jc w:val="center"/>
        </w:trPr>
        <w:tc>
          <w:tcPr>
            <w:tcW w:w="1075" w:type="dxa"/>
          </w:tcPr>
          <w:p w14:paraId="535CEDAF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2F17467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AF8032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079EA00E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018B94C2" w14:textId="77777777" w:rsidTr="00D73A3C">
        <w:trPr>
          <w:jc w:val="center"/>
        </w:trPr>
        <w:tc>
          <w:tcPr>
            <w:tcW w:w="1075" w:type="dxa"/>
          </w:tcPr>
          <w:p w14:paraId="1A02FBA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F7CDEA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76943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04210363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5D04FD7C" w14:textId="77777777" w:rsidTr="00D73A3C">
        <w:trPr>
          <w:jc w:val="center"/>
        </w:trPr>
        <w:tc>
          <w:tcPr>
            <w:tcW w:w="1075" w:type="dxa"/>
          </w:tcPr>
          <w:p w14:paraId="62D674E5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584F6BA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E1D1A3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67345099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0B5F7877" w14:textId="77777777" w:rsidTr="00D73A3C">
        <w:trPr>
          <w:jc w:val="center"/>
        </w:trPr>
        <w:tc>
          <w:tcPr>
            <w:tcW w:w="1075" w:type="dxa"/>
          </w:tcPr>
          <w:p w14:paraId="237D5A3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1AFA8D2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04F7B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6EA00151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0F6457DE" w14:textId="77777777" w:rsidTr="00D73A3C">
        <w:trPr>
          <w:jc w:val="center"/>
        </w:trPr>
        <w:tc>
          <w:tcPr>
            <w:tcW w:w="1075" w:type="dxa"/>
          </w:tcPr>
          <w:p w14:paraId="689D206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6EF111F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4A346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06CA0667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366F534F" w14:textId="77777777" w:rsidTr="00D73A3C">
        <w:trPr>
          <w:jc w:val="center"/>
        </w:trPr>
        <w:tc>
          <w:tcPr>
            <w:tcW w:w="1075" w:type="dxa"/>
          </w:tcPr>
          <w:p w14:paraId="178B86D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5EC0998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CDDAEF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7D54B9F8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64D4E492" w14:textId="77777777" w:rsidTr="00D73A3C">
        <w:trPr>
          <w:jc w:val="center"/>
        </w:trPr>
        <w:tc>
          <w:tcPr>
            <w:tcW w:w="1075" w:type="dxa"/>
          </w:tcPr>
          <w:p w14:paraId="67DBCD0C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6562CE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05C18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6EDE64FB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6FBF70A7" w14:textId="77777777" w:rsidTr="00D73A3C">
        <w:trPr>
          <w:jc w:val="center"/>
        </w:trPr>
        <w:tc>
          <w:tcPr>
            <w:tcW w:w="1075" w:type="dxa"/>
          </w:tcPr>
          <w:p w14:paraId="5651AAC0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16106F4E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F8AB7D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57BC596C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482F71CC" w14:textId="77777777" w:rsidTr="00D73A3C">
        <w:trPr>
          <w:jc w:val="center"/>
        </w:trPr>
        <w:tc>
          <w:tcPr>
            <w:tcW w:w="1075" w:type="dxa"/>
          </w:tcPr>
          <w:p w14:paraId="1E51B08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3EED05D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055C00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36A73881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D73A3C" w:rsidRPr="001445A8" w14:paraId="732FCE9E" w14:textId="77777777" w:rsidTr="00D73A3C">
        <w:trPr>
          <w:jc w:val="center"/>
        </w:trPr>
        <w:tc>
          <w:tcPr>
            <w:tcW w:w="1075" w:type="dxa"/>
          </w:tcPr>
          <w:p w14:paraId="5F2D7D25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6F26CCB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88148B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4" w:type="dxa"/>
          </w:tcPr>
          <w:p w14:paraId="0588FBC8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166EA0" w14:textId="77777777" w:rsidR="00217B63" w:rsidRDefault="00217B63" w:rsidP="00217B63">
      <w:pPr>
        <w:jc w:val="both"/>
        <w:rPr>
          <w:color w:val="000000"/>
        </w:rPr>
      </w:pPr>
    </w:p>
    <w:p w14:paraId="539EA0E7" w14:textId="77777777" w:rsidR="00BF6D00" w:rsidRDefault="00BF6D00" w:rsidP="00217B63">
      <w:pPr>
        <w:jc w:val="both"/>
        <w:rPr>
          <w:color w:val="000000"/>
        </w:rPr>
      </w:pPr>
    </w:p>
    <w:p w14:paraId="078FA147" w14:textId="77777777" w:rsidR="00BF6D00" w:rsidRDefault="00BF6D00" w:rsidP="00BF6D00">
      <w:pPr>
        <w:rPr>
          <w:color w:val="000000"/>
        </w:rPr>
      </w:pPr>
    </w:p>
    <w:p w14:paraId="2C2ACEBA" w14:textId="77777777" w:rsidR="00217B63" w:rsidRDefault="00217B63" w:rsidP="00217B63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01497650" w14:textId="77777777" w:rsidR="00217B63" w:rsidRDefault="00217B63" w:rsidP="00F255F7">
      <w:pPr>
        <w:rPr>
          <w:sz w:val="24"/>
          <w:szCs w:val="24"/>
        </w:rPr>
      </w:pPr>
    </w:p>
    <w:p w14:paraId="7A4C8C23" w14:textId="77777777" w:rsidR="007225FD" w:rsidRPr="001445A8" w:rsidRDefault="007225FD" w:rsidP="00F255F7">
      <w:pPr>
        <w:rPr>
          <w:rFonts w:ascii="Arial" w:hAnsi="Arial" w:cs="Arial"/>
          <w:b/>
          <w:sz w:val="24"/>
          <w:szCs w:val="24"/>
        </w:rPr>
      </w:pPr>
      <w:r w:rsidRPr="001445A8">
        <w:rPr>
          <w:rFonts w:ascii="Arial" w:hAnsi="Arial" w:cs="Arial"/>
          <w:b/>
          <w:sz w:val="24"/>
          <w:szCs w:val="24"/>
        </w:rPr>
        <w:t>TABLE OF CONTENTS</w:t>
      </w:r>
    </w:p>
    <w:p w14:paraId="65A919F1" w14:textId="77777777" w:rsidR="007225FD" w:rsidRPr="001445A8" w:rsidRDefault="007225FD" w:rsidP="00F255F7">
      <w:pPr>
        <w:rPr>
          <w:rFonts w:ascii="Arial" w:hAnsi="Arial" w:cs="Arial"/>
          <w:sz w:val="24"/>
          <w:szCs w:val="24"/>
        </w:rPr>
      </w:pPr>
    </w:p>
    <w:p w14:paraId="50BC1A8D" w14:textId="5DE4DCC8" w:rsidR="00550F9E" w:rsidRDefault="006D3727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Arial" w:hAnsi="Arial" w:cs="Arial"/>
          <w:b w:val="0"/>
          <w:caps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caps w:val="0"/>
          <w:sz w:val="24"/>
          <w:szCs w:val="24"/>
        </w:rPr>
        <w:instrText xml:space="preserve"> TOC \h \z \t "Level 1,1,Level 2,2,Level 3,3" </w:instrText>
      </w:r>
      <w:r>
        <w:rPr>
          <w:rFonts w:ascii="Arial" w:hAnsi="Arial" w:cs="Arial"/>
          <w:b w:val="0"/>
          <w:caps w:val="0"/>
          <w:sz w:val="24"/>
          <w:szCs w:val="24"/>
        </w:rPr>
        <w:fldChar w:fldCharType="separate"/>
      </w:r>
      <w:hyperlink w:anchor="_Toc486491428" w:history="1">
        <w:r w:rsidR="00550F9E" w:rsidRPr="00C530AA">
          <w:rPr>
            <w:rStyle w:val="Hyperlink"/>
            <w:noProof/>
          </w:rPr>
          <w:t>1.</w:t>
        </w:r>
        <w:r w:rsidR="00550F9E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0F9E" w:rsidRPr="00C530AA">
          <w:rPr>
            <w:rStyle w:val="Hyperlink"/>
            <w:noProof/>
          </w:rPr>
          <w:t>Risk Management Plan</w:t>
        </w:r>
        <w:r w:rsidR="00550F9E">
          <w:rPr>
            <w:noProof/>
            <w:webHidden/>
          </w:rPr>
          <w:tab/>
        </w:r>
        <w:r w:rsidR="00550F9E">
          <w:rPr>
            <w:noProof/>
            <w:webHidden/>
          </w:rPr>
          <w:fldChar w:fldCharType="begin"/>
        </w:r>
        <w:r w:rsidR="00550F9E">
          <w:rPr>
            <w:noProof/>
            <w:webHidden/>
          </w:rPr>
          <w:instrText xml:space="preserve"> PAGEREF _Toc486491428 \h </w:instrText>
        </w:r>
        <w:r w:rsidR="00550F9E">
          <w:rPr>
            <w:noProof/>
            <w:webHidden/>
          </w:rPr>
        </w:r>
        <w:r w:rsidR="00550F9E">
          <w:rPr>
            <w:noProof/>
            <w:webHidden/>
          </w:rPr>
          <w:fldChar w:fldCharType="separate"/>
        </w:r>
        <w:r w:rsidR="00CE3663">
          <w:rPr>
            <w:noProof/>
            <w:webHidden/>
          </w:rPr>
          <w:t>4</w:t>
        </w:r>
        <w:r w:rsidR="00550F9E">
          <w:rPr>
            <w:noProof/>
            <w:webHidden/>
          </w:rPr>
          <w:fldChar w:fldCharType="end"/>
        </w:r>
      </w:hyperlink>
    </w:p>
    <w:p w14:paraId="5B537022" w14:textId="6325E925" w:rsidR="00550F9E" w:rsidRDefault="008B7ADE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86491429" w:history="1">
        <w:r w:rsidR="00550F9E" w:rsidRPr="00C530AA">
          <w:rPr>
            <w:rStyle w:val="Hyperlink"/>
            <w:noProof/>
          </w:rPr>
          <w:t>1.1.</w:t>
        </w:r>
        <w:r w:rsidR="00550F9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0F9E" w:rsidRPr="00C530AA">
          <w:rPr>
            <w:rStyle w:val="Hyperlink"/>
            <w:noProof/>
          </w:rPr>
          <w:t>Risk Matrix Tailoring</w:t>
        </w:r>
        <w:r w:rsidR="00550F9E">
          <w:rPr>
            <w:noProof/>
            <w:webHidden/>
          </w:rPr>
          <w:tab/>
        </w:r>
        <w:r w:rsidR="00550F9E">
          <w:rPr>
            <w:noProof/>
            <w:webHidden/>
          </w:rPr>
          <w:fldChar w:fldCharType="begin"/>
        </w:r>
        <w:r w:rsidR="00550F9E">
          <w:rPr>
            <w:noProof/>
            <w:webHidden/>
          </w:rPr>
          <w:instrText xml:space="preserve"> PAGEREF _Toc486491429 \h </w:instrText>
        </w:r>
        <w:r w:rsidR="00550F9E">
          <w:rPr>
            <w:noProof/>
            <w:webHidden/>
          </w:rPr>
        </w:r>
        <w:r w:rsidR="00550F9E">
          <w:rPr>
            <w:noProof/>
            <w:webHidden/>
          </w:rPr>
          <w:fldChar w:fldCharType="separate"/>
        </w:r>
        <w:r w:rsidR="00CE3663">
          <w:rPr>
            <w:noProof/>
            <w:webHidden/>
          </w:rPr>
          <w:t>4</w:t>
        </w:r>
        <w:r w:rsidR="00550F9E">
          <w:rPr>
            <w:noProof/>
            <w:webHidden/>
          </w:rPr>
          <w:fldChar w:fldCharType="end"/>
        </w:r>
      </w:hyperlink>
    </w:p>
    <w:p w14:paraId="2B01AB2F" w14:textId="4D437323" w:rsidR="00550F9E" w:rsidRDefault="008B7ADE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86491430" w:history="1">
        <w:r w:rsidR="00550F9E" w:rsidRPr="00C530AA">
          <w:rPr>
            <w:rStyle w:val="Hyperlink"/>
            <w:noProof/>
          </w:rPr>
          <w:t>1.2.</w:t>
        </w:r>
        <w:r w:rsidR="00550F9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0F9E" w:rsidRPr="00C530AA">
          <w:rPr>
            <w:rStyle w:val="Hyperlink"/>
            <w:noProof/>
          </w:rPr>
          <w:t>Risk Register</w:t>
        </w:r>
        <w:r w:rsidR="00550F9E">
          <w:rPr>
            <w:noProof/>
            <w:webHidden/>
          </w:rPr>
          <w:tab/>
        </w:r>
        <w:r w:rsidR="00550F9E">
          <w:rPr>
            <w:noProof/>
            <w:webHidden/>
          </w:rPr>
          <w:fldChar w:fldCharType="begin"/>
        </w:r>
        <w:r w:rsidR="00550F9E">
          <w:rPr>
            <w:noProof/>
            <w:webHidden/>
          </w:rPr>
          <w:instrText xml:space="preserve"> PAGEREF _Toc486491430 \h </w:instrText>
        </w:r>
        <w:r w:rsidR="00550F9E">
          <w:rPr>
            <w:noProof/>
            <w:webHidden/>
          </w:rPr>
        </w:r>
        <w:r w:rsidR="00550F9E">
          <w:rPr>
            <w:noProof/>
            <w:webHidden/>
          </w:rPr>
          <w:fldChar w:fldCharType="separate"/>
        </w:r>
        <w:r w:rsidR="00CE3663">
          <w:rPr>
            <w:noProof/>
            <w:webHidden/>
          </w:rPr>
          <w:t>4</w:t>
        </w:r>
        <w:r w:rsidR="00550F9E">
          <w:rPr>
            <w:noProof/>
            <w:webHidden/>
          </w:rPr>
          <w:fldChar w:fldCharType="end"/>
        </w:r>
      </w:hyperlink>
    </w:p>
    <w:p w14:paraId="7A10F3F3" w14:textId="453FEC64" w:rsidR="00550F9E" w:rsidRDefault="008B7ADE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86491431" w:history="1">
        <w:r w:rsidR="00550F9E" w:rsidRPr="00C530AA">
          <w:rPr>
            <w:rStyle w:val="Hyperlink"/>
            <w:noProof/>
          </w:rPr>
          <w:t>1.3.</w:t>
        </w:r>
        <w:r w:rsidR="00550F9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0F9E" w:rsidRPr="00C530AA">
          <w:rPr>
            <w:rStyle w:val="Hyperlink"/>
            <w:noProof/>
          </w:rPr>
          <w:t>Risk Analysis</w:t>
        </w:r>
        <w:r w:rsidR="00550F9E">
          <w:rPr>
            <w:noProof/>
            <w:webHidden/>
          </w:rPr>
          <w:tab/>
        </w:r>
        <w:r w:rsidR="00550F9E">
          <w:rPr>
            <w:noProof/>
            <w:webHidden/>
          </w:rPr>
          <w:fldChar w:fldCharType="begin"/>
        </w:r>
        <w:r w:rsidR="00550F9E">
          <w:rPr>
            <w:noProof/>
            <w:webHidden/>
          </w:rPr>
          <w:instrText xml:space="preserve"> PAGEREF _Toc486491431 \h </w:instrText>
        </w:r>
        <w:r w:rsidR="00550F9E">
          <w:rPr>
            <w:noProof/>
            <w:webHidden/>
          </w:rPr>
        </w:r>
        <w:r w:rsidR="00550F9E">
          <w:rPr>
            <w:noProof/>
            <w:webHidden/>
          </w:rPr>
          <w:fldChar w:fldCharType="separate"/>
        </w:r>
        <w:r w:rsidR="00CE3663">
          <w:rPr>
            <w:noProof/>
            <w:webHidden/>
          </w:rPr>
          <w:t>4</w:t>
        </w:r>
        <w:r w:rsidR="00550F9E">
          <w:rPr>
            <w:noProof/>
            <w:webHidden/>
          </w:rPr>
          <w:fldChar w:fldCharType="end"/>
        </w:r>
      </w:hyperlink>
    </w:p>
    <w:p w14:paraId="776BB539" w14:textId="05DC1CEF" w:rsidR="00550F9E" w:rsidRDefault="008B7ADE">
      <w:pPr>
        <w:pStyle w:val="TOC2"/>
        <w:tabs>
          <w:tab w:val="left" w:pos="80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86491432" w:history="1">
        <w:r w:rsidR="00550F9E" w:rsidRPr="00C530AA">
          <w:rPr>
            <w:rStyle w:val="Hyperlink"/>
            <w:noProof/>
          </w:rPr>
          <w:t>1.4.</w:t>
        </w:r>
        <w:r w:rsidR="00550F9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0F9E" w:rsidRPr="00C530AA">
          <w:rPr>
            <w:rStyle w:val="Hyperlink"/>
            <w:noProof/>
          </w:rPr>
          <w:t>Risk Management Board</w:t>
        </w:r>
        <w:r w:rsidR="00550F9E">
          <w:rPr>
            <w:noProof/>
            <w:webHidden/>
          </w:rPr>
          <w:tab/>
        </w:r>
        <w:r w:rsidR="00550F9E">
          <w:rPr>
            <w:noProof/>
            <w:webHidden/>
          </w:rPr>
          <w:fldChar w:fldCharType="begin"/>
        </w:r>
        <w:r w:rsidR="00550F9E">
          <w:rPr>
            <w:noProof/>
            <w:webHidden/>
          </w:rPr>
          <w:instrText xml:space="preserve"> PAGEREF _Toc486491432 \h </w:instrText>
        </w:r>
        <w:r w:rsidR="00550F9E">
          <w:rPr>
            <w:noProof/>
            <w:webHidden/>
          </w:rPr>
        </w:r>
        <w:r w:rsidR="00550F9E">
          <w:rPr>
            <w:noProof/>
            <w:webHidden/>
          </w:rPr>
          <w:fldChar w:fldCharType="separate"/>
        </w:r>
        <w:r w:rsidR="00CE3663">
          <w:rPr>
            <w:noProof/>
            <w:webHidden/>
          </w:rPr>
          <w:t>5</w:t>
        </w:r>
        <w:r w:rsidR="00550F9E">
          <w:rPr>
            <w:noProof/>
            <w:webHidden/>
          </w:rPr>
          <w:fldChar w:fldCharType="end"/>
        </w:r>
      </w:hyperlink>
    </w:p>
    <w:p w14:paraId="40E0EF90" w14:textId="281F3835" w:rsidR="007225FD" w:rsidRDefault="006D3727" w:rsidP="00F255F7">
      <w:pPr>
        <w:rPr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10534C9E" w14:textId="77777777" w:rsidR="004148DA" w:rsidRPr="005B332C" w:rsidRDefault="00A33CDB" w:rsidP="00F25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F130D" w14:textId="64D91ED3" w:rsidR="00F255F7" w:rsidRPr="001445A8" w:rsidRDefault="0009579B" w:rsidP="001445A8">
      <w:pPr>
        <w:pStyle w:val="Level1"/>
      </w:pPr>
      <w:bookmarkStart w:id="2" w:name="_Toc486491428"/>
      <w:r>
        <w:lastRenderedPageBreak/>
        <w:t>Risk Management Plan</w:t>
      </w:r>
      <w:bookmarkEnd w:id="2"/>
    </w:p>
    <w:p w14:paraId="3645CF56" w14:textId="77777777" w:rsidR="00B71E49" w:rsidRDefault="00B71E49" w:rsidP="00024CFA"/>
    <w:p w14:paraId="4834AB1E" w14:textId="1F8A63A7" w:rsidR="0009579B" w:rsidRDefault="0009579B" w:rsidP="00B71E49">
      <w:r>
        <w:t>The HL-LHC AUP risks will be managed according to the “Fermilab Risk Management Procedure</w:t>
      </w:r>
      <w:r w:rsidR="00550F9E">
        <w:t xml:space="preserve"> for Projects” (US-HiLUmi-doc-89</w:t>
      </w:r>
      <w:r>
        <w:t>)</w:t>
      </w:r>
      <w:r w:rsidR="001E3227">
        <w:t xml:space="preserve">, with </w:t>
      </w:r>
      <w:r w:rsidR="00444070">
        <w:t xml:space="preserve">additional </w:t>
      </w:r>
      <w:r w:rsidR="001E3227">
        <w:t xml:space="preserve">tailoring </w:t>
      </w:r>
      <w:r w:rsidR="00444070">
        <w:t xml:space="preserve">and methods </w:t>
      </w:r>
      <w:r w:rsidR="001E3227">
        <w:t>specified in the sections below.</w:t>
      </w:r>
    </w:p>
    <w:p w14:paraId="4C12D7C0" w14:textId="77777777" w:rsidR="001E3227" w:rsidRDefault="001E3227" w:rsidP="00B71E49"/>
    <w:p w14:paraId="19615D5E" w14:textId="7EFC3744" w:rsidR="001E3227" w:rsidRDefault="001E3227" w:rsidP="001E3227">
      <w:pPr>
        <w:pStyle w:val="Level2"/>
      </w:pPr>
      <w:bookmarkStart w:id="3" w:name="_Toc486491429"/>
      <w:r>
        <w:t>Risk Matrix Tailoring</w:t>
      </w:r>
      <w:bookmarkEnd w:id="3"/>
    </w:p>
    <w:p w14:paraId="791F4B39" w14:textId="2CEDF624" w:rsidR="0009579B" w:rsidRDefault="0009579B" w:rsidP="00B71E49">
      <w:r>
        <w:t xml:space="preserve">Figure 1 shows </w:t>
      </w:r>
      <w:r w:rsidR="00AA33ED">
        <w:t xml:space="preserve">the </w:t>
      </w:r>
      <w:r>
        <w:t xml:space="preserve">tailoring of </w:t>
      </w:r>
      <w:r w:rsidR="00AA33ED">
        <w:t xml:space="preserve">the risk matrix adopted by HL-LHC AUP. </w:t>
      </w:r>
    </w:p>
    <w:p w14:paraId="5EA23437" w14:textId="47FF39BB" w:rsidR="0009579B" w:rsidRDefault="0009579B" w:rsidP="00B71E49"/>
    <w:p w14:paraId="19CDD938" w14:textId="267A0D2B" w:rsidR="0009579B" w:rsidRDefault="0086196F" w:rsidP="00AA33ED">
      <w:pPr>
        <w:jc w:val="center"/>
      </w:pPr>
      <w:r w:rsidRPr="0086196F">
        <w:rPr>
          <w:noProof/>
        </w:rPr>
        <w:drawing>
          <wp:inline distT="0" distB="0" distL="0" distR="0" wp14:anchorId="2113727B" wp14:editId="0D637746">
            <wp:extent cx="5486400" cy="433496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F909" w14:textId="1BBF6C69" w:rsidR="0009579B" w:rsidRDefault="0009579B" w:rsidP="001E3227">
      <w:pPr>
        <w:jc w:val="center"/>
      </w:pPr>
      <w:r>
        <w:t>Figure 1: Risk Rank matrix based on a combination of risk probability and impacts</w:t>
      </w:r>
    </w:p>
    <w:p w14:paraId="19AEB703" w14:textId="77777777" w:rsidR="001D7BD1" w:rsidRDefault="001D7BD1" w:rsidP="001E3227">
      <w:pPr>
        <w:jc w:val="center"/>
      </w:pPr>
    </w:p>
    <w:p w14:paraId="702D27C4" w14:textId="0EC2ADF2" w:rsidR="00444070" w:rsidRDefault="00444070" w:rsidP="005724C3">
      <w:pPr>
        <w:pStyle w:val="Level2"/>
      </w:pPr>
      <w:bookmarkStart w:id="4" w:name="_Toc486491430"/>
      <w:r>
        <w:t>Risk Register</w:t>
      </w:r>
      <w:bookmarkEnd w:id="4"/>
    </w:p>
    <w:p w14:paraId="29DFD097" w14:textId="77777777" w:rsidR="005724C3" w:rsidRDefault="005724C3" w:rsidP="00B71E49"/>
    <w:p w14:paraId="12E8F1A4" w14:textId="6AEB4CB2" w:rsidR="0009579B" w:rsidRDefault="00444070" w:rsidP="00B71E49">
      <w:r>
        <w:t xml:space="preserve">The HL-LHC AUP Risk Register is based on the </w:t>
      </w:r>
      <w:r w:rsidR="00FD5EA4">
        <w:t xml:space="preserve">web-based </w:t>
      </w:r>
      <w:r>
        <w:t>Fermilab Risk Register</w:t>
      </w:r>
      <w:r w:rsidR="00FD5EA4">
        <w:t xml:space="preserve">. This register can be found at: </w:t>
      </w:r>
      <w:hyperlink r:id="rId9" w:history="1">
        <w:r w:rsidR="00FD5EA4" w:rsidRPr="00C77FD9">
          <w:rPr>
            <w:rStyle w:val="Hyperlink"/>
          </w:rPr>
          <w:t>https://fermipoint.fnal.gov/organization/ocoo/ippm/Lists/Risk%20Register/HL-LHC-AUP.aspx</w:t>
        </w:r>
      </w:hyperlink>
      <w:r w:rsidR="00FD5EA4">
        <w:t xml:space="preserve"> (Access to this risk register requires a Fermilab Services Account.)</w:t>
      </w:r>
    </w:p>
    <w:p w14:paraId="5FEA4318" w14:textId="3BCDDDA6" w:rsidR="00550F9E" w:rsidRDefault="00550F9E" w:rsidP="00B71E49"/>
    <w:p w14:paraId="7421C283" w14:textId="119CE48F" w:rsidR="00AC69E1" w:rsidRDefault="00550F9E" w:rsidP="00B71E49">
      <w:r>
        <w:t>Guidelines to fill-in the risk register specific to the HL-LHC AUP project can be found in US-HiLumi-doc-148, and a</w:t>
      </w:r>
      <w:r w:rsidR="00AC69E1">
        <w:t xml:space="preserve"> snapshot of the Risk Register in pdf format can be found at US-HiLumi-doc-79</w:t>
      </w:r>
    </w:p>
    <w:p w14:paraId="4D0FC881" w14:textId="3C9E41FE" w:rsidR="00FD5EA4" w:rsidRDefault="00FD5EA4" w:rsidP="00B71E49"/>
    <w:p w14:paraId="6394A54B" w14:textId="75A112E0" w:rsidR="005B7ADD" w:rsidRDefault="005B7ADD" w:rsidP="005B7ADD">
      <w:pPr>
        <w:pStyle w:val="Level2"/>
      </w:pPr>
      <w:bookmarkStart w:id="5" w:name="_Toc486491431"/>
      <w:r>
        <w:t>Risk Analysis</w:t>
      </w:r>
      <w:bookmarkEnd w:id="5"/>
    </w:p>
    <w:p w14:paraId="3608770B" w14:textId="49E1C98F" w:rsidR="005B7ADD" w:rsidRDefault="005B7ADD" w:rsidP="00B71E49"/>
    <w:p w14:paraId="75FE5853" w14:textId="3E7D6D9E" w:rsidR="005B7ADD" w:rsidRDefault="005B7ADD" w:rsidP="00B71E49">
      <w:r>
        <w:lastRenderedPageBreak/>
        <w:t>The project will use the Primavera Risk Analysis (PRA) tool to calculate the cost and risk contingency amou</w:t>
      </w:r>
      <w:r w:rsidR="00E67388">
        <w:t xml:space="preserve">nts with a 90% confidence level, using a summary P6 schedule. </w:t>
      </w:r>
      <w:r w:rsidR="00550F9E">
        <w:t>Both threats and opportunitie</w:t>
      </w:r>
      <w:r w:rsidR="00E67388">
        <w:t>s will be included in this analysis.</w:t>
      </w:r>
    </w:p>
    <w:p w14:paraId="43FCB763" w14:textId="7DB5C475" w:rsidR="00BF5690" w:rsidRDefault="00BF5690" w:rsidP="00B71E49"/>
    <w:p w14:paraId="413EC7B9" w14:textId="61406DF7" w:rsidR="00BF5690" w:rsidRDefault="00BF5690" w:rsidP="00B71E49">
      <w:r>
        <w:t xml:space="preserve">The cost of schedule contingency is computed by multiplying the monthly “standing army” cost by the number of months in the schedule contingency. The standing army cost is </w:t>
      </w:r>
      <w:r w:rsidR="00E713F5">
        <w:t xml:space="preserve">the project Level of Effort (LOE) </w:t>
      </w:r>
      <w:r w:rsidR="00550F9E">
        <w:t xml:space="preserve">average </w:t>
      </w:r>
      <w:r w:rsidR="00E713F5">
        <w:t xml:space="preserve">cost of the last </w:t>
      </w:r>
      <w:r w:rsidR="00550F9E">
        <w:t>12 months</w:t>
      </w:r>
      <w:r w:rsidR="00E713F5">
        <w:t xml:space="preserve"> of planned activities.</w:t>
      </w:r>
    </w:p>
    <w:p w14:paraId="505D9D46" w14:textId="77777777" w:rsidR="005B7ADD" w:rsidRDefault="005B7ADD" w:rsidP="00B71E49"/>
    <w:p w14:paraId="32A5D208" w14:textId="2413517D" w:rsidR="005724C3" w:rsidRDefault="005724C3" w:rsidP="00F429E3">
      <w:pPr>
        <w:pStyle w:val="Level2"/>
      </w:pPr>
      <w:bookmarkStart w:id="6" w:name="_Toc486491432"/>
      <w:r>
        <w:t>Risk Management Board</w:t>
      </w:r>
      <w:bookmarkEnd w:id="6"/>
    </w:p>
    <w:p w14:paraId="20505441" w14:textId="77777777" w:rsidR="00024CFA" w:rsidRDefault="00024CFA" w:rsidP="00952F16"/>
    <w:p w14:paraId="44BD10BD" w14:textId="16A20E2E" w:rsidR="00024CFA" w:rsidRDefault="005724C3" w:rsidP="00952F16">
      <w:r>
        <w:t xml:space="preserve">The risk management board is composed of the Project Manager, the Deputy Project Manager, and Level 2 managers. The board </w:t>
      </w:r>
      <w:r w:rsidR="005B7ADD">
        <w:t>shall meet</w:t>
      </w:r>
      <w:r>
        <w:t xml:space="preserve"> at least monthly to review the risk register and assess risk contingency.</w:t>
      </w:r>
    </w:p>
    <w:bookmarkEnd w:id="1"/>
    <w:sectPr w:rsidR="00024CFA" w:rsidSect="0046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50" w:right="1800" w:bottom="1152" w:left="1800" w:header="576" w:footer="288" w:gutter="0"/>
      <w:pgBorders>
        <w:top w:val="single" w:sz="8" w:space="0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342E" w14:textId="77777777" w:rsidR="008B7ADE" w:rsidRDefault="008B7ADE">
      <w:r>
        <w:separator/>
      </w:r>
    </w:p>
  </w:endnote>
  <w:endnote w:type="continuationSeparator" w:id="0">
    <w:p w14:paraId="17AE20DF" w14:textId="77777777" w:rsidR="008B7ADE" w:rsidRDefault="008B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ermiL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7C92" w14:textId="77777777" w:rsidR="006F5EFC" w:rsidRDefault="006F5E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3C7E" w14:textId="77777777" w:rsidR="00DB6283" w:rsidRPr="001445A8" w:rsidRDefault="00DB6283" w:rsidP="000F65EA">
    <w:pPr>
      <w:pStyle w:val="Footer"/>
      <w:jc w:val="center"/>
      <w:rPr>
        <w:rFonts w:ascii="Arial" w:hAnsi="Arial" w:cs="Arial"/>
        <w:i/>
        <w:sz w:val="16"/>
        <w:szCs w:val="16"/>
      </w:rPr>
    </w:pPr>
    <w:r w:rsidRPr="001445A8">
      <w:rPr>
        <w:rFonts w:ascii="Arial" w:hAnsi="Arial" w:cs="Arial"/>
        <w:i/>
        <w:sz w:val="16"/>
        <w:szCs w:val="16"/>
      </w:rPr>
      <w:t>This document is uncontrolled when printed. The current version is maintained on http://us-hilumi-docdb.fnal.gov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D0B0" w14:textId="77777777" w:rsidR="006F5EFC" w:rsidRDefault="006F5E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B3B1" w14:textId="77777777" w:rsidR="008B7ADE" w:rsidRDefault="008B7ADE">
      <w:r>
        <w:separator/>
      </w:r>
    </w:p>
  </w:footnote>
  <w:footnote w:type="continuationSeparator" w:id="0">
    <w:p w14:paraId="618F0668" w14:textId="77777777" w:rsidR="008B7ADE" w:rsidRDefault="008B7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2679" w14:textId="753BB579" w:rsidR="006879A1" w:rsidRDefault="006879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8" w:type="dxa"/>
        <w:left w:w="29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783"/>
      <w:gridCol w:w="2137"/>
    </w:tblGrid>
    <w:tr w:rsidR="00DB6283" w14:paraId="7FD9089C" w14:textId="77777777" w:rsidTr="00835972">
      <w:trPr>
        <w:trHeight w:val="980"/>
        <w:jc w:val="center"/>
      </w:trPr>
      <w:tc>
        <w:tcPr>
          <w:tcW w:w="1980" w:type="dxa"/>
          <w:vAlign w:val="center"/>
        </w:tcPr>
        <w:p w14:paraId="7CD82192" w14:textId="5C21C347" w:rsidR="00DB6283" w:rsidRDefault="000C3FAF" w:rsidP="00931EC6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 w:rsidRPr="000C3FAF">
            <w:rPr>
              <w:rFonts w:ascii="FermiLgo" w:hAnsi="FermiLgo"/>
              <w:noProof/>
              <w:sz w:val="84"/>
            </w:rPr>
            <w:drawing>
              <wp:inline distT="0" distB="0" distL="0" distR="0" wp14:anchorId="164D7561" wp14:editId="349CC402">
                <wp:extent cx="1238885" cy="51625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3888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0A8CD0C2" w14:textId="11A2F17D" w:rsidR="00DB6283" w:rsidRPr="00F429E3" w:rsidRDefault="0009579B" w:rsidP="004D5B12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sz w:val="32"/>
            </w:rPr>
          </w:pPr>
          <w:r w:rsidRPr="00F429E3">
            <w:rPr>
              <w:rFonts w:ascii="Arial" w:hAnsi="Arial" w:cs="Arial"/>
              <w:b/>
              <w:sz w:val="32"/>
            </w:rPr>
            <w:t>Risk Management Plan</w:t>
          </w:r>
        </w:p>
        <w:p w14:paraId="5731598C" w14:textId="3BA58A82" w:rsidR="00DB6283" w:rsidRPr="000C5708" w:rsidRDefault="0009579B" w:rsidP="000C5708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color w:val="FF0000"/>
              <w:sz w:val="32"/>
            </w:rPr>
          </w:pPr>
          <w:r w:rsidRPr="00F429E3">
            <w:rPr>
              <w:rFonts w:ascii="Arial" w:hAnsi="Arial" w:cs="Arial"/>
              <w:b/>
              <w:sz w:val="32"/>
            </w:rPr>
            <w:t>US HL-LHC AUP</w:t>
          </w:r>
        </w:p>
      </w:tc>
      <w:tc>
        <w:tcPr>
          <w:tcW w:w="2137" w:type="dxa"/>
          <w:vAlign w:val="center"/>
        </w:tcPr>
        <w:p w14:paraId="1B453D1B" w14:textId="4A8C7113" w:rsidR="00DB6283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  <w:color w:val="FF0000"/>
            </w:rPr>
          </w:pPr>
          <w:r w:rsidRPr="001445A8">
            <w:rPr>
              <w:rFonts w:ascii="Arial" w:hAnsi="Arial" w:cs="Arial"/>
              <w:b/>
            </w:rPr>
            <w:t>US-HiLumi-doc-</w:t>
          </w:r>
          <w:r w:rsidR="00F87521" w:rsidRPr="00F87521">
            <w:rPr>
              <w:rFonts w:ascii="Arial" w:hAnsi="Arial" w:cs="Arial"/>
              <w:b/>
            </w:rPr>
            <w:t>339</w:t>
          </w:r>
        </w:p>
        <w:p w14:paraId="34CC4602" w14:textId="1BA678EB" w:rsidR="000C5708" w:rsidRPr="000C5708" w:rsidRDefault="000C5708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0C5708">
            <w:rPr>
              <w:rFonts w:ascii="Arial" w:hAnsi="Arial" w:cs="Arial"/>
              <w:b/>
            </w:rPr>
            <w:t>Other:</w:t>
          </w:r>
        </w:p>
        <w:p w14:paraId="4A460834" w14:textId="7CA91484" w:rsidR="00DB6283" w:rsidRPr="001445A8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1445A8">
            <w:rPr>
              <w:rFonts w:ascii="Arial" w:hAnsi="Arial" w:cs="Arial"/>
              <w:b/>
            </w:rPr>
            <w:t xml:space="preserve">Date: </w:t>
          </w:r>
          <w:r w:rsidR="00F87521">
            <w:rPr>
              <w:rFonts w:ascii="Arial" w:hAnsi="Arial" w:cs="Arial"/>
              <w:b/>
            </w:rPr>
            <w:t xml:space="preserve">Draft </w:t>
          </w:r>
          <w:r w:rsidR="00550F9E">
            <w:rPr>
              <w:rFonts w:ascii="Arial" w:hAnsi="Arial" w:cs="Arial"/>
              <w:b/>
            </w:rPr>
            <w:t>6/29</w:t>
          </w:r>
          <w:r w:rsidR="00F87521" w:rsidRPr="00F87521">
            <w:rPr>
              <w:rFonts w:ascii="Arial" w:hAnsi="Arial" w:cs="Arial"/>
              <w:b/>
            </w:rPr>
            <w:t>/17</w:t>
          </w:r>
        </w:p>
        <w:p w14:paraId="7BB59318" w14:textId="16E28339" w:rsidR="00DB6283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1445A8">
            <w:rPr>
              <w:rFonts w:ascii="Arial" w:hAnsi="Arial" w:cs="Arial"/>
              <w:b/>
              <w:snapToGrid w:val="0"/>
            </w:rPr>
            <w:t xml:space="preserve">Page </w:t>
          </w:r>
          <w:r w:rsidRPr="001445A8">
            <w:rPr>
              <w:rStyle w:val="PageNumber"/>
              <w:rFonts w:ascii="Arial" w:hAnsi="Arial" w:cs="Arial"/>
            </w:rPr>
            <w:fldChar w:fldCharType="begin"/>
          </w:r>
          <w:r w:rsidRPr="001445A8">
            <w:rPr>
              <w:rStyle w:val="PageNumber"/>
              <w:rFonts w:ascii="Arial" w:hAnsi="Arial" w:cs="Arial"/>
            </w:rPr>
            <w:instrText xml:space="preserve"> PAGE </w:instrText>
          </w:r>
          <w:r w:rsidRPr="001445A8">
            <w:rPr>
              <w:rStyle w:val="PageNumber"/>
              <w:rFonts w:ascii="Arial" w:hAnsi="Arial" w:cs="Arial"/>
            </w:rPr>
            <w:fldChar w:fldCharType="separate"/>
          </w:r>
          <w:r w:rsidR="00CE3663">
            <w:rPr>
              <w:rStyle w:val="PageNumber"/>
              <w:rFonts w:ascii="Arial" w:hAnsi="Arial" w:cs="Arial"/>
              <w:noProof/>
            </w:rPr>
            <w:t>1</w:t>
          </w:r>
          <w:r w:rsidRPr="001445A8">
            <w:rPr>
              <w:rStyle w:val="PageNumber"/>
              <w:rFonts w:ascii="Arial" w:hAnsi="Arial" w:cs="Arial"/>
            </w:rPr>
            <w:fldChar w:fldCharType="end"/>
          </w:r>
          <w:r w:rsidRPr="001445A8">
            <w:rPr>
              <w:rFonts w:ascii="Arial" w:hAnsi="Arial" w:cs="Arial"/>
              <w:b/>
              <w:snapToGrid w:val="0"/>
            </w:rPr>
            <w:t xml:space="preserve"> of  </w:t>
          </w:r>
          <w:r w:rsidRPr="001445A8">
            <w:rPr>
              <w:rStyle w:val="PageNumber"/>
              <w:rFonts w:ascii="Arial" w:hAnsi="Arial" w:cs="Arial"/>
            </w:rPr>
            <w:fldChar w:fldCharType="begin"/>
          </w:r>
          <w:r w:rsidRPr="001445A8">
            <w:rPr>
              <w:rStyle w:val="PageNumber"/>
              <w:rFonts w:ascii="Arial" w:hAnsi="Arial" w:cs="Arial"/>
            </w:rPr>
            <w:instrText xml:space="preserve"> NUMPAGES </w:instrText>
          </w:r>
          <w:r w:rsidRPr="001445A8">
            <w:rPr>
              <w:rStyle w:val="PageNumber"/>
              <w:rFonts w:ascii="Arial" w:hAnsi="Arial" w:cs="Arial"/>
            </w:rPr>
            <w:fldChar w:fldCharType="separate"/>
          </w:r>
          <w:r w:rsidR="00CE3663">
            <w:rPr>
              <w:rStyle w:val="PageNumber"/>
              <w:rFonts w:ascii="Arial" w:hAnsi="Arial" w:cs="Arial"/>
              <w:noProof/>
            </w:rPr>
            <w:t>5</w:t>
          </w:r>
          <w:r w:rsidRPr="001445A8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442C437B" w14:textId="01495482" w:rsidR="00DB6283" w:rsidRDefault="00DB6283">
    <w:pPr>
      <w:pStyle w:val="Header"/>
      <w:tabs>
        <w:tab w:val="clear" w:pos="8640"/>
        <w:tab w:val="right" w:pos="9180"/>
      </w:tabs>
      <w:ind w:left="-1296" w:right="-1296" w:firstLine="14"/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2B67" w14:textId="0EADD048" w:rsidR="006879A1" w:rsidRDefault="006879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2C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E08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F0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5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EE5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C9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69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C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4A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5450A"/>
    <w:multiLevelType w:val="hybridMultilevel"/>
    <w:tmpl w:val="8E00F8FE"/>
    <w:lvl w:ilvl="0" w:tplc="4DF645EC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3611E1"/>
    <w:multiLevelType w:val="hybridMultilevel"/>
    <w:tmpl w:val="39D61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277D8"/>
    <w:multiLevelType w:val="multilevel"/>
    <w:tmpl w:val="8EB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960B7"/>
    <w:multiLevelType w:val="hybridMultilevel"/>
    <w:tmpl w:val="1F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A0DA4"/>
    <w:multiLevelType w:val="hybridMultilevel"/>
    <w:tmpl w:val="0C8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421E2"/>
    <w:multiLevelType w:val="multilevel"/>
    <w:tmpl w:val="3894E1DC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E8B11A6"/>
    <w:multiLevelType w:val="hybridMultilevel"/>
    <w:tmpl w:val="763C567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557B1"/>
    <w:multiLevelType w:val="hybridMultilevel"/>
    <w:tmpl w:val="E3F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44B06"/>
    <w:multiLevelType w:val="hybridMultilevel"/>
    <w:tmpl w:val="CA86F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BE447A"/>
    <w:multiLevelType w:val="hybridMultilevel"/>
    <w:tmpl w:val="708E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66CE1"/>
    <w:multiLevelType w:val="hybridMultilevel"/>
    <w:tmpl w:val="6CAC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172D"/>
    <w:multiLevelType w:val="hybridMultilevel"/>
    <w:tmpl w:val="858A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B5D1D"/>
    <w:multiLevelType w:val="multilevel"/>
    <w:tmpl w:val="9E8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E0473"/>
    <w:multiLevelType w:val="hybridMultilevel"/>
    <w:tmpl w:val="B34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25D2B"/>
    <w:multiLevelType w:val="hybridMultilevel"/>
    <w:tmpl w:val="6C2A0DDE"/>
    <w:lvl w:ilvl="0" w:tplc="C20C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43A16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1"/>
  </w:num>
  <w:num w:numId="5">
    <w:abstractNumId w:val="18"/>
  </w:num>
  <w:num w:numId="6">
    <w:abstractNumId w:val="2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8"/>
    <w:rsid w:val="0000656C"/>
    <w:rsid w:val="00006E98"/>
    <w:rsid w:val="00007458"/>
    <w:rsid w:val="00010588"/>
    <w:rsid w:val="0001179C"/>
    <w:rsid w:val="000229AF"/>
    <w:rsid w:val="00024CFA"/>
    <w:rsid w:val="00036A00"/>
    <w:rsid w:val="00040AAE"/>
    <w:rsid w:val="00050BBA"/>
    <w:rsid w:val="000522AD"/>
    <w:rsid w:val="000616A9"/>
    <w:rsid w:val="000717F0"/>
    <w:rsid w:val="00075204"/>
    <w:rsid w:val="00081960"/>
    <w:rsid w:val="0008474B"/>
    <w:rsid w:val="00094F2C"/>
    <w:rsid w:val="0009579B"/>
    <w:rsid w:val="000C2D36"/>
    <w:rsid w:val="000C3FAF"/>
    <w:rsid w:val="000C5708"/>
    <w:rsid w:val="000C736F"/>
    <w:rsid w:val="000C738E"/>
    <w:rsid w:val="000D04F3"/>
    <w:rsid w:val="000D0B2F"/>
    <w:rsid w:val="000E05E5"/>
    <w:rsid w:val="000E0EF6"/>
    <w:rsid w:val="000E42CD"/>
    <w:rsid w:val="000F4A53"/>
    <w:rsid w:val="000F65EA"/>
    <w:rsid w:val="0011033A"/>
    <w:rsid w:val="001108B3"/>
    <w:rsid w:val="0011496C"/>
    <w:rsid w:val="001166E2"/>
    <w:rsid w:val="00132C16"/>
    <w:rsid w:val="001445A8"/>
    <w:rsid w:val="001449EA"/>
    <w:rsid w:val="00145FDC"/>
    <w:rsid w:val="001516CE"/>
    <w:rsid w:val="0015680E"/>
    <w:rsid w:val="00161E53"/>
    <w:rsid w:val="00172235"/>
    <w:rsid w:val="0017415F"/>
    <w:rsid w:val="00177A5C"/>
    <w:rsid w:val="001A0FE2"/>
    <w:rsid w:val="001A158D"/>
    <w:rsid w:val="001A22CD"/>
    <w:rsid w:val="001A2E6A"/>
    <w:rsid w:val="001A3D72"/>
    <w:rsid w:val="001C0616"/>
    <w:rsid w:val="001C328B"/>
    <w:rsid w:val="001D58EB"/>
    <w:rsid w:val="001D7860"/>
    <w:rsid w:val="001D7BD1"/>
    <w:rsid w:val="001D7FE0"/>
    <w:rsid w:val="001E1CD0"/>
    <w:rsid w:val="001E3227"/>
    <w:rsid w:val="001F1477"/>
    <w:rsid w:val="00206443"/>
    <w:rsid w:val="0021074E"/>
    <w:rsid w:val="0021104A"/>
    <w:rsid w:val="00217B63"/>
    <w:rsid w:val="0022038F"/>
    <w:rsid w:val="00224356"/>
    <w:rsid w:val="00225F37"/>
    <w:rsid w:val="00226EBA"/>
    <w:rsid w:val="00231676"/>
    <w:rsid w:val="00232C83"/>
    <w:rsid w:val="0024571A"/>
    <w:rsid w:val="002458C2"/>
    <w:rsid w:val="002462A7"/>
    <w:rsid w:val="0025122D"/>
    <w:rsid w:val="00251505"/>
    <w:rsid w:val="002543A4"/>
    <w:rsid w:val="00254F4C"/>
    <w:rsid w:val="0026364A"/>
    <w:rsid w:val="0027447B"/>
    <w:rsid w:val="002777C3"/>
    <w:rsid w:val="00282013"/>
    <w:rsid w:val="002852F8"/>
    <w:rsid w:val="002906D0"/>
    <w:rsid w:val="002A7E94"/>
    <w:rsid w:val="002B4C51"/>
    <w:rsid w:val="002B696A"/>
    <w:rsid w:val="002C3550"/>
    <w:rsid w:val="002D6DDE"/>
    <w:rsid w:val="002E3D23"/>
    <w:rsid w:val="002F3B85"/>
    <w:rsid w:val="002F6063"/>
    <w:rsid w:val="00305C81"/>
    <w:rsid w:val="00314170"/>
    <w:rsid w:val="00335B9C"/>
    <w:rsid w:val="00336CD5"/>
    <w:rsid w:val="00340F9B"/>
    <w:rsid w:val="00346CDF"/>
    <w:rsid w:val="00347730"/>
    <w:rsid w:val="00365AE3"/>
    <w:rsid w:val="0037089E"/>
    <w:rsid w:val="003817A4"/>
    <w:rsid w:val="00381D07"/>
    <w:rsid w:val="00382BD8"/>
    <w:rsid w:val="003832AA"/>
    <w:rsid w:val="003947E5"/>
    <w:rsid w:val="00394A03"/>
    <w:rsid w:val="00396524"/>
    <w:rsid w:val="003C489F"/>
    <w:rsid w:val="003C5E11"/>
    <w:rsid w:val="003D4A18"/>
    <w:rsid w:val="003E1D0E"/>
    <w:rsid w:val="003E4F24"/>
    <w:rsid w:val="003E5A2B"/>
    <w:rsid w:val="003E70C1"/>
    <w:rsid w:val="003F562C"/>
    <w:rsid w:val="00403434"/>
    <w:rsid w:val="004050DB"/>
    <w:rsid w:val="004063E5"/>
    <w:rsid w:val="00412271"/>
    <w:rsid w:val="0041428E"/>
    <w:rsid w:val="004148DA"/>
    <w:rsid w:val="004155FC"/>
    <w:rsid w:val="00417A06"/>
    <w:rsid w:val="00432078"/>
    <w:rsid w:val="0044091B"/>
    <w:rsid w:val="00444070"/>
    <w:rsid w:val="00462604"/>
    <w:rsid w:val="00462DA3"/>
    <w:rsid w:val="004639BF"/>
    <w:rsid w:val="004677E5"/>
    <w:rsid w:val="004746B2"/>
    <w:rsid w:val="00497A9A"/>
    <w:rsid w:val="004A0256"/>
    <w:rsid w:val="004A04A9"/>
    <w:rsid w:val="004A189D"/>
    <w:rsid w:val="004A5FC2"/>
    <w:rsid w:val="004B3D68"/>
    <w:rsid w:val="004C3007"/>
    <w:rsid w:val="004D3FF3"/>
    <w:rsid w:val="004D5B12"/>
    <w:rsid w:val="004D6A1C"/>
    <w:rsid w:val="004F7184"/>
    <w:rsid w:val="005021DB"/>
    <w:rsid w:val="005110A0"/>
    <w:rsid w:val="00515BAB"/>
    <w:rsid w:val="00520BC9"/>
    <w:rsid w:val="00522FC7"/>
    <w:rsid w:val="00530034"/>
    <w:rsid w:val="005313B3"/>
    <w:rsid w:val="0054134B"/>
    <w:rsid w:val="005443B7"/>
    <w:rsid w:val="00550F9E"/>
    <w:rsid w:val="005540B3"/>
    <w:rsid w:val="00555981"/>
    <w:rsid w:val="00556DFC"/>
    <w:rsid w:val="0056275C"/>
    <w:rsid w:val="00562E38"/>
    <w:rsid w:val="00563B1F"/>
    <w:rsid w:val="00563DE3"/>
    <w:rsid w:val="0056506A"/>
    <w:rsid w:val="005724C3"/>
    <w:rsid w:val="00580CEB"/>
    <w:rsid w:val="005932A7"/>
    <w:rsid w:val="005A23D3"/>
    <w:rsid w:val="005A26E9"/>
    <w:rsid w:val="005A62C2"/>
    <w:rsid w:val="005A711C"/>
    <w:rsid w:val="005B332C"/>
    <w:rsid w:val="005B36D6"/>
    <w:rsid w:val="005B7ADD"/>
    <w:rsid w:val="005C09DD"/>
    <w:rsid w:val="005C2680"/>
    <w:rsid w:val="005C641C"/>
    <w:rsid w:val="005D0CB3"/>
    <w:rsid w:val="005D1D5A"/>
    <w:rsid w:val="005D7ECA"/>
    <w:rsid w:val="005E0B26"/>
    <w:rsid w:val="005E17CB"/>
    <w:rsid w:val="005F5AE7"/>
    <w:rsid w:val="00604871"/>
    <w:rsid w:val="00605D19"/>
    <w:rsid w:val="00621753"/>
    <w:rsid w:val="0062640E"/>
    <w:rsid w:val="00627237"/>
    <w:rsid w:val="00632576"/>
    <w:rsid w:val="0065287A"/>
    <w:rsid w:val="00655CE6"/>
    <w:rsid w:val="0066637E"/>
    <w:rsid w:val="006673FB"/>
    <w:rsid w:val="00667EBD"/>
    <w:rsid w:val="00671B75"/>
    <w:rsid w:val="006727C2"/>
    <w:rsid w:val="0067547F"/>
    <w:rsid w:val="00682BDA"/>
    <w:rsid w:val="006879A1"/>
    <w:rsid w:val="006974A3"/>
    <w:rsid w:val="006A3832"/>
    <w:rsid w:val="006A595F"/>
    <w:rsid w:val="006B0616"/>
    <w:rsid w:val="006B2544"/>
    <w:rsid w:val="006B4D8C"/>
    <w:rsid w:val="006C7ACD"/>
    <w:rsid w:val="006D3727"/>
    <w:rsid w:val="006E4C55"/>
    <w:rsid w:val="006E6673"/>
    <w:rsid w:val="006F5EFC"/>
    <w:rsid w:val="00700022"/>
    <w:rsid w:val="007013C9"/>
    <w:rsid w:val="00705757"/>
    <w:rsid w:val="00717B93"/>
    <w:rsid w:val="007225FD"/>
    <w:rsid w:val="0073533C"/>
    <w:rsid w:val="0075425C"/>
    <w:rsid w:val="00754E79"/>
    <w:rsid w:val="00755AB7"/>
    <w:rsid w:val="00756F81"/>
    <w:rsid w:val="0075715C"/>
    <w:rsid w:val="007672D3"/>
    <w:rsid w:val="00784FF8"/>
    <w:rsid w:val="00793D1D"/>
    <w:rsid w:val="007B0180"/>
    <w:rsid w:val="007C6A88"/>
    <w:rsid w:val="007D4B31"/>
    <w:rsid w:val="007D678C"/>
    <w:rsid w:val="007E0E56"/>
    <w:rsid w:val="007F234A"/>
    <w:rsid w:val="007F4EC9"/>
    <w:rsid w:val="008000CB"/>
    <w:rsid w:val="00813C43"/>
    <w:rsid w:val="008205BF"/>
    <w:rsid w:val="008226D0"/>
    <w:rsid w:val="00833344"/>
    <w:rsid w:val="00835972"/>
    <w:rsid w:val="00840AD7"/>
    <w:rsid w:val="00855B51"/>
    <w:rsid w:val="00860725"/>
    <w:rsid w:val="0086196F"/>
    <w:rsid w:val="00867D87"/>
    <w:rsid w:val="008806DE"/>
    <w:rsid w:val="00882173"/>
    <w:rsid w:val="008A0A7D"/>
    <w:rsid w:val="008B7ADE"/>
    <w:rsid w:val="008C6402"/>
    <w:rsid w:val="008D058D"/>
    <w:rsid w:val="008D2EEE"/>
    <w:rsid w:val="008D62FA"/>
    <w:rsid w:val="008E0462"/>
    <w:rsid w:val="008E42FD"/>
    <w:rsid w:val="008F418A"/>
    <w:rsid w:val="00901C6B"/>
    <w:rsid w:val="009150C3"/>
    <w:rsid w:val="00915972"/>
    <w:rsid w:val="00920567"/>
    <w:rsid w:val="00931EC6"/>
    <w:rsid w:val="00933B36"/>
    <w:rsid w:val="00942AA8"/>
    <w:rsid w:val="00945846"/>
    <w:rsid w:val="00947F61"/>
    <w:rsid w:val="00952F16"/>
    <w:rsid w:val="00954D89"/>
    <w:rsid w:val="00962822"/>
    <w:rsid w:val="00963C6F"/>
    <w:rsid w:val="00981DCB"/>
    <w:rsid w:val="00987CDC"/>
    <w:rsid w:val="00993ACB"/>
    <w:rsid w:val="0099578F"/>
    <w:rsid w:val="009A1172"/>
    <w:rsid w:val="009A1273"/>
    <w:rsid w:val="009A188A"/>
    <w:rsid w:val="009B0ED2"/>
    <w:rsid w:val="009B4C8F"/>
    <w:rsid w:val="009C0917"/>
    <w:rsid w:val="009C5716"/>
    <w:rsid w:val="009C6C08"/>
    <w:rsid w:val="009D4045"/>
    <w:rsid w:val="009E4997"/>
    <w:rsid w:val="009F1BA8"/>
    <w:rsid w:val="009F7AD4"/>
    <w:rsid w:val="00A03559"/>
    <w:rsid w:val="00A112EC"/>
    <w:rsid w:val="00A20F0C"/>
    <w:rsid w:val="00A33138"/>
    <w:rsid w:val="00A33CDB"/>
    <w:rsid w:val="00A41F89"/>
    <w:rsid w:val="00A4347E"/>
    <w:rsid w:val="00A5157C"/>
    <w:rsid w:val="00A53E55"/>
    <w:rsid w:val="00A54607"/>
    <w:rsid w:val="00A57ED8"/>
    <w:rsid w:val="00A64AB2"/>
    <w:rsid w:val="00A848D7"/>
    <w:rsid w:val="00A87744"/>
    <w:rsid w:val="00A91127"/>
    <w:rsid w:val="00A92CD0"/>
    <w:rsid w:val="00A94786"/>
    <w:rsid w:val="00A94CC2"/>
    <w:rsid w:val="00AA33ED"/>
    <w:rsid w:val="00AA7D52"/>
    <w:rsid w:val="00AA7D5B"/>
    <w:rsid w:val="00AB6912"/>
    <w:rsid w:val="00AC6302"/>
    <w:rsid w:val="00AC69E1"/>
    <w:rsid w:val="00AD4510"/>
    <w:rsid w:val="00AE0918"/>
    <w:rsid w:val="00AE4581"/>
    <w:rsid w:val="00AF09BF"/>
    <w:rsid w:val="00B0004B"/>
    <w:rsid w:val="00B01E5C"/>
    <w:rsid w:val="00B02C56"/>
    <w:rsid w:val="00B02C5C"/>
    <w:rsid w:val="00B11FCE"/>
    <w:rsid w:val="00B13E73"/>
    <w:rsid w:val="00B26790"/>
    <w:rsid w:val="00B32058"/>
    <w:rsid w:val="00B35D2C"/>
    <w:rsid w:val="00B36B36"/>
    <w:rsid w:val="00B54464"/>
    <w:rsid w:val="00B5467E"/>
    <w:rsid w:val="00B675E2"/>
    <w:rsid w:val="00B67B15"/>
    <w:rsid w:val="00B67D71"/>
    <w:rsid w:val="00B71E49"/>
    <w:rsid w:val="00B93272"/>
    <w:rsid w:val="00B97FE8"/>
    <w:rsid w:val="00BA5AFB"/>
    <w:rsid w:val="00BA6F3D"/>
    <w:rsid w:val="00BB0804"/>
    <w:rsid w:val="00BB13FB"/>
    <w:rsid w:val="00BB38D6"/>
    <w:rsid w:val="00BC54A7"/>
    <w:rsid w:val="00BD4254"/>
    <w:rsid w:val="00BE69E9"/>
    <w:rsid w:val="00BF2256"/>
    <w:rsid w:val="00BF34B3"/>
    <w:rsid w:val="00BF4E42"/>
    <w:rsid w:val="00BF5690"/>
    <w:rsid w:val="00BF6A34"/>
    <w:rsid w:val="00BF6D00"/>
    <w:rsid w:val="00BF7904"/>
    <w:rsid w:val="00C067C8"/>
    <w:rsid w:val="00C1170A"/>
    <w:rsid w:val="00C16671"/>
    <w:rsid w:val="00C17EBE"/>
    <w:rsid w:val="00C26417"/>
    <w:rsid w:val="00C314C2"/>
    <w:rsid w:val="00C31858"/>
    <w:rsid w:val="00C56AE6"/>
    <w:rsid w:val="00C66EC8"/>
    <w:rsid w:val="00C74766"/>
    <w:rsid w:val="00C82154"/>
    <w:rsid w:val="00C9287A"/>
    <w:rsid w:val="00C9425B"/>
    <w:rsid w:val="00C96517"/>
    <w:rsid w:val="00CB03D2"/>
    <w:rsid w:val="00CC2B7A"/>
    <w:rsid w:val="00CC320E"/>
    <w:rsid w:val="00CD01ED"/>
    <w:rsid w:val="00CD137C"/>
    <w:rsid w:val="00CD3B1F"/>
    <w:rsid w:val="00CE3663"/>
    <w:rsid w:val="00CF31FA"/>
    <w:rsid w:val="00CF7A8B"/>
    <w:rsid w:val="00D07D5F"/>
    <w:rsid w:val="00D10906"/>
    <w:rsid w:val="00D272ED"/>
    <w:rsid w:val="00D3041A"/>
    <w:rsid w:val="00D4540E"/>
    <w:rsid w:val="00D45831"/>
    <w:rsid w:val="00D502FC"/>
    <w:rsid w:val="00D6081D"/>
    <w:rsid w:val="00D63E4E"/>
    <w:rsid w:val="00D73A3C"/>
    <w:rsid w:val="00D73A79"/>
    <w:rsid w:val="00D76D24"/>
    <w:rsid w:val="00D869BC"/>
    <w:rsid w:val="00D90D87"/>
    <w:rsid w:val="00D95672"/>
    <w:rsid w:val="00DB6283"/>
    <w:rsid w:val="00DB649B"/>
    <w:rsid w:val="00DC551C"/>
    <w:rsid w:val="00DD6157"/>
    <w:rsid w:val="00DD67F7"/>
    <w:rsid w:val="00DF3B0E"/>
    <w:rsid w:val="00E0281A"/>
    <w:rsid w:val="00E03731"/>
    <w:rsid w:val="00E107E1"/>
    <w:rsid w:val="00E11C45"/>
    <w:rsid w:val="00E16101"/>
    <w:rsid w:val="00E17DD1"/>
    <w:rsid w:val="00E20278"/>
    <w:rsid w:val="00E2605A"/>
    <w:rsid w:val="00E30FE3"/>
    <w:rsid w:val="00E358D1"/>
    <w:rsid w:val="00E35ABA"/>
    <w:rsid w:val="00E36696"/>
    <w:rsid w:val="00E41634"/>
    <w:rsid w:val="00E45839"/>
    <w:rsid w:val="00E5424F"/>
    <w:rsid w:val="00E61F9D"/>
    <w:rsid w:val="00E65F7E"/>
    <w:rsid w:val="00E67388"/>
    <w:rsid w:val="00E713F5"/>
    <w:rsid w:val="00E77773"/>
    <w:rsid w:val="00E84BB1"/>
    <w:rsid w:val="00E86E13"/>
    <w:rsid w:val="00E873E3"/>
    <w:rsid w:val="00E879CD"/>
    <w:rsid w:val="00E976C3"/>
    <w:rsid w:val="00EA4DF5"/>
    <w:rsid w:val="00EB1068"/>
    <w:rsid w:val="00EB1D0A"/>
    <w:rsid w:val="00EB31A6"/>
    <w:rsid w:val="00EB7B4B"/>
    <w:rsid w:val="00EC5225"/>
    <w:rsid w:val="00ED4DC5"/>
    <w:rsid w:val="00EE0FAC"/>
    <w:rsid w:val="00EE5263"/>
    <w:rsid w:val="00EE58AD"/>
    <w:rsid w:val="00EE5EDF"/>
    <w:rsid w:val="00EF18F8"/>
    <w:rsid w:val="00F06049"/>
    <w:rsid w:val="00F11908"/>
    <w:rsid w:val="00F14111"/>
    <w:rsid w:val="00F2131A"/>
    <w:rsid w:val="00F22B22"/>
    <w:rsid w:val="00F25451"/>
    <w:rsid w:val="00F255F7"/>
    <w:rsid w:val="00F37B44"/>
    <w:rsid w:val="00F429E3"/>
    <w:rsid w:val="00F43737"/>
    <w:rsid w:val="00F52B3B"/>
    <w:rsid w:val="00F53224"/>
    <w:rsid w:val="00F6074F"/>
    <w:rsid w:val="00F62D5C"/>
    <w:rsid w:val="00F760FF"/>
    <w:rsid w:val="00F85D89"/>
    <w:rsid w:val="00F87521"/>
    <w:rsid w:val="00F92150"/>
    <w:rsid w:val="00F94413"/>
    <w:rsid w:val="00FA571B"/>
    <w:rsid w:val="00FB6984"/>
    <w:rsid w:val="00FC3965"/>
    <w:rsid w:val="00FD42E9"/>
    <w:rsid w:val="00FD5EA4"/>
    <w:rsid w:val="00FE561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3C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37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bottom w:val="single" w:sz="8" w:space="1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sz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80" w:hanging="180"/>
    </w:pPr>
    <w:rPr>
      <w:sz w:val="24"/>
    </w:rPr>
  </w:style>
  <w:style w:type="character" w:customStyle="1" w:styleId="HeaderChar">
    <w:name w:val="Header Char"/>
    <w:link w:val="Header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1445A8"/>
    <w:pPr>
      <w:numPr>
        <w:numId w:val="31"/>
      </w:numPr>
    </w:pPr>
    <w:rPr>
      <w:rFonts w:ascii="Arial" w:hAnsi="Arial" w:cs="Arial"/>
      <w:b/>
      <w:sz w:val="24"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1445A8"/>
    <w:pPr>
      <w:numPr>
        <w:ilvl w:val="1"/>
        <w:numId w:val="31"/>
      </w:numPr>
    </w:pPr>
    <w:rPr>
      <w:rFonts w:ascii="Arial" w:hAnsi="Arial" w:cs="Arial"/>
      <w:b/>
      <w:sz w:val="24"/>
      <w:szCs w:val="24"/>
    </w:rPr>
  </w:style>
  <w:style w:type="paragraph" w:customStyle="1" w:styleId="Level3">
    <w:name w:val="Level 3"/>
    <w:basedOn w:val="Level2"/>
    <w:rsid w:val="001445A8"/>
    <w:pPr>
      <w:numPr>
        <w:ilvl w:val="2"/>
      </w:numPr>
    </w:pPr>
  </w:style>
  <w:style w:type="character" w:styleId="Hyperlink">
    <w:name w:val="Hyperlink"/>
    <w:uiPriority w:val="99"/>
    <w:rsid w:val="007225F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49EA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449EA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449EA"/>
  </w:style>
  <w:style w:type="table" w:styleId="TableGrid">
    <w:name w:val="Table Grid"/>
    <w:basedOn w:val="TableNormal"/>
    <w:uiPriority w:val="59"/>
    <w:rsid w:val="007E0E56"/>
    <w:pPr>
      <w:spacing w:before="0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FDC"/>
    <w:pPr>
      <w:ind w:left="720"/>
      <w:contextualSpacing/>
    </w:pPr>
  </w:style>
  <w:style w:type="paragraph" w:styleId="NormalWeb">
    <w:name w:val="Normal (Web)"/>
    <w:basedOn w:val="Normal"/>
    <w:rsid w:val="000105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1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58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105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0588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FD5E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yperlink" Target="https://fermipoint.fnal.gov/organization/ocoo/ippm/Lists/Risk%20Register/HL-LHC-AUP.aspx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_Toc238351705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2017-05-04T15:56:00Z</dcterms:created>
  <dcterms:modified xsi:type="dcterms:W3CDTF">2017-07-18T20:32:00Z</dcterms:modified>
</cp:coreProperties>
</file>