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62" w:rsidRDefault="008E6562" w:rsidP="008E6562">
      <w:pPr>
        <w:rPr>
          <w:color w:val="000000"/>
        </w:rPr>
      </w:pPr>
      <w:bookmarkStart w:id="0" w:name="_Toc465734408"/>
    </w:p>
    <w:p w:rsidR="00B05144" w:rsidRDefault="00B05144" w:rsidP="00B05144"/>
    <w:p w:rsidR="00B05144" w:rsidRDefault="00B05144" w:rsidP="00B05144"/>
    <w:p w:rsidR="00B05144" w:rsidRPr="00530034" w:rsidRDefault="00B05144" w:rsidP="00B05144">
      <w:pPr>
        <w:jc w:val="center"/>
      </w:pPr>
      <w:r>
        <w:t xml:space="preserve">       </w:t>
      </w:r>
    </w:p>
    <w:p w:rsidR="00B05144" w:rsidRDefault="00B05144" w:rsidP="00B05144"/>
    <w:p w:rsidR="00B05144" w:rsidRDefault="00B05144" w:rsidP="00E32867">
      <w:pPr>
        <w:jc w:val="center"/>
      </w:pPr>
    </w:p>
    <w:p w:rsidR="00B05144" w:rsidRDefault="00B05144" w:rsidP="001E6E94">
      <w:pPr>
        <w:spacing w:line="276" w:lineRule="auto"/>
        <w:jc w:val="center"/>
        <w:rPr>
          <w:b/>
          <w:sz w:val="32"/>
        </w:rPr>
      </w:pPr>
    </w:p>
    <w:p w:rsidR="00B05144" w:rsidRDefault="000C2BE1" w:rsidP="001E6E94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Functional</w:t>
      </w:r>
      <w:r w:rsidR="00827B93">
        <w:rPr>
          <w:b/>
          <w:sz w:val="32"/>
        </w:rPr>
        <w:t xml:space="preserve"> Requirement S</w:t>
      </w:r>
      <w:r w:rsidR="00B05144">
        <w:rPr>
          <w:b/>
          <w:sz w:val="32"/>
        </w:rPr>
        <w:t>pecification</w:t>
      </w:r>
    </w:p>
    <w:p w:rsidR="00827B93" w:rsidRDefault="00827B93" w:rsidP="001E6E94">
      <w:pPr>
        <w:spacing w:line="276" w:lineRule="auto"/>
        <w:jc w:val="center"/>
        <w:rPr>
          <w:b/>
          <w:sz w:val="32"/>
        </w:rPr>
      </w:pPr>
    </w:p>
    <w:p w:rsidR="007E64A1" w:rsidRDefault="005E15AC" w:rsidP="00E20FEF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PXIE </w:t>
      </w:r>
      <w:r w:rsidR="008E3252">
        <w:rPr>
          <w:b/>
          <w:sz w:val="32"/>
        </w:rPr>
        <w:t xml:space="preserve">MEBT </w:t>
      </w:r>
      <w:r w:rsidR="0045552C">
        <w:rPr>
          <w:b/>
          <w:sz w:val="32"/>
        </w:rPr>
        <w:t>Beam Position Monitors</w:t>
      </w:r>
    </w:p>
    <w:p w:rsidR="001E6E94" w:rsidRPr="005D633A" w:rsidRDefault="001E6E94" w:rsidP="007E64A1"/>
    <w:tbl>
      <w:tblPr>
        <w:tblW w:w="872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9"/>
        <w:gridCol w:w="1687"/>
        <w:gridCol w:w="2733"/>
      </w:tblGrid>
      <w:tr w:rsidR="00A77603" w:rsidRPr="000546E3" w:rsidTr="00333072">
        <w:trPr>
          <w:trHeight w:val="1068"/>
          <w:jc w:val="center"/>
        </w:trPr>
        <w:tc>
          <w:tcPr>
            <w:tcW w:w="4309" w:type="dxa"/>
            <w:tcBorders>
              <w:bottom w:val="single" w:sz="8" w:space="0" w:color="auto"/>
            </w:tcBorders>
          </w:tcPr>
          <w:p w:rsidR="00A77603" w:rsidRPr="000546E3" w:rsidRDefault="00A77603" w:rsidP="00336266">
            <w:r w:rsidRPr="000546E3">
              <w:t>Prepared by:</w:t>
            </w:r>
          </w:p>
          <w:p w:rsidR="00A77603" w:rsidRDefault="005E15AC" w:rsidP="005E15AC">
            <w:pPr>
              <w:ind w:right="-63"/>
            </w:pPr>
            <w:r>
              <w:t>A. Shemyakin</w:t>
            </w:r>
            <w:r w:rsidR="0045552C">
              <w:t xml:space="preserve">, V, </w:t>
            </w:r>
            <w:proofErr w:type="spellStart"/>
            <w:r w:rsidR="0045552C">
              <w:t>Scarpine</w:t>
            </w:r>
            <w:proofErr w:type="spellEnd"/>
            <w:r w:rsidR="003E3F6B">
              <w:t>, B. Chase</w:t>
            </w:r>
          </w:p>
          <w:p w:rsidR="00333072" w:rsidRDefault="00333072" w:rsidP="005E15AC">
            <w:pPr>
              <w:ind w:right="-63"/>
            </w:pPr>
          </w:p>
          <w:p w:rsidR="00A77603" w:rsidRPr="000546E3" w:rsidRDefault="00A77603" w:rsidP="00336266"/>
        </w:tc>
        <w:tc>
          <w:tcPr>
            <w:tcW w:w="1687" w:type="dxa"/>
          </w:tcPr>
          <w:p w:rsidR="00A77603" w:rsidRPr="000546E3" w:rsidRDefault="00A77603" w:rsidP="00A77603">
            <w:r w:rsidRPr="000546E3">
              <w:t>Fermilab</w:t>
            </w:r>
            <w:r w:rsidRPr="000546E3">
              <w:br/>
            </w:r>
            <w:r w:rsidR="005C4466">
              <w:t>AD</w:t>
            </w:r>
          </w:p>
        </w:tc>
        <w:tc>
          <w:tcPr>
            <w:tcW w:w="2733" w:type="dxa"/>
          </w:tcPr>
          <w:p w:rsidR="00A77603" w:rsidRDefault="000C0674">
            <w:hyperlink r:id="rId9" w:history="1">
              <w:r w:rsidR="00333072" w:rsidRPr="0066649B">
                <w:rPr>
                  <w:rStyle w:val="Hyperlink"/>
                </w:rPr>
                <w:t>shemyakin@fnal.gov</w:t>
              </w:r>
            </w:hyperlink>
          </w:p>
          <w:p w:rsidR="00333072" w:rsidRPr="000546E3" w:rsidRDefault="00333072">
            <w:r>
              <w:t>#4440</w:t>
            </w:r>
          </w:p>
        </w:tc>
      </w:tr>
      <w:tr w:rsidR="00A77603" w:rsidRPr="000546E3" w:rsidTr="00333072">
        <w:trPr>
          <w:trHeight w:val="1068"/>
          <w:jc w:val="center"/>
        </w:trPr>
        <w:tc>
          <w:tcPr>
            <w:tcW w:w="4309" w:type="dxa"/>
            <w:tcBorders>
              <w:top w:val="single" w:sz="8" w:space="0" w:color="auto"/>
            </w:tcBorders>
          </w:tcPr>
          <w:p w:rsidR="00A77603" w:rsidRPr="000546E3" w:rsidRDefault="00A77603" w:rsidP="00336266">
            <w:r w:rsidRPr="000546E3">
              <w:t>Approved by:</w:t>
            </w:r>
          </w:p>
          <w:p w:rsidR="00B82414" w:rsidRDefault="00A77603" w:rsidP="00336266">
            <w:r w:rsidRPr="000546E3">
              <w:t>V. Lebedev, CW Linac Scientist</w:t>
            </w:r>
          </w:p>
          <w:p w:rsidR="00333072" w:rsidRDefault="00333072" w:rsidP="00336266"/>
          <w:p w:rsidR="00A77603" w:rsidRPr="000546E3" w:rsidRDefault="00A77603" w:rsidP="00336266"/>
        </w:tc>
        <w:tc>
          <w:tcPr>
            <w:tcW w:w="1687" w:type="dxa"/>
          </w:tcPr>
          <w:p w:rsidR="00A77603" w:rsidRPr="000546E3" w:rsidRDefault="00A77603" w:rsidP="00C27A60">
            <w:r w:rsidRPr="000546E3">
              <w:t>Fermilab</w:t>
            </w:r>
            <w:r w:rsidRPr="000546E3">
              <w:br/>
            </w:r>
            <w:r w:rsidR="00C27A60">
              <w:t>AD</w:t>
            </w:r>
          </w:p>
        </w:tc>
        <w:tc>
          <w:tcPr>
            <w:tcW w:w="2733" w:type="dxa"/>
          </w:tcPr>
          <w:p w:rsidR="00A77603" w:rsidRPr="000546E3" w:rsidRDefault="00333072" w:rsidP="00336266">
            <w:r>
              <w:t>#2258</w:t>
            </w:r>
          </w:p>
        </w:tc>
      </w:tr>
      <w:tr w:rsidR="00A77603" w:rsidRPr="000546E3" w:rsidTr="00333072">
        <w:trPr>
          <w:trHeight w:val="1068"/>
          <w:jc w:val="center"/>
        </w:trPr>
        <w:tc>
          <w:tcPr>
            <w:tcW w:w="4309" w:type="dxa"/>
          </w:tcPr>
          <w:p w:rsidR="00A77603" w:rsidRPr="000546E3" w:rsidRDefault="00A77603" w:rsidP="00336266">
            <w:r w:rsidRPr="000546E3">
              <w:t>Approved by:</w:t>
            </w:r>
          </w:p>
          <w:p w:rsidR="00A77603" w:rsidRDefault="00A77603" w:rsidP="00336266">
            <w:r>
              <w:t xml:space="preserve">R. </w:t>
            </w:r>
            <w:proofErr w:type="spellStart"/>
            <w:r>
              <w:t>Stanek</w:t>
            </w:r>
            <w:proofErr w:type="spellEnd"/>
            <w:r w:rsidRPr="000546E3">
              <w:t xml:space="preserve">, </w:t>
            </w:r>
            <w:r>
              <w:t>PXIE Lead Engineer</w:t>
            </w:r>
          </w:p>
          <w:p w:rsidR="00333072" w:rsidRPr="000546E3" w:rsidRDefault="00333072" w:rsidP="00336266"/>
        </w:tc>
        <w:tc>
          <w:tcPr>
            <w:tcW w:w="1687" w:type="dxa"/>
          </w:tcPr>
          <w:p w:rsidR="00A77603" w:rsidRPr="000546E3" w:rsidRDefault="00A77603" w:rsidP="00336266">
            <w:r w:rsidRPr="000546E3">
              <w:t>Fermilab</w:t>
            </w:r>
            <w:r w:rsidRPr="000546E3">
              <w:br/>
              <w:t>Directorate</w:t>
            </w:r>
          </w:p>
        </w:tc>
        <w:tc>
          <w:tcPr>
            <w:tcW w:w="2733" w:type="dxa"/>
          </w:tcPr>
          <w:p w:rsidR="00A77603" w:rsidRPr="000546E3" w:rsidRDefault="007B4604" w:rsidP="00336266">
            <w:r>
              <w:t>#</w:t>
            </w:r>
            <w:r w:rsidRPr="007B4604">
              <w:t>3519</w:t>
            </w:r>
          </w:p>
        </w:tc>
      </w:tr>
      <w:tr w:rsidR="004B45BA" w:rsidRPr="000546E3" w:rsidTr="00333072">
        <w:trPr>
          <w:trHeight w:val="1068"/>
          <w:jc w:val="center"/>
        </w:trPr>
        <w:tc>
          <w:tcPr>
            <w:tcW w:w="4309" w:type="dxa"/>
          </w:tcPr>
          <w:p w:rsidR="004B45BA" w:rsidRDefault="004B45BA" w:rsidP="00336266">
            <w:r>
              <w:t>Acknowledge by:</w:t>
            </w:r>
          </w:p>
          <w:p w:rsidR="004B45BA" w:rsidRPr="000546E3" w:rsidRDefault="004B45BA" w:rsidP="00336266">
            <w:r>
              <w:t>M. Alvarez, BPM mechanical designer</w:t>
            </w:r>
          </w:p>
        </w:tc>
        <w:tc>
          <w:tcPr>
            <w:tcW w:w="1687" w:type="dxa"/>
          </w:tcPr>
          <w:p w:rsidR="004B45BA" w:rsidRPr="000546E3" w:rsidRDefault="004B45BA" w:rsidP="00336266">
            <w:r w:rsidRPr="000546E3">
              <w:t>Fermilab</w:t>
            </w:r>
            <w:r w:rsidRPr="000546E3">
              <w:br/>
            </w:r>
            <w:r>
              <w:t>AD</w:t>
            </w:r>
          </w:p>
        </w:tc>
        <w:tc>
          <w:tcPr>
            <w:tcW w:w="2733" w:type="dxa"/>
          </w:tcPr>
          <w:p w:rsidR="004B45BA" w:rsidRDefault="00553A70" w:rsidP="00336266">
            <w:r>
              <w:t># 8746</w:t>
            </w:r>
          </w:p>
        </w:tc>
      </w:tr>
      <w:tr w:rsidR="00553A70" w:rsidRPr="000546E3" w:rsidTr="00333072">
        <w:trPr>
          <w:trHeight w:val="1068"/>
          <w:jc w:val="center"/>
        </w:trPr>
        <w:tc>
          <w:tcPr>
            <w:tcW w:w="4309" w:type="dxa"/>
          </w:tcPr>
          <w:p w:rsidR="00553A70" w:rsidRDefault="00553A70" w:rsidP="00336266">
            <w:r>
              <w:t>Acknowledge by:</w:t>
            </w:r>
          </w:p>
          <w:p w:rsidR="00553A70" w:rsidRDefault="00553A70" w:rsidP="00336266">
            <w:r>
              <w:t>N. Eddy, Instrumentation Department Head</w:t>
            </w:r>
          </w:p>
          <w:p w:rsidR="00553A70" w:rsidRDefault="00553A70" w:rsidP="00336266"/>
        </w:tc>
        <w:tc>
          <w:tcPr>
            <w:tcW w:w="1687" w:type="dxa"/>
          </w:tcPr>
          <w:p w:rsidR="00553A70" w:rsidRPr="000546E3" w:rsidRDefault="00553A70" w:rsidP="00336266">
            <w:r w:rsidRPr="000546E3">
              <w:t>Fermilab</w:t>
            </w:r>
            <w:r w:rsidRPr="000546E3">
              <w:br/>
            </w:r>
            <w:r>
              <w:t>AD</w:t>
            </w:r>
          </w:p>
        </w:tc>
        <w:tc>
          <w:tcPr>
            <w:tcW w:w="2733" w:type="dxa"/>
          </w:tcPr>
          <w:p w:rsidR="00553A70" w:rsidRDefault="00553A70" w:rsidP="00336266">
            <w:r>
              <w:t># 6860</w:t>
            </w:r>
          </w:p>
        </w:tc>
      </w:tr>
    </w:tbl>
    <w:p w:rsidR="00B05144" w:rsidRDefault="00B05144" w:rsidP="008E6562">
      <w:pPr>
        <w:jc w:val="center"/>
        <w:rPr>
          <w:b/>
          <w:color w:val="000000"/>
          <w:u w:val="single"/>
        </w:rPr>
      </w:pPr>
    </w:p>
    <w:p w:rsidR="00827B93" w:rsidRDefault="00827B93" w:rsidP="008E6562">
      <w:pPr>
        <w:jc w:val="center"/>
        <w:rPr>
          <w:b/>
          <w:color w:val="000000"/>
          <w:u w:val="single"/>
        </w:rPr>
      </w:pPr>
    </w:p>
    <w:p w:rsidR="00827B93" w:rsidRDefault="00827B93" w:rsidP="008E6562">
      <w:pPr>
        <w:jc w:val="center"/>
        <w:rPr>
          <w:b/>
          <w:color w:val="000000"/>
          <w:u w:val="single"/>
        </w:rPr>
      </w:pPr>
    </w:p>
    <w:p w:rsidR="00827B93" w:rsidRDefault="00827B93" w:rsidP="008E6562">
      <w:pPr>
        <w:jc w:val="center"/>
        <w:rPr>
          <w:b/>
          <w:color w:val="000000"/>
          <w:u w:val="single"/>
        </w:rPr>
      </w:pPr>
    </w:p>
    <w:p w:rsidR="00827B93" w:rsidRDefault="00827B93" w:rsidP="008E6562">
      <w:pPr>
        <w:jc w:val="center"/>
        <w:rPr>
          <w:b/>
          <w:color w:val="000000"/>
          <w:u w:val="single"/>
        </w:rPr>
      </w:pPr>
    </w:p>
    <w:p w:rsidR="00827B93" w:rsidRDefault="00827B93" w:rsidP="008E6562">
      <w:pPr>
        <w:jc w:val="center"/>
        <w:rPr>
          <w:b/>
          <w:color w:val="000000"/>
          <w:u w:val="single"/>
        </w:rPr>
      </w:pPr>
    </w:p>
    <w:p w:rsidR="00827B93" w:rsidRDefault="00827B93" w:rsidP="008E6562">
      <w:pPr>
        <w:jc w:val="center"/>
        <w:rPr>
          <w:b/>
          <w:color w:val="000000"/>
          <w:u w:val="single"/>
        </w:rPr>
      </w:pPr>
    </w:p>
    <w:p w:rsidR="009C036C" w:rsidRDefault="009C036C" w:rsidP="008E6562">
      <w:pPr>
        <w:jc w:val="center"/>
        <w:rPr>
          <w:b/>
          <w:color w:val="000000"/>
          <w:u w:val="single"/>
        </w:rPr>
      </w:pPr>
    </w:p>
    <w:p w:rsidR="009C036C" w:rsidRDefault="009C036C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:rsidR="008E6562" w:rsidRDefault="008E6562" w:rsidP="008E6562">
      <w:pPr>
        <w:jc w:val="center"/>
        <w:rPr>
          <w:color w:val="000000"/>
        </w:rPr>
      </w:pPr>
      <w:r>
        <w:rPr>
          <w:b/>
          <w:color w:val="000000"/>
          <w:u w:val="single"/>
        </w:rPr>
        <w:lastRenderedPageBreak/>
        <w:t>Revision History</w:t>
      </w:r>
    </w:p>
    <w:p w:rsidR="008E6562" w:rsidRDefault="008E6562" w:rsidP="008E6562">
      <w:pPr>
        <w:rPr>
          <w:color w:val="000000"/>
        </w:rPr>
      </w:pPr>
    </w:p>
    <w:tbl>
      <w:tblPr>
        <w:tblW w:w="9694" w:type="dxa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350"/>
        <w:gridCol w:w="990"/>
        <w:gridCol w:w="6197"/>
      </w:tblGrid>
      <w:tr w:rsidR="008E6562" w:rsidTr="00FA5D2D">
        <w:trPr>
          <w:jc w:val="center"/>
        </w:trPr>
        <w:tc>
          <w:tcPr>
            <w:tcW w:w="1157" w:type="dxa"/>
          </w:tcPr>
          <w:p w:rsidR="008E6562" w:rsidRDefault="008E6562" w:rsidP="003006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Revision</w:t>
            </w:r>
          </w:p>
        </w:tc>
        <w:tc>
          <w:tcPr>
            <w:tcW w:w="1350" w:type="dxa"/>
          </w:tcPr>
          <w:p w:rsidR="008E6562" w:rsidRDefault="008E6562" w:rsidP="003006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990" w:type="dxa"/>
          </w:tcPr>
          <w:p w:rsidR="008E6562" w:rsidRDefault="008E6562" w:rsidP="001A1C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Section </w:t>
            </w:r>
            <w:r w:rsidR="001A1CF2">
              <w:rPr>
                <w:b/>
                <w:color w:val="000000"/>
              </w:rPr>
              <w:t>N</w:t>
            </w:r>
            <w:r>
              <w:rPr>
                <w:b/>
                <w:color w:val="000000"/>
              </w:rPr>
              <w:t>o.</w:t>
            </w:r>
          </w:p>
        </w:tc>
        <w:tc>
          <w:tcPr>
            <w:tcW w:w="6197" w:type="dxa"/>
          </w:tcPr>
          <w:p w:rsidR="008E6562" w:rsidRDefault="008E6562" w:rsidP="003006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Revision Description</w:t>
            </w:r>
          </w:p>
        </w:tc>
      </w:tr>
      <w:tr w:rsidR="008E6562" w:rsidTr="00FA5D2D">
        <w:trPr>
          <w:jc w:val="center"/>
        </w:trPr>
        <w:tc>
          <w:tcPr>
            <w:tcW w:w="1157" w:type="dxa"/>
          </w:tcPr>
          <w:p w:rsidR="008E6562" w:rsidRDefault="009C036C" w:rsidP="00300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0" w:type="dxa"/>
          </w:tcPr>
          <w:p w:rsidR="008E6562" w:rsidRPr="007E64A1" w:rsidRDefault="005C4466" w:rsidP="00FA5D2D">
            <w:r>
              <w:rPr>
                <w:color w:val="000000"/>
              </w:rPr>
              <w:t>0</w:t>
            </w:r>
            <w:r w:rsidR="00191EFB">
              <w:rPr>
                <w:color w:val="000000"/>
              </w:rPr>
              <w:t>3</w:t>
            </w:r>
            <w:r>
              <w:rPr>
                <w:color w:val="000000"/>
              </w:rPr>
              <w:t>/</w:t>
            </w:r>
            <w:r w:rsidR="00191EFB">
              <w:rPr>
                <w:color w:val="000000"/>
              </w:rPr>
              <w:t>0</w:t>
            </w:r>
            <w:r w:rsidR="0045552C">
              <w:rPr>
                <w:color w:val="000000"/>
              </w:rPr>
              <w:t>8</w:t>
            </w:r>
            <w:r>
              <w:rPr>
                <w:color w:val="000000"/>
              </w:rPr>
              <w:t>/2013</w:t>
            </w:r>
          </w:p>
        </w:tc>
        <w:tc>
          <w:tcPr>
            <w:tcW w:w="990" w:type="dxa"/>
          </w:tcPr>
          <w:p w:rsidR="008E6562" w:rsidRPr="007E64A1" w:rsidRDefault="00EC2E73" w:rsidP="0030061C">
            <w:pPr>
              <w:jc w:val="center"/>
            </w:pPr>
            <w:r w:rsidRPr="007E64A1">
              <w:t>All</w:t>
            </w:r>
          </w:p>
        </w:tc>
        <w:tc>
          <w:tcPr>
            <w:tcW w:w="6197" w:type="dxa"/>
          </w:tcPr>
          <w:p w:rsidR="008E6562" w:rsidRPr="007E64A1" w:rsidRDefault="005C4466" w:rsidP="005C4466">
            <w:r>
              <w:t>Initial</w:t>
            </w:r>
            <w:r w:rsidR="009C036C">
              <w:t xml:space="preserve"> </w:t>
            </w:r>
            <w:r>
              <w:t>r</w:t>
            </w:r>
            <w:r w:rsidR="009C036C">
              <w:t>elease.</w:t>
            </w:r>
          </w:p>
        </w:tc>
      </w:tr>
      <w:tr w:rsidR="008E6562" w:rsidTr="00FA5D2D">
        <w:trPr>
          <w:jc w:val="center"/>
        </w:trPr>
        <w:tc>
          <w:tcPr>
            <w:tcW w:w="1157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8E6562" w:rsidRDefault="008E6562" w:rsidP="005C446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</w:tcPr>
          <w:p w:rsidR="008E6562" w:rsidRDefault="008E6562" w:rsidP="0030061C">
            <w:pPr>
              <w:rPr>
                <w:color w:val="000000"/>
              </w:rPr>
            </w:pPr>
          </w:p>
        </w:tc>
      </w:tr>
      <w:tr w:rsidR="008E6562" w:rsidTr="00FA5D2D">
        <w:trPr>
          <w:trHeight w:val="162"/>
          <w:jc w:val="center"/>
        </w:trPr>
        <w:tc>
          <w:tcPr>
            <w:tcW w:w="1157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</w:tcPr>
          <w:p w:rsidR="008E6562" w:rsidRDefault="008E6562" w:rsidP="0030061C">
            <w:pPr>
              <w:rPr>
                <w:color w:val="000000"/>
              </w:rPr>
            </w:pPr>
          </w:p>
        </w:tc>
      </w:tr>
      <w:tr w:rsidR="008E6562" w:rsidTr="00FA5D2D">
        <w:trPr>
          <w:jc w:val="center"/>
        </w:trPr>
        <w:tc>
          <w:tcPr>
            <w:tcW w:w="1157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</w:tcPr>
          <w:p w:rsidR="008E6562" w:rsidRDefault="008E6562" w:rsidP="0030061C">
            <w:pPr>
              <w:rPr>
                <w:color w:val="000000"/>
              </w:rPr>
            </w:pPr>
          </w:p>
        </w:tc>
      </w:tr>
      <w:tr w:rsidR="008E6562" w:rsidTr="00FA5D2D">
        <w:trPr>
          <w:jc w:val="center"/>
        </w:trPr>
        <w:tc>
          <w:tcPr>
            <w:tcW w:w="1157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</w:tcPr>
          <w:p w:rsidR="008E6562" w:rsidRDefault="008E6562" w:rsidP="0030061C">
            <w:pPr>
              <w:rPr>
                <w:color w:val="000000"/>
              </w:rPr>
            </w:pPr>
          </w:p>
        </w:tc>
      </w:tr>
      <w:tr w:rsidR="008E6562" w:rsidTr="00FA5D2D">
        <w:trPr>
          <w:jc w:val="center"/>
        </w:trPr>
        <w:tc>
          <w:tcPr>
            <w:tcW w:w="1157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</w:tcPr>
          <w:p w:rsidR="008E6562" w:rsidRDefault="008E6562" w:rsidP="0030061C">
            <w:pPr>
              <w:rPr>
                <w:color w:val="000000"/>
              </w:rPr>
            </w:pPr>
          </w:p>
        </w:tc>
      </w:tr>
      <w:tr w:rsidR="008E6562" w:rsidTr="00FA5D2D">
        <w:trPr>
          <w:jc w:val="center"/>
        </w:trPr>
        <w:tc>
          <w:tcPr>
            <w:tcW w:w="1157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</w:tcPr>
          <w:p w:rsidR="008E6562" w:rsidRDefault="008E6562" w:rsidP="0030061C">
            <w:pPr>
              <w:rPr>
                <w:color w:val="000000"/>
              </w:rPr>
            </w:pPr>
          </w:p>
        </w:tc>
      </w:tr>
      <w:tr w:rsidR="008E6562" w:rsidTr="00FA5D2D">
        <w:trPr>
          <w:jc w:val="center"/>
        </w:trPr>
        <w:tc>
          <w:tcPr>
            <w:tcW w:w="1157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</w:tcPr>
          <w:p w:rsidR="008E6562" w:rsidRDefault="008E6562" w:rsidP="0030061C">
            <w:pPr>
              <w:rPr>
                <w:color w:val="000000"/>
              </w:rPr>
            </w:pPr>
          </w:p>
        </w:tc>
      </w:tr>
      <w:tr w:rsidR="008E6562" w:rsidTr="00FA5D2D">
        <w:trPr>
          <w:jc w:val="center"/>
        </w:trPr>
        <w:tc>
          <w:tcPr>
            <w:tcW w:w="1157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</w:tcPr>
          <w:p w:rsidR="008E6562" w:rsidRDefault="008E6562" w:rsidP="0030061C">
            <w:pPr>
              <w:rPr>
                <w:color w:val="000000"/>
              </w:rPr>
            </w:pPr>
          </w:p>
        </w:tc>
      </w:tr>
      <w:tr w:rsidR="008E6562" w:rsidTr="00FA5D2D">
        <w:trPr>
          <w:jc w:val="center"/>
        </w:trPr>
        <w:tc>
          <w:tcPr>
            <w:tcW w:w="1157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</w:tcPr>
          <w:p w:rsidR="008E6562" w:rsidRDefault="008E6562" w:rsidP="0030061C">
            <w:pPr>
              <w:rPr>
                <w:color w:val="000000"/>
              </w:rPr>
            </w:pPr>
          </w:p>
        </w:tc>
      </w:tr>
      <w:tr w:rsidR="008E6562" w:rsidTr="00FA5D2D">
        <w:trPr>
          <w:jc w:val="center"/>
        </w:trPr>
        <w:tc>
          <w:tcPr>
            <w:tcW w:w="1157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</w:tcPr>
          <w:p w:rsidR="008E6562" w:rsidRDefault="008E6562" w:rsidP="0030061C">
            <w:pPr>
              <w:rPr>
                <w:color w:val="000000"/>
              </w:rPr>
            </w:pPr>
          </w:p>
        </w:tc>
      </w:tr>
      <w:tr w:rsidR="008E6562" w:rsidTr="00FA5D2D">
        <w:trPr>
          <w:jc w:val="center"/>
        </w:trPr>
        <w:tc>
          <w:tcPr>
            <w:tcW w:w="1157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8E6562" w:rsidRDefault="008E6562" w:rsidP="0030061C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</w:tcPr>
          <w:p w:rsidR="008E6562" w:rsidRDefault="008E6562" w:rsidP="0030061C">
            <w:pPr>
              <w:rPr>
                <w:color w:val="000000"/>
              </w:rPr>
            </w:pPr>
          </w:p>
        </w:tc>
      </w:tr>
    </w:tbl>
    <w:p w:rsidR="008E6562" w:rsidRDefault="008E6562" w:rsidP="008E6562">
      <w:pPr>
        <w:rPr>
          <w:color w:val="000000"/>
        </w:rPr>
      </w:pPr>
    </w:p>
    <w:p w:rsidR="008E6562" w:rsidRDefault="008E6562" w:rsidP="008E6562">
      <w:pPr>
        <w:rPr>
          <w:color w:val="000000"/>
        </w:rPr>
      </w:pPr>
    </w:p>
    <w:p w:rsidR="008E6562" w:rsidRDefault="008E6562" w:rsidP="008E6562">
      <w:pPr>
        <w:rPr>
          <w:color w:val="000000"/>
        </w:rPr>
      </w:pPr>
    </w:p>
    <w:p w:rsidR="008E6562" w:rsidRDefault="008E6562" w:rsidP="008E6562">
      <w:pPr>
        <w:rPr>
          <w:color w:val="000000"/>
        </w:rPr>
      </w:pPr>
      <w:r>
        <w:rPr>
          <w:color w:val="000000"/>
        </w:rPr>
        <w:br w:type="page"/>
      </w:r>
    </w:p>
    <w:p w:rsidR="008E6562" w:rsidRDefault="008E6562" w:rsidP="008E6562">
      <w:pPr>
        <w:rPr>
          <w:szCs w:val="24"/>
        </w:rPr>
      </w:pPr>
    </w:p>
    <w:p w:rsidR="008E6562" w:rsidRPr="00A35232" w:rsidRDefault="008E6562" w:rsidP="008E6562">
      <w:pPr>
        <w:jc w:val="center"/>
        <w:rPr>
          <w:b/>
          <w:sz w:val="28"/>
          <w:szCs w:val="28"/>
        </w:rPr>
      </w:pPr>
      <w:r w:rsidRPr="00A35232">
        <w:rPr>
          <w:b/>
          <w:sz w:val="28"/>
          <w:szCs w:val="28"/>
        </w:rPr>
        <w:t>TABLE OF CONTENTS</w:t>
      </w:r>
    </w:p>
    <w:p w:rsidR="008E6562" w:rsidRDefault="008E6562" w:rsidP="008E6562">
      <w:pPr>
        <w:rPr>
          <w:szCs w:val="24"/>
        </w:rPr>
      </w:pPr>
    </w:p>
    <w:p w:rsidR="008E6562" w:rsidRPr="00B05144" w:rsidRDefault="008E6562" w:rsidP="00B05144">
      <w:pPr>
        <w:spacing w:line="480" w:lineRule="auto"/>
        <w:rPr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2071957874"/>
        <w:docPartObj>
          <w:docPartGallery w:val="Table of Contents"/>
          <w:docPartUnique/>
        </w:docPartObj>
      </w:sdtPr>
      <w:sdtEndPr>
        <w:rPr>
          <w:noProof/>
          <w:sz w:val="24"/>
        </w:rPr>
      </w:sdtEndPr>
      <w:sdtContent>
        <w:p w:rsidR="00336266" w:rsidRPr="00000909" w:rsidRDefault="00336266">
          <w:pPr>
            <w:pStyle w:val="TOCHeading"/>
            <w:rPr>
              <w:sz w:val="24"/>
              <w:szCs w:val="24"/>
            </w:rPr>
          </w:pPr>
        </w:p>
        <w:p w:rsidR="00C011AD" w:rsidRDefault="00F332BD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000909">
            <w:rPr>
              <w:caps w:val="0"/>
              <w:szCs w:val="24"/>
            </w:rPr>
            <w:fldChar w:fldCharType="begin"/>
          </w:r>
          <w:r w:rsidR="00336266" w:rsidRPr="00000909">
            <w:rPr>
              <w:caps w:val="0"/>
              <w:szCs w:val="24"/>
            </w:rPr>
            <w:instrText xml:space="preserve"> TOC \o "1-3" \h \z \u </w:instrText>
          </w:r>
          <w:r w:rsidRPr="00000909">
            <w:rPr>
              <w:caps w:val="0"/>
              <w:szCs w:val="24"/>
            </w:rPr>
            <w:fldChar w:fldCharType="separate"/>
          </w:r>
          <w:hyperlink w:anchor="_Toc351039039" w:history="1">
            <w:r w:rsidR="00C011AD" w:rsidRPr="00981E7F">
              <w:rPr>
                <w:rStyle w:val="Hyperlink"/>
                <w:noProof/>
              </w:rPr>
              <w:t>1</w:t>
            </w:r>
            <w:r w:rsidR="00C011AD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C011AD" w:rsidRPr="00981E7F">
              <w:rPr>
                <w:rStyle w:val="Hyperlink"/>
                <w:noProof/>
              </w:rPr>
              <w:t>Introduction:</w:t>
            </w:r>
            <w:r w:rsidR="00C011AD">
              <w:rPr>
                <w:noProof/>
                <w:webHidden/>
              </w:rPr>
              <w:tab/>
            </w:r>
            <w:r w:rsidR="00C011AD">
              <w:rPr>
                <w:noProof/>
                <w:webHidden/>
              </w:rPr>
              <w:fldChar w:fldCharType="begin"/>
            </w:r>
            <w:r w:rsidR="00C011AD">
              <w:rPr>
                <w:noProof/>
                <w:webHidden/>
              </w:rPr>
              <w:instrText xml:space="preserve"> PAGEREF _Toc351039039 \h </w:instrText>
            </w:r>
            <w:r w:rsidR="00C011AD">
              <w:rPr>
                <w:noProof/>
                <w:webHidden/>
              </w:rPr>
            </w:r>
            <w:r w:rsidR="00C011AD">
              <w:rPr>
                <w:noProof/>
                <w:webHidden/>
              </w:rPr>
              <w:fldChar w:fldCharType="separate"/>
            </w:r>
            <w:r w:rsidR="00C011AD">
              <w:rPr>
                <w:noProof/>
                <w:webHidden/>
              </w:rPr>
              <w:t>4</w:t>
            </w:r>
            <w:r w:rsidR="00C011AD"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1039040" w:history="1">
            <w:r w:rsidRPr="00981E7F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Scope: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1039041" w:history="1">
            <w:r w:rsidRPr="00981E7F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Key Assumptions, Interfaces &amp; Constraints: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2"/>
            <w:tabs>
              <w:tab w:val="left" w:pos="800"/>
              <w:tab w:val="right" w:leader="dot" w:pos="863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1039042" w:history="1">
            <w:r w:rsidRPr="00981E7F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Beam 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2"/>
            <w:tabs>
              <w:tab w:val="left" w:pos="800"/>
              <w:tab w:val="right" w:leader="dot" w:pos="863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1039043" w:history="1">
            <w:r w:rsidRPr="00981E7F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MEBT modes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3"/>
            <w:tabs>
              <w:tab w:val="left" w:pos="1200"/>
              <w:tab w:val="right" w:leader="dot" w:pos="863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1039044" w:history="1">
            <w:r w:rsidRPr="00981E7F">
              <w:rPr>
                <w:rStyle w:val="Hyperlink"/>
                <w:noProof/>
              </w:rPr>
              <w:t>3.2.1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Mode 1. Nominal operating mode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3"/>
            <w:tabs>
              <w:tab w:val="left" w:pos="1200"/>
              <w:tab w:val="right" w:leader="dot" w:pos="863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1039045" w:history="1">
            <w:r w:rsidRPr="00981E7F">
              <w:rPr>
                <w:rStyle w:val="Hyperlink"/>
                <w:noProof/>
              </w:rPr>
              <w:t>3.2.2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Mode 2. Pulse mode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3"/>
            <w:tabs>
              <w:tab w:val="left" w:pos="1200"/>
              <w:tab w:val="right" w:leader="dot" w:pos="863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1039046" w:history="1">
            <w:r w:rsidRPr="00981E7F">
              <w:rPr>
                <w:rStyle w:val="Hyperlink"/>
                <w:noProof/>
              </w:rPr>
              <w:t>3.2.3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Mode 3. Pre-chopped repetitive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3"/>
            <w:tabs>
              <w:tab w:val="left" w:pos="1200"/>
              <w:tab w:val="right" w:leader="dot" w:pos="863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1039047" w:history="1">
            <w:r w:rsidRPr="00981E7F">
              <w:rPr>
                <w:rStyle w:val="Hyperlink"/>
                <w:noProof/>
              </w:rPr>
              <w:t>3.2.4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Mode 4. Synchronous detection in the Repetitive Structure mode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2"/>
            <w:tabs>
              <w:tab w:val="left" w:pos="800"/>
              <w:tab w:val="right" w:leader="dot" w:pos="863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1039048" w:history="1">
            <w:r w:rsidRPr="00981E7F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Mechanical constrains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2"/>
            <w:tabs>
              <w:tab w:val="left" w:pos="800"/>
              <w:tab w:val="right" w:leader="dot" w:pos="863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1039049" w:history="1">
            <w:r w:rsidRPr="00981E7F">
              <w:rPr>
                <w:rStyle w:val="Hyperlink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Temperature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1039050" w:history="1">
            <w:r w:rsidRPr="00981E7F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2"/>
            <w:tabs>
              <w:tab w:val="left" w:pos="800"/>
              <w:tab w:val="right" w:leader="dot" w:pos="863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1039051" w:history="1">
            <w:r w:rsidRPr="00981E7F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Dimensions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2"/>
            <w:tabs>
              <w:tab w:val="left" w:pos="800"/>
              <w:tab w:val="right" w:leader="dot" w:pos="863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1039052" w:history="1">
            <w:r w:rsidRPr="00981E7F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Positioning of the pickups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3"/>
            <w:tabs>
              <w:tab w:val="left" w:pos="1200"/>
              <w:tab w:val="right" w:leader="dot" w:pos="863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1039053" w:history="1">
            <w:r w:rsidRPr="00981E7F">
              <w:rPr>
                <w:rStyle w:val="Hyperlink"/>
                <w:noProof/>
              </w:rPr>
              <w:t>4.2.1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Accuracy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3"/>
            <w:tabs>
              <w:tab w:val="left" w:pos="1200"/>
              <w:tab w:val="right" w:leader="dot" w:pos="863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1039054" w:history="1">
            <w:r w:rsidRPr="00981E7F">
              <w:rPr>
                <w:rStyle w:val="Hyperlink"/>
                <w:noProof/>
              </w:rPr>
              <w:t>4.2.2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Stability with respect to quadrupoles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2"/>
            <w:tabs>
              <w:tab w:val="left" w:pos="800"/>
              <w:tab w:val="right" w:leader="dot" w:pos="863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1039055" w:history="1">
            <w:r w:rsidRPr="00981E7F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Measurement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3"/>
            <w:tabs>
              <w:tab w:val="left" w:pos="1200"/>
              <w:tab w:val="right" w:leader="dot" w:pos="863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1039056" w:history="1">
            <w:r w:rsidRPr="00981E7F">
              <w:rPr>
                <w:rStyle w:val="Hyperlink"/>
                <w:noProof/>
              </w:rPr>
              <w:t>4.3.1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Phase measurements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3"/>
            <w:tabs>
              <w:tab w:val="left" w:pos="1200"/>
              <w:tab w:val="right" w:leader="dot" w:pos="863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1039057" w:history="1">
            <w:r w:rsidRPr="00981E7F">
              <w:rPr>
                <w:rStyle w:val="Hyperlink"/>
                <w:noProof/>
              </w:rPr>
              <w:t>4.3.2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Position measurements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3"/>
            <w:tabs>
              <w:tab w:val="left" w:pos="1200"/>
              <w:tab w:val="right" w:leader="dot" w:pos="863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1039058" w:history="1">
            <w:r w:rsidRPr="00981E7F">
              <w:rPr>
                <w:rStyle w:val="Hyperlink"/>
                <w:noProof/>
              </w:rPr>
              <w:t>4.3.3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Intensity measurements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AD" w:rsidRDefault="00C011AD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1039059" w:history="1">
            <w:r w:rsidRPr="00981E7F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981E7F">
              <w:rPr>
                <w:rStyle w:val="Hyperlink"/>
                <w:noProof/>
              </w:rPr>
              <w:t>References: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_Toc351039059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266" w:rsidRDefault="00F332BD">
          <w:r w:rsidRPr="00000909">
            <w:rPr>
              <w:b/>
              <w:bCs/>
              <w:noProof/>
              <w:szCs w:val="24"/>
            </w:rPr>
            <w:fldChar w:fldCharType="end"/>
          </w:r>
        </w:p>
      </w:sdtContent>
    </w:sdt>
    <w:p w:rsidR="00E06596" w:rsidRDefault="00E06596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2949EF" w:rsidRPr="00336266" w:rsidRDefault="002949EF" w:rsidP="00336266">
      <w:pPr>
        <w:pStyle w:val="Heading1"/>
      </w:pPr>
      <w:bookmarkStart w:id="1" w:name="_Toc351039039"/>
      <w:r w:rsidRPr="00336266">
        <w:lastRenderedPageBreak/>
        <w:t>Introduction:</w:t>
      </w:r>
      <w:bookmarkEnd w:id="1"/>
    </w:p>
    <w:p w:rsidR="002949EF" w:rsidRPr="00BB63B0" w:rsidRDefault="002949EF" w:rsidP="002949EF">
      <w:pPr>
        <w:pStyle w:val="Level1"/>
        <w:numPr>
          <w:ilvl w:val="0"/>
          <w:numId w:val="0"/>
        </w:numPr>
        <w:ind w:left="360"/>
      </w:pPr>
    </w:p>
    <w:p w:rsidR="005729BB" w:rsidRDefault="001C4C1C" w:rsidP="00AC1FAA">
      <w:pPr>
        <w:rPr>
          <w:szCs w:val="24"/>
        </w:rPr>
      </w:pPr>
      <w:r w:rsidRPr="00E32867">
        <w:rPr>
          <w:szCs w:val="24"/>
        </w:rPr>
        <w:t>T</w:t>
      </w:r>
      <w:r w:rsidR="00520D2D">
        <w:rPr>
          <w:szCs w:val="24"/>
        </w:rPr>
        <w:t>he main diagnostics for measuring of t</w:t>
      </w:r>
      <w:r w:rsidR="005729BB">
        <w:rPr>
          <w:szCs w:val="24"/>
        </w:rPr>
        <w:t xml:space="preserve">ransverse </w:t>
      </w:r>
      <w:r w:rsidR="00520D2D">
        <w:rPr>
          <w:szCs w:val="24"/>
        </w:rPr>
        <w:t xml:space="preserve">positions and bunch phases </w:t>
      </w:r>
      <w:r w:rsidR="005729BB">
        <w:rPr>
          <w:szCs w:val="24"/>
        </w:rPr>
        <w:t>in t</w:t>
      </w:r>
      <w:r w:rsidRPr="00E32867">
        <w:rPr>
          <w:szCs w:val="24"/>
        </w:rPr>
        <w:t xml:space="preserve">he PXIE </w:t>
      </w:r>
      <w:r w:rsidR="005E15AC">
        <w:rPr>
          <w:szCs w:val="24"/>
        </w:rPr>
        <w:t>Medium Energy Beam Transport (MEBT)</w:t>
      </w:r>
      <w:r w:rsidR="008E3252">
        <w:rPr>
          <w:szCs w:val="24"/>
        </w:rPr>
        <w:t xml:space="preserve"> [1]</w:t>
      </w:r>
      <w:r w:rsidR="005E15AC">
        <w:rPr>
          <w:szCs w:val="24"/>
        </w:rPr>
        <w:t xml:space="preserve"> </w:t>
      </w:r>
      <w:r w:rsidR="005729BB">
        <w:rPr>
          <w:szCs w:val="24"/>
        </w:rPr>
        <w:t xml:space="preserve">is </w:t>
      </w:r>
      <w:r w:rsidR="00520D2D">
        <w:rPr>
          <w:szCs w:val="24"/>
        </w:rPr>
        <w:t xml:space="preserve">a set of Beam Position Monitors (BPMs). </w:t>
      </w:r>
      <w:r w:rsidR="005729BB">
        <w:rPr>
          <w:szCs w:val="24"/>
        </w:rPr>
        <w:t xml:space="preserve">This specification describes functional requirements for the MEBT </w:t>
      </w:r>
      <w:r w:rsidR="00520D2D">
        <w:rPr>
          <w:szCs w:val="24"/>
        </w:rPr>
        <w:t>BPM</w:t>
      </w:r>
      <w:r w:rsidR="00F02CA7">
        <w:rPr>
          <w:szCs w:val="24"/>
        </w:rPr>
        <w:t xml:space="preserve">s. </w:t>
      </w:r>
    </w:p>
    <w:p w:rsidR="0058371C" w:rsidRDefault="0058371C" w:rsidP="00AC1FAA">
      <w:pPr>
        <w:pStyle w:val="Level1"/>
        <w:numPr>
          <w:ilvl w:val="0"/>
          <w:numId w:val="0"/>
        </w:numPr>
      </w:pPr>
    </w:p>
    <w:p w:rsidR="00911941" w:rsidRPr="00911941" w:rsidRDefault="00E06596" w:rsidP="00336266">
      <w:pPr>
        <w:pStyle w:val="Heading1"/>
      </w:pPr>
      <w:bookmarkStart w:id="2" w:name="_Toc351039040"/>
      <w:r>
        <w:t>Scope:</w:t>
      </w:r>
      <w:bookmarkEnd w:id="2"/>
    </w:p>
    <w:p w:rsidR="00911941" w:rsidRDefault="00911941" w:rsidP="00AA7E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BC5D94" w:rsidRDefault="00482219" w:rsidP="00482219">
      <w:pPr>
        <w:rPr>
          <w:szCs w:val="24"/>
        </w:rPr>
      </w:pPr>
      <w:r w:rsidRPr="00482219">
        <w:rPr>
          <w:szCs w:val="24"/>
        </w:rPr>
        <w:t xml:space="preserve">The PXIE MEBT beam optics scheme </w:t>
      </w:r>
      <w:r w:rsidR="006A3166">
        <w:rPr>
          <w:szCs w:val="24"/>
        </w:rPr>
        <w:t xml:space="preserve">[2] </w:t>
      </w:r>
      <w:r w:rsidRPr="00482219">
        <w:rPr>
          <w:szCs w:val="24"/>
        </w:rPr>
        <w:t xml:space="preserve">assumes </w:t>
      </w:r>
      <w:r w:rsidR="00140ED1">
        <w:rPr>
          <w:szCs w:val="24"/>
        </w:rPr>
        <w:t>transverse focusing by 2 quadrupole doublets and 7 triplets</w:t>
      </w:r>
      <w:r w:rsidR="006A3166">
        <w:rPr>
          <w:szCs w:val="24"/>
        </w:rPr>
        <w:t xml:space="preserve">. A BPM assembly is installed between the quadrupoles of each doublet and triplet. </w:t>
      </w:r>
      <w:r w:rsidR="00BC5D94">
        <w:rPr>
          <w:szCs w:val="24"/>
        </w:rPr>
        <w:t xml:space="preserve">Each assembly is capable of providing information about the horizontal and vertical (X and Y) beam position, bunch phase, and relative amplitude. </w:t>
      </w:r>
    </w:p>
    <w:p w:rsidR="006A3166" w:rsidRDefault="00061AE2" w:rsidP="00482219">
      <w:pPr>
        <w:rPr>
          <w:szCs w:val="24"/>
        </w:rPr>
      </w:pPr>
      <w:r>
        <w:rPr>
          <w:szCs w:val="24"/>
        </w:rPr>
        <w:t xml:space="preserve">In the normal operating mode (see the next section), the MEBT forms a pre-defined bunch pattern from the initially CW beam coming from RFQ by removing </w:t>
      </w:r>
      <w:r w:rsidR="00BC5D94">
        <w:rPr>
          <w:szCs w:val="24"/>
        </w:rPr>
        <w:t xml:space="preserve">80% </w:t>
      </w:r>
      <w:r w:rsidR="00DF7DF7">
        <w:rPr>
          <w:szCs w:val="24"/>
        </w:rPr>
        <w:t xml:space="preserve">of bunches. </w:t>
      </w:r>
      <w:r>
        <w:rPr>
          <w:szCs w:val="24"/>
        </w:rPr>
        <w:t xml:space="preserve">It is accomplished by the MEBT </w:t>
      </w:r>
      <w:r w:rsidR="00DF7DF7">
        <w:rPr>
          <w:szCs w:val="24"/>
        </w:rPr>
        <w:t>chopping system</w:t>
      </w:r>
      <w:r>
        <w:rPr>
          <w:szCs w:val="24"/>
        </w:rPr>
        <w:t>, which</w:t>
      </w:r>
      <w:r w:rsidR="00DF7DF7">
        <w:rPr>
          <w:szCs w:val="24"/>
        </w:rPr>
        <w:t xml:space="preserve"> consists of two broadband kickers [3] and an absorber built inside the same vacuum chamber. In the space between the first kicker and the absorber, </w:t>
      </w:r>
      <w:r w:rsidR="009A60E6">
        <w:rPr>
          <w:szCs w:val="24"/>
        </w:rPr>
        <w:t xml:space="preserve">marked as region B in Fig. 1, </w:t>
      </w:r>
      <w:r w:rsidR="00DF7DF7">
        <w:rPr>
          <w:szCs w:val="24"/>
        </w:rPr>
        <w:t xml:space="preserve">trajectories of adjacent bunches can differ significantly </w:t>
      </w:r>
      <w:r w:rsidR="00A87592">
        <w:rPr>
          <w:szCs w:val="24"/>
        </w:rPr>
        <w:t>depending whethe</w:t>
      </w:r>
      <w:r w:rsidR="009A60E6">
        <w:rPr>
          <w:szCs w:val="24"/>
        </w:rPr>
        <w:t>r the bunches</w:t>
      </w:r>
      <w:r w:rsidR="00A87592">
        <w:rPr>
          <w:szCs w:val="24"/>
        </w:rPr>
        <w:t xml:space="preserve"> are scheduled to be removed or passed. The BPM system needs to be capable of resolving these trajectories</w:t>
      </w:r>
      <w:r w:rsidR="009A60E6">
        <w:rPr>
          <w:szCs w:val="24"/>
        </w:rPr>
        <w:t xml:space="preserve"> for commissioning of the chopping system</w:t>
      </w:r>
      <w:r w:rsidR="00A87592">
        <w:rPr>
          <w:szCs w:val="24"/>
        </w:rPr>
        <w:t>.</w:t>
      </w:r>
    </w:p>
    <w:p w:rsidR="00407671" w:rsidRDefault="00407671" w:rsidP="00482219">
      <w:pPr>
        <w:rPr>
          <w:szCs w:val="24"/>
        </w:rPr>
      </w:pPr>
    </w:p>
    <w:p w:rsidR="00DF7DF7" w:rsidRDefault="000C0674" w:rsidP="00482219">
      <w:pPr>
        <w:rPr>
          <w:szCs w:val="24"/>
        </w:rPr>
      </w:pPr>
      <w:r>
        <w:rPr>
          <w:noProof/>
          <w:szCs w:val="24"/>
        </w:rPr>
        <w:pict>
          <v:group id="_x0000_s1026" style="position:absolute;left:0;text-align:left;margin-left:7.65pt;margin-top:115.2pt;width:384.4pt;height:28.1pt;z-index:251658240" coordorigin="1672,8332" coordsize="7688,562">
            <v:group id="_x0000_s1027" style="position:absolute;left:1672;top:8819;width:7688;height:75" coordorigin="1672,9139" coordsize="7688,7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1672;top:9189;width:1867;height:25;flip:y" o:connectortype="straight" strokecolor="#00b0f0" strokeweight="1pt">
                <v:stroke startarrow="block" endarrow="block"/>
              </v:shape>
              <v:shape id="_x0000_s1029" type="#_x0000_t32" style="position:absolute;left:3539;top:9164;width:2697;height:25;flip:y" o:connectortype="straight" strokecolor="#00b0f0" strokeweight="1pt">
                <v:stroke startarrow="block" endarrow="block"/>
              </v:shape>
              <v:shape id="_x0000_s1030" type="#_x0000_t32" style="position:absolute;left:6236;top:9139;width:3124;height:25;flip:y" o:connectortype="straight" strokecolor="#00b0f0" strokeweight="1pt">
                <v:stroke startarrow="block"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453;top:8405;width:720;height:439" stroked="f">
              <v:textbox>
                <w:txbxContent>
                  <w:p w:rsidR="00C011AD" w:rsidRDefault="00C011AD" w:rsidP="001E6943">
                    <w:r>
                      <w:t>A</w:t>
                    </w:r>
                  </w:p>
                </w:txbxContent>
              </v:textbox>
            </v:shape>
            <v:shape id="_x0000_s1032" type="#_x0000_t202" style="position:absolute;left:4304;top:8405;width:720;height:439" stroked="f">
              <v:textbox>
                <w:txbxContent>
                  <w:p w:rsidR="00C011AD" w:rsidRDefault="00C011AD" w:rsidP="001E6943">
                    <w:r>
                      <w:t>B</w:t>
                    </w:r>
                  </w:p>
                </w:txbxContent>
              </v:textbox>
            </v:shape>
            <v:shape id="_x0000_s1033" type="#_x0000_t202" style="position:absolute;left:7513;top:8332;width:720;height:439" stroked="f">
              <v:textbox>
                <w:txbxContent>
                  <w:p w:rsidR="00C011AD" w:rsidRDefault="00C011AD" w:rsidP="001E6943">
                    <w:r>
                      <w:t>C</w:t>
                    </w:r>
                  </w:p>
                </w:txbxContent>
              </v:textbox>
            </v:shape>
          </v:group>
        </w:pict>
      </w:r>
      <w:r w:rsidR="00DF7DF7">
        <w:rPr>
          <w:noProof/>
        </w:rPr>
        <w:drawing>
          <wp:inline distT="0" distB="0" distL="0" distR="0" wp14:anchorId="58E2298D" wp14:editId="7760E6CD">
            <wp:extent cx="5075695" cy="1576567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294" cy="15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943" w:rsidRDefault="001E6943" w:rsidP="00482219">
      <w:pPr>
        <w:rPr>
          <w:szCs w:val="24"/>
        </w:rPr>
      </w:pPr>
    </w:p>
    <w:p w:rsidR="001E6943" w:rsidRDefault="001E6943" w:rsidP="00482219">
      <w:pPr>
        <w:rPr>
          <w:szCs w:val="24"/>
        </w:rPr>
      </w:pPr>
    </w:p>
    <w:p w:rsidR="00DF7DF7" w:rsidRPr="00BF48D4" w:rsidRDefault="00DF7DF7" w:rsidP="00BF48D4">
      <w:pPr>
        <w:pStyle w:val="Caption"/>
      </w:pPr>
      <w:bookmarkStart w:id="3" w:name="_Ref347998557"/>
      <w:r w:rsidRPr="00BF48D4">
        <w:t xml:space="preserve">Figure </w:t>
      </w:r>
      <w:r w:rsidR="000C0674">
        <w:fldChar w:fldCharType="begin"/>
      </w:r>
      <w:r w:rsidR="000C0674">
        <w:instrText xml:space="preserve"> SEQ Figure \* ARABIC </w:instrText>
      </w:r>
      <w:r w:rsidR="000C0674">
        <w:fldChar w:fldCharType="separate"/>
      </w:r>
      <w:r w:rsidRPr="00BF48D4">
        <w:t>1</w:t>
      </w:r>
      <w:r w:rsidR="000C0674">
        <w:fldChar w:fldCharType="end"/>
      </w:r>
      <w:bookmarkEnd w:id="3"/>
      <w:r w:rsidRPr="00BF48D4">
        <w:t xml:space="preserve">: Scheme of MEBT optics </w:t>
      </w:r>
      <w:sdt>
        <w:sdtPr>
          <w:id w:val="-876073473"/>
          <w:citation/>
        </w:sdtPr>
        <w:sdtContent>
          <w:r w:rsidRPr="00BF48D4">
            <w:fldChar w:fldCharType="begin"/>
          </w:r>
          <w:r w:rsidRPr="00BF48D4">
            <w:instrText xml:space="preserve"> CITATION Veb57 \l 1033 </w:instrText>
          </w:r>
          <w:r w:rsidRPr="00BF48D4">
            <w:fldChar w:fldCharType="separate"/>
          </w:r>
          <w:r w:rsidRPr="00BF48D4">
            <w:t>[2]</w:t>
          </w:r>
          <w:r w:rsidRPr="00BF48D4">
            <w:fldChar w:fldCharType="end"/>
          </w:r>
        </w:sdtContent>
      </w:sdt>
      <w:r w:rsidRPr="00BF48D4">
        <w:t>and the beam envelope. The thin red and green lines are the central trajectory and 3σ envelope (</w:t>
      </w:r>
      <w:proofErr w:type="spellStart"/>
      <w:r w:rsidR="00D35EF4">
        <w:t>ε</w:t>
      </w:r>
      <w:r w:rsidRPr="00D35EF4">
        <w:rPr>
          <w:vertAlign w:val="subscript"/>
        </w:rPr>
        <w:t>rms</w:t>
      </w:r>
      <w:r w:rsidRPr="00BF48D4">
        <w:t>_n</w:t>
      </w:r>
      <w:proofErr w:type="spellEnd"/>
      <w:r w:rsidRPr="00BF48D4">
        <w:t>=0.25 mm mrad) of the passing b</w:t>
      </w:r>
      <w:r w:rsidR="00407671" w:rsidRPr="00BF48D4">
        <w:t>unches</w:t>
      </w:r>
      <w:r w:rsidRPr="00BF48D4">
        <w:t xml:space="preserve"> (red – X, green – Y), and the thick green lines are the Y envelope of the chopped-out </w:t>
      </w:r>
      <w:r w:rsidR="00407671" w:rsidRPr="00BF48D4">
        <w:t>bunches</w:t>
      </w:r>
      <w:r w:rsidRPr="00BF48D4">
        <w:t xml:space="preserve">. </w:t>
      </w:r>
      <w:r w:rsidR="00407671" w:rsidRPr="00BF48D4">
        <w:t xml:space="preserve">Rectangles below the plot represent </w:t>
      </w:r>
      <w:r w:rsidRPr="00BF48D4">
        <w:t>quadrupoles</w:t>
      </w:r>
      <w:r w:rsidR="00407671" w:rsidRPr="00BF48D4">
        <w:t xml:space="preserve"> in red and</w:t>
      </w:r>
      <w:r w:rsidRPr="00BF48D4">
        <w:t xml:space="preserve"> bunching cavities</w:t>
      </w:r>
      <w:r w:rsidR="00407671" w:rsidRPr="00BF48D4">
        <w:t xml:space="preserve"> in blue</w:t>
      </w:r>
      <w:r w:rsidRPr="00BF48D4">
        <w:t>. BPMs are inside of each doublet or triplet.</w:t>
      </w:r>
    </w:p>
    <w:p w:rsidR="00DF7DF7" w:rsidRDefault="00DF7DF7" w:rsidP="00482219">
      <w:pPr>
        <w:rPr>
          <w:szCs w:val="24"/>
        </w:rPr>
      </w:pPr>
    </w:p>
    <w:p w:rsidR="002151E6" w:rsidRDefault="00140ED1" w:rsidP="00482219">
      <w:pPr>
        <w:rPr>
          <w:szCs w:val="24"/>
        </w:rPr>
      </w:pPr>
      <w:r>
        <w:rPr>
          <w:szCs w:val="24"/>
        </w:rPr>
        <w:t xml:space="preserve">This specification </w:t>
      </w:r>
      <w:r w:rsidR="002151E6">
        <w:rPr>
          <w:szCs w:val="24"/>
        </w:rPr>
        <w:t xml:space="preserve">indicates the beam parameters and the nominal MEBT modes, for which the BPM </w:t>
      </w:r>
      <w:r w:rsidR="009A60E6">
        <w:rPr>
          <w:szCs w:val="24"/>
        </w:rPr>
        <w:t>parameters are</w:t>
      </w:r>
      <w:r w:rsidR="002151E6">
        <w:rPr>
          <w:szCs w:val="24"/>
        </w:rPr>
        <w:t xml:space="preserve"> specified; describes mechanical constrains; and </w:t>
      </w:r>
      <w:r w:rsidR="009A60E6">
        <w:rPr>
          <w:szCs w:val="24"/>
        </w:rPr>
        <w:t>establishes the BPM requireme</w:t>
      </w:r>
      <w:r w:rsidR="003C30EE">
        <w:rPr>
          <w:szCs w:val="24"/>
        </w:rPr>
        <w:t>n</w:t>
      </w:r>
      <w:r w:rsidR="009A60E6">
        <w:rPr>
          <w:szCs w:val="24"/>
        </w:rPr>
        <w:t>ts.</w:t>
      </w:r>
    </w:p>
    <w:p w:rsidR="003C30EE" w:rsidRDefault="003C30EE">
      <w:pPr>
        <w:rPr>
          <w:szCs w:val="24"/>
        </w:rPr>
      </w:pPr>
      <w:r>
        <w:rPr>
          <w:szCs w:val="24"/>
        </w:rPr>
        <w:br w:type="page"/>
      </w:r>
    </w:p>
    <w:p w:rsidR="002151E6" w:rsidRDefault="002151E6" w:rsidP="00482219">
      <w:pPr>
        <w:rPr>
          <w:szCs w:val="24"/>
        </w:rPr>
      </w:pPr>
    </w:p>
    <w:p w:rsidR="001336EF" w:rsidRDefault="00E06596" w:rsidP="00AC1FAA">
      <w:pPr>
        <w:pStyle w:val="Heading1"/>
      </w:pPr>
      <w:bookmarkStart w:id="4" w:name="_Toc351039041"/>
      <w:r>
        <w:t>Key Assumptions, Interfaces &amp;</w:t>
      </w:r>
      <w:r w:rsidR="001336EF">
        <w:t xml:space="preserve"> Constraints</w:t>
      </w:r>
      <w:r w:rsidR="001336EF" w:rsidRPr="00165708">
        <w:t>:</w:t>
      </w:r>
      <w:bookmarkEnd w:id="4"/>
      <w:r w:rsidR="001336EF" w:rsidRPr="00165708">
        <w:t xml:space="preserve"> </w:t>
      </w:r>
    </w:p>
    <w:p w:rsidR="00061AE2" w:rsidRDefault="00061AE2" w:rsidP="00D172D3">
      <w:pPr>
        <w:pStyle w:val="BodyText2"/>
        <w:rPr>
          <w:szCs w:val="24"/>
        </w:rPr>
      </w:pPr>
      <w:r w:rsidRPr="00061AE2">
        <w:rPr>
          <w:szCs w:val="24"/>
        </w:rPr>
        <w:t>The MEBT BPMs designs shall conform to the Fermilab Engineering Process</w:t>
      </w:r>
      <w:r>
        <w:rPr>
          <w:szCs w:val="24"/>
        </w:rPr>
        <w:t xml:space="preserve"> </w:t>
      </w:r>
      <w:r w:rsidRPr="00061AE2">
        <w:rPr>
          <w:szCs w:val="24"/>
        </w:rPr>
        <w:t xml:space="preserve">[5] and ES&amp;H Standards [6].  </w:t>
      </w:r>
    </w:p>
    <w:p w:rsidR="00B44F77" w:rsidRPr="0098612E" w:rsidRDefault="00B44F77" w:rsidP="0098612E">
      <w:pPr>
        <w:pStyle w:val="Heading2"/>
      </w:pPr>
      <w:bookmarkStart w:id="5" w:name="_Toc351039042"/>
      <w:r w:rsidRPr="0098612E">
        <w:t>Beam parameters</w:t>
      </w:r>
      <w:bookmarkEnd w:id="5"/>
    </w:p>
    <w:p w:rsidR="00482219" w:rsidRDefault="00482219" w:rsidP="003622B3">
      <w:pPr>
        <w:pStyle w:val="BodyText2"/>
        <w:rPr>
          <w:szCs w:val="24"/>
        </w:rPr>
      </w:pPr>
      <w:r>
        <w:rPr>
          <w:szCs w:val="24"/>
        </w:rPr>
        <w:t xml:space="preserve">Typical beam parameters </w:t>
      </w:r>
      <w:r w:rsidR="006F13EB">
        <w:rPr>
          <w:szCs w:val="24"/>
        </w:rPr>
        <w:t xml:space="preserve">in MEBT </w:t>
      </w:r>
      <w:r w:rsidR="003C30EE">
        <w:rPr>
          <w:szCs w:val="24"/>
        </w:rPr>
        <w:t>BPMs</w:t>
      </w:r>
      <w:r w:rsidR="002D6745">
        <w:rPr>
          <w:szCs w:val="24"/>
        </w:rPr>
        <w:t xml:space="preserve"> </w:t>
      </w:r>
      <w:r>
        <w:rPr>
          <w:szCs w:val="24"/>
        </w:rPr>
        <w:t xml:space="preserve">are listed in </w:t>
      </w:r>
      <w:r w:rsidR="005867FE">
        <w:rPr>
          <w:szCs w:val="24"/>
        </w:rPr>
        <w:fldChar w:fldCharType="begin"/>
      </w:r>
      <w:r w:rsidR="005867FE">
        <w:rPr>
          <w:szCs w:val="24"/>
        </w:rPr>
        <w:instrText xml:space="preserve"> REF _Ref351035351 \h </w:instrText>
      </w:r>
      <w:r w:rsidR="005867FE">
        <w:rPr>
          <w:szCs w:val="24"/>
        </w:rPr>
      </w:r>
      <w:r w:rsidR="005867FE">
        <w:rPr>
          <w:szCs w:val="24"/>
        </w:rPr>
        <w:fldChar w:fldCharType="separate"/>
      </w:r>
      <w:r w:rsidR="005867FE">
        <w:t xml:space="preserve">Table </w:t>
      </w:r>
      <w:r w:rsidR="005867FE">
        <w:rPr>
          <w:noProof/>
        </w:rPr>
        <w:t>1</w:t>
      </w:r>
      <w:r w:rsidR="005867FE">
        <w:rPr>
          <w:szCs w:val="24"/>
        </w:rPr>
        <w:fldChar w:fldCharType="end"/>
      </w:r>
      <w:r>
        <w:rPr>
          <w:szCs w:val="24"/>
        </w:rPr>
        <w:t>.</w:t>
      </w:r>
    </w:p>
    <w:p w:rsidR="0080406B" w:rsidRDefault="0080406B" w:rsidP="003622B3">
      <w:pPr>
        <w:pStyle w:val="BodyText2"/>
        <w:rPr>
          <w:szCs w:val="24"/>
        </w:rPr>
      </w:pPr>
    </w:p>
    <w:p w:rsidR="00482219" w:rsidRDefault="00150D79" w:rsidP="00150D79">
      <w:pPr>
        <w:pStyle w:val="Caption"/>
      </w:pPr>
      <w:bookmarkStart w:id="6" w:name="_Ref351035351"/>
      <w:proofErr w:type="gramStart"/>
      <w:r>
        <w:t xml:space="preserve">Table </w:t>
      </w:r>
      <w:proofErr w:type="gramEnd"/>
      <w:r>
        <w:fldChar w:fldCharType="begin"/>
      </w:r>
      <w:r>
        <w:instrText xml:space="preserve"> SEQ Table \* ARABIC </w:instrText>
      </w:r>
      <w:r>
        <w:fldChar w:fldCharType="separate"/>
      </w:r>
      <w:r w:rsidR="008728C7">
        <w:rPr>
          <w:noProof/>
        </w:rPr>
        <w:t>1</w:t>
      </w:r>
      <w:r>
        <w:fldChar w:fldCharType="end"/>
      </w:r>
      <w:bookmarkEnd w:id="6"/>
      <w:proofErr w:type="gramStart"/>
      <w:r w:rsidR="00482219">
        <w:t>.</w:t>
      </w:r>
      <w:proofErr w:type="gramEnd"/>
      <w:r w:rsidR="00482219">
        <w:t xml:space="preserve">  </w:t>
      </w:r>
      <w:r w:rsidR="00482219" w:rsidRPr="00482219">
        <w:t>Typical beam parameters</w:t>
      </w:r>
    </w:p>
    <w:p w:rsidR="00482219" w:rsidRDefault="00482219" w:rsidP="00482219"/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6030"/>
        <w:gridCol w:w="2070"/>
      </w:tblGrid>
      <w:tr w:rsidR="006F13EB" w:rsidRPr="0028596B" w:rsidTr="003C30EE">
        <w:trPr>
          <w:trHeight w:val="246"/>
        </w:trPr>
        <w:tc>
          <w:tcPr>
            <w:tcW w:w="6030" w:type="dxa"/>
          </w:tcPr>
          <w:p w:rsidR="006F13EB" w:rsidRPr="0028596B" w:rsidRDefault="006F13EB" w:rsidP="0098612E">
            <w:r>
              <w:t>Ion type</w:t>
            </w:r>
          </w:p>
        </w:tc>
        <w:tc>
          <w:tcPr>
            <w:tcW w:w="2070" w:type="dxa"/>
          </w:tcPr>
          <w:p w:rsidR="006F13EB" w:rsidRPr="00F47246" w:rsidRDefault="006F13EB" w:rsidP="0098612E">
            <w:pPr>
              <w:jc w:val="center"/>
            </w:pPr>
            <w:r>
              <w:t>H-</w:t>
            </w:r>
          </w:p>
        </w:tc>
      </w:tr>
      <w:tr w:rsidR="006F13EB" w:rsidRPr="0028596B" w:rsidTr="003C30EE">
        <w:trPr>
          <w:trHeight w:val="260"/>
        </w:trPr>
        <w:tc>
          <w:tcPr>
            <w:tcW w:w="6030" w:type="dxa"/>
          </w:tcPr>
          <w:p w:rsidR="006F13EB" w:rsidRDefault="006F13EB" w:rsidP="0098612E">
            <w:r>
              <w:t>Beam energy</w:t>
            </w:r>
          </w:p>
        </w:tc>
        <w:tc>
          <w:tcPr>
            <w:tcW w:w="2070" w:type="dxa"/>
          </w:tcPr>
          <w:p w:rsidR="006F13EB" w:rsidRDefault="006F13EB" w:rsidP="006F13EB">
            <w:pPr>
              <w:jc w:val="center"/>
            </w:pPr>
            <w:r>
              <w:t>2.1 MeV</w:t>
            </w:r>
          </w:p>
        </w:tc>
      </w:tr>
      <w:tr w:rsidR="006F13EB" w:rsidRPr="0028596B" w:rsidTr="003C30EE">
        <w:trPr>
          <w:trHeight w:val="246"/>
        </w:trPr>
        <w:tc>
          <w:tcPr>
            <w:tcW w:w="6030" w:type="dxa"/>
          </w:tcPr>
          <w:p w:rsidR="006F13EB" w:rsidRPr="00EE6EC7" w:rsidRDefault="003C30EE" w:rsidP="003C30EE">
            <w:r>
              <w:t>Particles per bunch, nominal (range)</w:t>
            </w:r>
          </w:p>
        </w:tc>
        <w:tc>
          <w:tcPr>
            <w:tcW w:w="2070" w:type="dxa"/>
          </w:tcPr>
          <w:p w:rsidR="006F13EB" w:rsidRDefault="003C30EE" w:rsidP="003C30EE">
            <w:pPr>
              <w:jc w:val="center"/>
            </w:pPr>
            <w:r>
              <w:t>2·10</w:t>
            </w:r>
            <w:r w:rsidRPr="003C30EE">
              <w:rPr>
                <w:vertAlign w:val="superscript"/>
              </w:rPr>
              <w:t>8</w:t>
            </w:r>
            <w:r>
              <w:t xml:space="preserve"> (0.2·10</w:t>
            </w:r>
            <w:r w:rsidRPr="003C30EE">
              <w:rPr>
                <w:vertAlign w:val="superscript"/>
              </w:rPr>
              <w:t>8</w:t>
            </w:r>
            <w:r>
              <w:t xml:space="preserve"> - 4·10</w:t>
            </w:r>
            <w:r w:rsidRPr="003C30EE">
              <w:rPr>
                <w:vertAlign w:val="superscript"/>
              </w:rPr>
              <w:t>8</w:t>
            </w:r>
            <w:r>
              <w:t>)</w:t>
            </w:r>
          </w:p>
        </w:tc>
      </w:tr>
      <w:tr w:rsidR="006F13EB" w:rsidRPr="0028596B" w:rsidTr="003C30EE">
        <w:trPr>
          <w:trHeight w:val="246"/>
        </w:trPr>
        <w:tc>
          <w:tcPr>
            <w:tcW w:w="6030" w:type="dxa"/>
          </w:tcPr>
          <w:p w:rsidR="006F13EB" w:rsidRDefault="008421E3" w:rsidP="003C30EE">
            <w:r>
              <w:rPr>
                <w:color w:val="000000"/>
                <w:szCs w:val="24"/>
              </w:rPr>
              <w:t xml:space="preserve">Beam rms </w:t>
            </w:r>
            <w:r w:rsidR="003C30EE">
              <w:rPr>
                <w:color w:val="000000"/>
                <w:szCs w:val="24"/>
              </w:rPr>
              <w:t>si</w:t>
            </w:r>
            <w:r w:rsidR="005D526A">
              <w:rPr>
                <w:color w:val="000000"/>
                <w:szCs w:val="24"/>
              </w:rPr>
              <w:t>ze, X/Y</w:t>
            </w:r>
          </w:p>
        </w:tc>
        <w:tc>
          <w:tcPr>
            <w:tcW w:w="2070" w:type="dxa"/>
          </w:tcPr>
          <w:p w:rsidR="006F13EB" w:rsidRDefault="005D526A" w:rsidP="0098612E">
            <w:pPr>
              <w:jc w:val="center"/>
            </w:pPr>
            <w:r>
              <w:rPr>
                <w:color w:val="000000"/>
                <w:szCs w:val="24"/>
              </w:rPr>
              <w:t>3/3 mm</w:t>
            </w:r>
            <w:r w:rsidR="006F13EB">
              <w:rPr>
                <w:color w:val="000000"/>
                <w:szCs w:val="24"/>
              </w:rPr>
              <w:t xml:space="preserve">  </w:t>
            </w:r>
          </w:p>
        </w:tc>
      </w:tr>
      <w:tr w:rsidR="005D526A" w:rsidRPr="0028596B" w:rsidTr="003C30EE">
        <w:trPr>
          <w:trHeight w:val="246"/>
        </w:trPr>
        <w:tc>
          <w:tcPr>
            <w:tcW w:w="6030" w:type="dxa"/>
          </w:tcPr>
          <w:p w:rsidR="005D526A" w:rsidRDefault="005D526A" w:rsidP="003C30E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Bunch rms length</w:t>
            </w:r>
          </w:p>
        </w:tc>
        <w:tc>
          <w:tcPr>
            <w:tcW w:w="2070" w:type="dxa"/>
          </w:tcPr>
          <w:p w:rsidR="005D526A" w:rsidRDefault="005D526A" w:rsidP="009861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10º (162.5 MHz)</w:t>
            </w:r>
          </w:p>
        </w:tc>
      </w:tr>
      <w:tr w:rsidR="005D526A" w:rsidRPr="0028596B" w:rsidTr="003C30EE">
        <w:trPr>
          <w:trHeight w:val="246"/>
        </w:trPr>
        <w:tc>
          <w:tcPr>
            <w:tcW w:w="6030" w:type="dxa"/>
          </w:tcPr>
          <w:p w:rsidR="005D526A" w:rsidRDefault="005D526A" w:rsidP="003C30E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Bunch frequency at MEBT entrance</w:t>
            </w:r>
          </w:p>
        </w:tc>
        <w:tc>
          <w:tcPr>
            <w:tcW w:w="2070" w:type="dxa"/>
          </w:tcPr>
          <w:p w:rsidR="005D526A" w:rsidRDefault="005D526A" w:rsidP="009861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162.5 MHz CW</w:t>
            </w:r>
          </w:p>
        </w:tc>
      </w:tr>
    </w:tbl>
    <w:p w:rsidR="0013779A" w:rsidRDefault="0013779A" w:rsidP="003622B3">
      <w:pPr>
        <w:pStyle w:val="BodyText2"/>
        <w:rPr>
          <w:szCs w:val="24"/>
        </w:rPr>
      </w:pPr>
    </w:p>
    <w:p w:rsidR="00BF68DE" w:rsidRDefault="00BF68DE" w:rsidP="00BF68DE">
      <w:pPr>
        <w:pStyle w:val="Heading2"/>
      </w:pPr>
      <w:bookmarkStart w:id="7" w:name="_Toc351039043"/>
      <w:r>
        <w:t>MEBT modes</w:t>
      </w:r>
      <w:bookmarkEnd w:id="7"/>
    </w:p>
    <w:p w:rsidR="00FB7557" w:rsidRDefault="00FB7557" w:rsidP="003622B3">
      <w:pPr>
        <w:pStyle w:val="BodyText2"/>
        <w:rPr>
          <w:szCs w:val="24"/>
        </w:rPr>
      </w:pPr>
      <w:r>
        <w:rPr>
          <w:szCs w:val="24"/>
        </w:rPr>
        <w:t>To describe the MEBT modes, the following definitions are used:</w:t>
      </w:r>
    </w:p>
    <w:p w:rsidR="00FB7557" w:rsidRPr="00FB7557" w:rsidRDefault="00FB7557" w:rsidP="0057166B">
      <w:pPr>
        <w:pStyle w:val="BodyText2"/>
        <w:ind w:left="2160" w:hanging="1440"/>
        <w:rPr>
          <w:szCs w:val="24"/>
        </w:rPr>
      </w:pPr>
      <w:r w:rsidRPr="00FB7557">
        <w:rPr>
          <w:szCs w:val="24"/>
        </w:rPr>
        <w:t xml:space="preserve">Period: </w:t>
      </w:r>
      <w:r>
        <w:rPr>
          <w:szCs w:val="24"/>
        </w:rPr>
        <w:tab/>
      </w:r>
      <w:r w:rsidR="0057166B">
        <w:rPr>
          <w:szCs w:val="24"/>
        </w:rPr>
        <w:t>Determines the periodicity of MEBT bunch chopping pattern. Nominal value is</w:t>
      </w:r>
      <w:r w:rsidR="0057166B" w:rsidRPr="00FB7557">
        <w:rPr>
          <w:szCs w:val="24"/>
        </w:rPr>
        <w:t xml:space="preserve"> </w:t>
      </w:r>
      <w:r w:rsidRPr="00FB7557">
        <w:rPr>
          <w:szCs w:val="24"/>
        </w:rPr>
        <w:t>256 RF 162.5 MHz buckets (period ≡ 1575 ns)</w:t>
      </w:r>
    </w:p>
    <w:p w:rsidR="00FB7557" w:rsidRPr="00FB7557" w:rsidRDefault="00FB7557" w:rsidP="00FB7557">
      <w:pPr>
        <w:pStyle w:val="BodyText2"/>
        <w:rPr>
          <w:szCs w:val="24"/>
        </w:rPr>
      </w:pPr>
      <w:r w:rsidRPr="00FB7557">
        <w:rPr>
          <w:szCs w:val="24"/>
        </w:rPr>
        <w:tab/>
        <w:t xml:space="preserve">Bunch: </w:t>
      </w:r>
      <w:r>
        <w:rPr>
          <w:szCs w:val="24"/>
        </w:rPr>
        <w:tab/>
      </w:r>
      <w:r w:rsidRPr="00FB7557">
        <w:rPr>
          <w:szCs w:val="24"/>
        </w:rPr>
        <w:t>Filled 162.5 MHz bucket</w:t>
      </w:r>
    </w:p>
    <w:p w:rsidR="00FB7557" w:rsidRDefault="00FB7557" w:rsidP="00FB7557">
      <w:pPr>
        <w:pStyle w:val="BodyText2"/>
        <w:ind w:firstLine="720"/>
        <w:rPr>
          <w:szCs w:val="24"/>
        </w:rPr>
      </w:pPr>
      <w:r w:rsidRPr="00FB7557">
        <w:rPr>
          <w:szCs w:val="24"/>
        </w:rPr>
        <w:t xml:space="preserve">Batch: </w:t>
      </w:r>
      <w:r>
        <w:rPr>
          <w:szCs w:val="24"/>
        </w:rPr>
        <w:tab/>
      </w:r>
      <w:r>
        <w:rPr>
          <w:szCs w:val="24"/>
        </w:rPr>
        <w:tab/>
      </w:r>
      <w:r w:rsidRPr="00FB7557">
        <w:rPr>
          <w:szCs w:val="24"/>
        </w:rPr>
        <w:t>continuous train of bunches</w:t>
      </w:r>
    </w:p>
    <w:p w:rsidR="00555D82" w:rsidRDefault="00ED7D10" w:rsidP="003622B3">
      <w:pPr>
        <w:pStyle w:val="BodyText2"/>
        <w:rPr>
          <w:szCs w:val="24"/>
        </w:rPr>
      </w:pPr>
      <w:r>
        <w:rPr>
          <w:szCs w:val="24"/>
        </w:rPr>
        <w:t>The relevant nominal MEBT modes are as follows.</w:t>
      </w:r>
    </w:p>
    <w:p w:rsidR="00ED7D10" w:rsidRDefault="00ED7D10" w:rsidP="003622B3">
      <w:pPr>
        <w:pStyle w:val="BodyText2"/>
        <w:rPr>
          <w:szCs w:val="24"/>
        </w:rPr>
      </w:pPr>
    </w:p>
    <w:p w:rsidR="00FB7557" w:rsidRDefault="00343538" w:rsidP="0098612E">
      <w:pPr>
        <w:pStyle w:val="Heading3"/>
      </w:pPr>
      <w:bookmarkStart w:id="8" w:name="_Ref349024443"/>
      <w:bookmarkStart w:id="9" w:name="_Toc351039044"/>
      <w:proofErr w:type="gramStart"/>
      <w:r>
        <w:rPr>
          <w:szCs w:val="24"/>
        </w:rPr>
        <w:t>Mode 1.</w:t>
      </w:r>
      <w:proofErr w:type="gramEnd"/>
      <w:r w:rsidRPr="00343538">
        <w:t xml:space="preserve"> </w:t>
      </w:r>
      <w:r w:rsidRPr="00CA620C">
        <w:t>Nominal operating mode</w:t>
      </w:r>
      <w:bookmarkEnd w:id="9"/>
      <w:r w:rsidRPr="00CA620C">
        <w:t xml:space="preserve"> </w:t>
      </w:r>
      <w:bookmarkEnd w:id="8"/>
    </w:p>
    <w:p w:rsidR="00343538" w:rsidRPr="00343538" w:rsidRDefault="00343538" w:rsidP="00343538">
      <w:pPr>
        <w:rPr>
          <w:szCs w:val="24"/>
        </w:rPr>
      </w:pPr>
      <w:r w:rsidRPr="00343538">
        <w:rPr>
          <w:szCs w:val="24"/>
        </w:rPr>
        <w:t xml:space="preserve">In the operating mode, the beam has different structures in three spacial regions as depicted in </w:t>
      </w:r>
      <w:r w:rsidRPr="00343538">
        <w:rPr>
          <w:szCs w:val="24"/>
        </w:rPr>
        <w:fldChar w:fldCharType="begin"/>
      </w:r>
      <w:r w:rsidRPr="00343538">
        <w:rPr>
          <w:szCs w:val="24"/>
        </w:rPr>
        <w:instrText xml:space="preserve"> REF _Ref347998557 \h </w:instrText>
      </w:r>
      <w:r>
        <w:rPr>
          <w:szCs w:val="24"/>
        </w:rPr>
        <w:instrText xml:space="preserve"> \* MERGEFORMAT </w:instrText>
      </w:r>
      <w:r w:rsidRPr="00343538">
        <w:rPr>
          <w:szCs w:val="24"/>
        </w:rPr>
      </w:r>
      <w:r w:rsidRPr="00343538">
        <w:rPr>
          <w:szCs w:val="24"/>
        </w:rPr>
        <w:fldChar w:fldCharType="separate"/>
      </w:r>
      <w:r w:rsidRPr="00343538">
        <w:rPr>
          <w:szCs w:val="24"/>
        </w:rPr>
        <w:t xml:space="preserve">Figure </w:t>
      </w:r>
      <w:r w:rsidRPr="00343538">
        <w:rPr>
          <w:noProof/>
          <w:szCs w:val="24"/>
        </w:rPr>
        <w:t>1</w:t>
      </w:r>
      <w:r w:rsidRPr="00343538">
        <w:rPr>
          <w:szCs w:val="24"/>
        </w:rPr>
        <w:fldChar w:fldCharType="end"/>
      </w:r>
      <w:r w:rsidRPr="00343538">
        <w:rPr>
          <w:szCs w:val="24"/>
        </w:rPr>
        <w:t>:</w:t>
      </w:r>
    </w:p>
    <w:p w:rsidR="00343538" w:rsidRPr="00343538" w:rsidRDefault="00343538" w:rsidP="00343538">
      <w:pPr>
        <w:rPr>
          <w:szCs w:val="24"/>
        </w:rPr>
      </w:pPr>
    </w:p>
    <w:p w:rsidR="00343538" w:rsidRPr="00343538" w:rsidRDefault="00343538" w:rsidP="00343538">
      <w:pPr>
        <w:rPr>
          <w:szCs w:val="24"/>
        </w:rPr>
      </w:pPr>
      <w:r w:rsidRPr="00343538">
        <w:rPr>
          <w:szCs w:val="24"/>
        </w:rPr>
        <w:t>A) Beam from RFQ exit to 3</w:t>
      </w:r>
      <w:r w:rsidRPr="00343538">
        <w:rPr>
          <w:szCs w:val="24"/>
          <w:vertAlign w:val="superscript"/>
        </w:rPr>
        <w:t>rd</w:t>
      </w:r>
      <w:r w:rsidRPr="00343538">
        <w:rPr>
          <w:szCs w:val="24"/>
        </w:rPr>
        <w:t xml:space="preserve"> BPM: CW</w:t>
      </w:r>
      <w:r w:rsidRPr="00343538">
        <w:rPr>
          <w:szCs w:val="24"/>
          <w:vertAlign w:val="superscript"/>
        </w:rPr>
        <w:t>§</w:t>
      </w:r>
      <w:r w:rsidRPr="00343538">
        <w:rPr>
          <w:szCs w:val="24"/>
        </w:rPr>
        <w:t xml:space="preserve"> 162.5 MHz, 5 mA average current</w:t>
      </w:r>
    </w:p>
    <w:p w:rsidR="00343538" w:rsidRPr="00343538" w:rsidRDefault="00343538" w:rsidP="00343538">
      <w:pPr>
        <w:rPr>
          <w:szCs w:val="24"/>
        </w:rPr>
      </w:pPr>
    </w:p>
    <w:p w:rsidR="00343538" w:rsidRPr="00343538" w:rsidRDefault="00343538" w:rsidP="00343538">
      <w:pPr>
        <w:rPr>
          <w:szCs w:val="24"/>
        </w:rPr>
      </w:pPr>
      <w:r w:rsidRPr="00343538">
        <w:rPr>
          <w:szCs w:val="24"/>
        </w:rPr>
        <w:t>B) In the middle, from 3</w:t>
      </w:r>
      <w:r w:rsidRPr="00343538">
        <w:rPr>
          <w:szCs w:val="24"/>
          <w:vertAlign w:val="superscript"/>
        </w:rPr>
        <w:t>rd</w:t>
      </w:r>
      <w:r w:rsidRPr="00343538">
        <w:rPr>
          <w:szCs w:val="24"/>
        </w:rPr>
        <w:t xml:space="preserve"> </w:t>
      </w:r>
      <w:r>
        <w:rPr>
          <w:szCs w:val="24"/>
        </w:rPr>
        <w:t>to 5</w:t>
      </w:r>
      <w:r w:rsidRPr="00343538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343538">
        <w:rPr>
          <w:szCs w:val="24"/>
        </w:rPr>
        <w:t>BPMs, all buckets are filled but bunches scheduled to be removed and passed have different vertical offsets.</w:t>
      </w:r>
      <w:r w:rsidR="00AC3149">
        <w:rPr>
          <w:szCs w:val="24"/>
        </w:rPr>
        <w:t xml:space="preserve"> The maximum </w:t>
      </w:r>
      <w:r w:rsidR="008C7990">
        <w:rPr>
          <w:szCs w:val="24"/>
        </w:rPr>
        <w:t>difference in Y-positions</w:t>
      </w:r>
      <w:r w:rsidR="00AC3149">
        <w:rPr>
          <w:szCs w:val="24"/>
        </w:rPr>
        <w:t xml:space="preserve"> of neighboring bunches in a BPM is 10 mm.</w:t>
      </w:r>
    </w:p>
    <w:p w:rsidR="00343538" w:rsidRPr="00343538" w:rsidRDefault="00343538" w:rsidP="00343538">
      <w:pPr>
        <w:rPr>
          <w:szCs w:val="24"/>
        </w:rPr>
      </w:pPr>
    </w:p>
    <w:p w:rsidR="00343538" w:rsidRDefault="00343538" w:rsidP="00343538">
      <w:pPr>
        <w:rPr>
          <w:szCs w:val="24"/>
        </w:rPr>
      </w:pPr>
      <w:r w:rsidRPr="00343538">
        <w:rPr>
          <w:szCs w:val="24"/>
        </w:rPr>
        <w:t xml:space="preserve">C) The beam is chopped to create the </w:t>
      </w:r>
      <w:r>
        <w:rPr>
          <w:szCs w:val="24"/>
        </w:rPr>
        <w:t>required</w:t>
      </w:r>
      <w:r w:rsidRPr="00343538">
        <w:rPr>
          <w:szCs w:val="24"/>
        </w:rPr>
        <w:t xml:space="preserve"> structure at the MEBT exit (starting from the 7</w:t>
      </w:r>
      <w:r w:rsidRPr="00343538">
        <w:rPr>
          <w:szCs w:val="24"/>
          <w:vertAlign w:val="superscript"/>
        </w:rPr>
        <w:t>th</w:t>
      </w:r>
      <w:r w:rsidRPr="00343538">
        <w:rPr>
          <w:szCs w:val="24"/>
        </w:rPr>
        <w:t xml:space="preserve"> BPM)</w:t>
      </w:r>
      <w:r w:rsidR="000C6888">
        <w:rPr>
          <w:szCs w:val="24"/>
        </w:rPr>
        <w:t xml:space="preserve"> with p</w:t>
      </w:r>
      <w:r w:rsidRPr="00343538">
        <w:rPr>
          <w:szCs w:val="24"/>
        </w:rPr>
        <w:t>eriodicity</w:t>
      </w:r>
      <w:r w:rsidR="000C6888">
        <w:rPr>
          <w:szCs w:val="24"/>
        </w:rPr>
        <w:t xml:space="preserve"> of </w:t>
      </w:r>
      <w:r w:rsidRPr="00343538">
        <w:rPr>
          <w:szCs w:val="24"/>
        </w:rPr>
        <w:t xml:space="preserve">256 RF buckets </w:t>
      </w:r>
      <w:r w:rsidR="000C6888">
        <w:rPr>
          <w:szCs w:val="24"/>
        </w:rPr>
        <w:t>and the</w:t>
      </w:r>
      <w:r w:rsidRPr="00343538">
        <w:rPr>
          <w:szCs w:val="24"/>
        </w:rPr>
        <w:t xml:space="preserve"> average current of 1 mA</w:t>
      </w:r>
      <w:r w:rsidR="000C6888">
        <w:rPr>
          <w:szCs w:val="24"/>
        </w:rPr>
        <w:t xml:space="preserve">. </w:t>
      </w:r>
    </w:p>
    <w:p w:rsidR="000C6888" w:rsidRDefault="00343538" w:rsidP="00343538">
      <w:pPr>
        <w:rPr>
          <w:szCs w:val="24"/>
        </w:rPr>
      </w:pPr>
      <w:r>
        <w:rPr>
          <w:szCs w:val="24"/>
        </w:rPr>
        <w:t>The nominal structure is described in Ref. [</w:t>
      </w:r>
      <w:r w:rsidR="002339DF">
        <w:rPr>
          <w:szCs w:val="24"/>
        </w:rPr>
        <w:t>7</w:t>
      </w:r>
      <w:r>
        <w:rPr>
          <w:szCs w:val="24"/>
        </w:rPr>
        <w:t xml:space="preserve">] and is presented pictorially in Fig.2. </w:t>
      </w:r>
      <w:r w:rsidR="00886011">
        <w:rPr>
          <w:szCs w:val="24"/>
        </w:rPr>
        <w:t>To distinguish it from a true CW, in this document it is referred as “repetitive structure” (RS).</w:t>
      </w:r>
    </w:p>
    <w:p w:rsidR="0098612E" w:rsidRDefault="0098612E" w:rsidP="00343538">
      <w:pPr>
        <w:rPr>
          <w:szCs w:val="24"/>
        </w:rPr>
      </w:pPr>
    </w:p>
    <w:p w:rsidR="0098612E" w:rsidRPr="00EC1207" w:rsidRDefault="0098612E" w:rsidP="00452CB0">
      <w:pPr>
        <w:pStyle w:val="Caption"/>
      </w:pPr>
      <w:r w:rsidRPr="00EC1207">
        <w:rPr>
          <w:vertAlign w:val="superscript"/>
        </w:rPr>
        <w:t>§</w:t>
      </w:r>
      <w:r w:rsidRPr="00EC1207">
        <w:t xml:space="preserve"> The bunch sequence is interrupted for 1 period (1.575 </w:t>
      </w:r>
      <w:r w:rsidRPr="00EC1207">
        <w:rPr>
          <w:rFonts w:ascii="Symbol" w:hAnsi="Symbol"/>
        </w:rPr>
        <w:t></w:t>
      </w:r>
      <w:r w:rsidRPr="00EC1207">
        <w:t xml:space="preserve">s) every 1000 periods (1.575 </w:t>
      </w:r>
      <w:proofErr w:type="spellStart"/>
      <w:r w:rsidRPr="00EC1207">
        <w:t>ms</w:t>
      </w:r>
      <w:proofErr w:type="spellEnd"/>
      <w:r w:rsidRPr="00EC1207">
        <w:t>) by the LEBT chopping system for ion clearing in MEBT.</w:t>
      </w:r>
    </w:p>
    <w:p w:rsidR="000C6888" w:rsidRPr="00343538" w:rsidRDefault="000C6888" w:rsidP="00343538">
      <w:pPr>
        <w:rPr>
          <w:szCs w:val="24"/>
        </w:rPr>
      </w:pPr>
    </w:p>
    <w:p w:rsidR="00343538" w:rsidRDefault="000C0674" w:rsidP="00343538">
      <w:r>
        <w:rPr>
          <w:noProof/>
        </w:rPr>
        <w:pict>
          <v:shape id="_x0000_s1034" type="#_x0000_t32" style="position:absolute;left:0;text-align:left;margin-left:17.7pt;margin-top:23.15pt;width:154.95pt;height:.05pt;z-index:251660288" o:connectortype="straight" strokecolor="#00b0f0" strokeweight="1pt">
            <v:stroke startarrow="block" endarrow="block"/>
          </v:shape>
        </w:pict>
      </w:r>
      <w:r w:rsidR="00343538" w:rsidRPr="008B6E44">
        <w:rPr>
          <w:noProof/>
        </w:rPr>
        <w:drawing>
          <wp:inline distT="0" distB="0" distL="0" distR="0" wp14:anchorId="5B834BD8" wp14:editId="57018398">
            <wp:extent cx="2670048" cy="1602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48" cy="160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538">
        <w:t xml:space="preserve"> </w:t>
      </w:r>
      <w:r w:rsidR="00343538" w:rsidRPr="00DB3C5F">
        <w:rPr>
          <w:noProof/>
        </w:rPr>
        <w:drawing>
          <wp:inline distT="0" distB="0" distL="0" distR="0" wp14:anchorId="70224E29" wp14:editId="6F1D62F8">
            <wp:extent cx="2711501" cy="162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745" cy="163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38" w:rsidRPr="00452CB0" w:rsidRDefault="00343538" w:rsidP="00452CB0">
      <w:pPr>
        <w:pStyle w:val="Caption"/>
      </w:pPr>
      <w:bookmarkStart w:id="10" w:name="_Ref347999504"/>
      <w:r w:rsidRPr="00452CB0">
        <w:t xml:space="preserve">Figure </w:t>
      </w:r>
      <w:r w:rsidR="000C0674">
        <w:fldChar w:fldCharType="begin"/>
      </w:r>
      <w:r w:rsidR="000C0674">
        <w:instrText xml:space="preserve"> SEQ Figure \* ARABIC </w:instrText>
      </w:r>
      <w:r w:rsidR="000C0674">
        <w:fldChar w:fldCharType="separate"/>
      </w:r>
      <w:r w:rsidRPr="00452CB0">
        <w:t>2</w:t>
      </w:r>
      <w:r w:rsidR="000C0674">
        <w:fldChar w:fldCharType="end"/>
      </w:r>
      <w:bookmarkEnd w:id="10"/>
      <w:r w:rsidRPr="00452CB0">
        <w:t>: The bunch structure at the exit of MEBT in the nominal operating mode. Left: the arrow indicate</w:t>
      </w:r>
      <w:r w:rsidR="000C6888" w:rsidRPr="00452CB0">
        <w:t>s</w:t>
      </w:r>
      <w:r w:rsidRPr="00452CB0">
        <w:t xml:space="preserve"> the full period. Right: details of the beginning of the period. The horizontal axis is numbered according to the bucket number. </w:t>
      </w:r>
    </w:p>
    <w:p w:rsidR="00343538" w:rsidRDefault="00343538" w:rsidP="003622B3">
      <w:pPr>
        <w:pStyle w:val="BodyText2"/>
        <w:rPr>
          <w:szCs w:val="24"/>
        </w:rPr>
      </w:pPr>
    </w:p>
    <w:p w:rsidR="00EC1207" w:rsidRPr="00667358" w:rsidRDefault="00EC1207" w:rsidP="0098612E">
      <w:pPr>
        <w:pStyle w:val="Heading3"/>
      </w:pPr>
      <w:bookmarkStart w:id="11" w:name="_Toc351039045"/>
      <w:proofErr w:type="gramStart"/>
      <w:r w:rsidRPr="00667358">
        <w:t>Mode 2.</w:t>
      </w:r>
      <w:proofErr w:type="gramEnd"/>
      <w:r w:rsidRPr="00667358">
        <w:t xml:space="preserve"> Pulse mode</w:t>
      </w:r>
      <w:bookmarkEnd w:id="11"/>
    </w:p>
    <w:p w:rsidR="00EC1207" w:rsidRDefault="00EC1207" w:rsidP="00EC1207"/>
    <w:p w:rsidR="00EC1207" w:rsidRPr="00EC1207" w:rsidRDefault="00EC1207" w:rsidP="00EC1207">
      <w:pPr>
        <w:rPr>
          <w:szCs w:val="24"/>
        </w:rPr>
      </w:pPr>
      <w:r w:rsidRPr="00EC1207">
        <w:rPr>
          <w:szCs w:val="24"/>
        </w:rPr>
        <w:t>The beam is chopped in LEBT for commissioning and diagnostics purposes.</w:t>
      </w:r>
    </w:p>
    <w:p w:rsidR="00EC1207" w:rsidRPr="00EC1207" w:rsidRDefault="00EC1207" w:rsidP="00EC1207">
      <w:pPr>
        <w:rPr>
          <w:szCs w:val="24"/>
        </w:rPr>
      </w:pPr>
      <w:r w:rsidRPr="00EC1207">
        <w:rPr>
          <w:szCs w:val="24"/>
        </w:rPr>
        <w:t>Frequency of batches</w:t>
      </w:r>
      <w:r w:rsidRPr="00EC1207">
        <w:rPr>
          <w:szCs w:val="24"/>
        </w:rPr>
        <w:tab/>
        <w:t>-</w:t>
      </w:r>
      <w:r w:rsidRPr="00EC1207">
        <w:rPr>
          <w:szCs w:val="24"/>
        </w:rPr>
        <w:tab/>
      </w:r>
      <w:r w:rsidRPr="00EC1207">
        <w:rPr>
          <w:szCs w:val="24"/>
        </w:rPr>
        <w:tab/>
      </w:r>
      <w:r w:rsidRPr="00EC1207">
        <w:rPr>
          <w:szCs w:val="24"/>
        </w:rPr>
        <w:tab/>
      </w:r>
      <w:r w:rsidRPr="00EC1207">
        <w:rPr>
          <w:szCs w:val="24"/>
        </w:rPr>
        <w:tab/>
      </w:r>
      <w:r w:rsidRPr="00EC1207">
        <w:rPr>
          <w:szCs w:val="24"/>
        </w:rPr>
        <w:tab/>
        <w:t>60 Hz</w:t>
      </w:r>
    </w:p>
    <w:p w:rsidR="00EC1207" w:rsidRPr="00EC1207" w:rsidRDefault="00EC1207" w:rsidP="00EC1207">
      <w:pPr>
        <w:rPr>
          <w:szCs w:val="24"/>
        </w:rPr>
      </w:pPr>
      <w:r w:rsidRPr="00EC1207">
        <w:rPr>
          <w:szCs w:val="24"/>
        </w:rPr>
        <w:t>Rise and drop times of intensity in the batch</w:t>
      </w:r>
      <w:r w:rsidRPr="00EC1207">
        <w:rPr>
          <w:szCs w:val="24"/>
          <w:vertAlign w:val="superscript"/>
        </w:rPr>
        <w:t>§</w:t>
      </w:r>
      <w:r w:rsidRPr="00EC1207">
        <w:rPr>
          <w:szCs w:val="24"/>
        </w:rPr>
        <w:t xml:space="preserve"> - </w:t>
      </w:r>
      <w:r w:rsidRPr="00EC1207">
        <w:rPr>
          <w:szCs w:val="24"/>
        </w:rPr>
        <w:tab/>
      </w:r>
      <w:r w:rsidRPr="00EC1207">
        <w:rPr>
          <w:szCs w:val="24"/>
        </w:rPr>
        <w:tab/>
        <w:t>~100 ns</w:t>
      </w:r>
    </w:p>
    <w:p w:rsidR="00EC1207" w:rsidRPr="00EC1207" w:rsidRDefault="002F0AFB" w:rsidP="00EC1207">
      <w:pPr>
        <w:rPr>
          <w:szCs w:val="24"/>
        </w:rPr>
      </w:pPr>
      <w:r>
        <w:rPr>
          <w:szCs w:val="24"/>
        </w:rPr>
        <w:t xml:space="preserve">Flat top -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25.2 µs (16</w:t>
      </w:r>
      <w:r w:rsidR="00EC1207" w:rsidRPr="00EC1207">
        <w:rPr>
          <w:szCs w:val="24"/>
        </w:rPr>
        <w:t xml:space="preserve"> periods)</w:t>
      </w:r>
    </w:p>
    <w:p w:rsidR="00EC1207" w:rsidRPr="00EC1207" w:rsidRDefault="00EC1207" w:rsidP="00EC1207">
      <w:pPr>
        <w:rPr>
          <w:szCs w:val="24"/>
        </w:rPr>
      </w:pPr>
    </w:p>
    <w:p w:rsidR="00EC1207" w:rsidRPr="00EC1207" w:rsidRDefault="00EC1207" w:rsidP="00EC1207">
      <w:pPr>
        <w:rPr>
          <w:szCs w:val="24"/>
        </w:rPr>
      </w:pPr>
      <w:r w:rsidRPr="00EC1207">
        <w:rPr>
          <w:szCs w:val="24"/>
        </w:rPr>
        <w:t xml:space="preserve">The MEBT kickers can be either on or off, with the corresponding difference of trajectories as in Mode 1.  </w:t>
      </w:r>
    </w:p>
    <w:p w:rsidR="00EC1207" w:rsidRPr="00EC1207" w:rsidRDefault="00EC1207" w:rsidP="00452CB0">
      <w:pPr>
        <w:pStyle w:val="Caption"/>
      </w:pPr>
      <w:r w:rsidRPr="00EC1207">
        <w:rPr>
          <w:vertAlign w:val="superscript"/>
        </w:rPr>
        <w:t>§</w:t>
      </w:r>
      <w:r w:rsidRPr="00EC1207">
        <w:t xml:space="preserve"> Transverse position of bunches partly removed in LEBT may differ ~1 mm from those at the flat top.</w:t>
      </w:r>
    </w:p>
    <w:p w:rsidR="00EC1207" w:rsidRDefault="00EC1207" w:rsidP="003622B3">
      <w:pPr>
        <w:pStyle w:val="BodyText2"/>
        <w:rPr>
          <w:szCs w:val="24"/>
        </w:rPr>
      </w:pPr>
    </w:p>
    <w:p w:rsidR="0073327B" w:rsidRPr="00667358" w:rsidRDefault="0073327B" w:rsidP="0098612E">
      <w:pPr>
        <w:pStyle w:val="Heading3"/>
      </w:pPr>
      <w:bookmarkStart w:id="12" w:name="_Toc351039046"/>
      <w:proofErr w:type="gramStart"/>
      <w:r w:rsidRPr="00667358">
        <w:t>Mode 3.</w:t>
      </w:r>
      <w:proofErr w:type="gramEnd"/>
      <w:r w:rsidRPr="00667358">
        <w:t xml:space="preserve"> Pre-chopped </w:t>
      </w:r>
      <w:r w:rsidR="00D34138">
        <w:t>repetitive structure</w:t>
      </w:r>
      <w:bookmarkEnd w:id="12"/>
      <w:r w:rsidR="00D34138">
        <w:t xml:space="preserve"> </w:t>
      </w:r>
    </w:p>
    <w:p w:rsidR="0073327B" w:rsidRPr="0073327B" w:rsidRDefault="0073327B" w:rsidP="0073327B">
      <w:pPr>
        <w:rPr>
          <w:szCs w:val="24"/>
        </w:rPr>
      </w:pPr>
    </w:p>
    <w:p w:rsidR="0073327B" w:rsidRPr="0073327B" w:rsidRDefault="0073327B" w:rsidP="0073327B">
      <w:pPr>
        <w:rPr>
          <w:szCs w:val="24"/>
        </w:rPr>
      </w:pPr>
      <w:r w:rsidRPr="0073327B">
        <w:rPr>
          <w:szCs w:val="24"/>
        </w:rPr>
        <w:t xml:space="preserve">The beam is pre-chopped in the LEBT to the nominal average current of </w:t>
      </w:r>
      <w:r w:rsidR="00B44F77">
        <w:rPr>
          <w:szCs w:val="24"/>
        </w:rPr>
        <w:t>~</w:t>
      </w:r>
      <w:r w:rsidRPr="0073327B">
        <w:rPr>
          <w:szCs w:val="24"/>
        </w:rPr>
        <w:t xml:space="preserve">1mA. The mode can be used for the thermal test of the MEBT absorber, preliminary tests of SRF, or together with MEBT chopping system in a case of temporary limitations on the duty factor of the latter. </w:t>
      </w:r>
    </w:p>
    <w:p w:rsidR="0073327B" w:rsidRPr="0073327B" w:rsidRDefault="0073327B" w:rsidP="0073327B">
      <w:pPr>
        <w:rPr>
          <w:szCs w:val="24"/>
        </w:rPr>
      </w:pPr>
      <w:r w:rsidRPr="0073327B">
        <w:rPr>
          <w:szCs w:val="24"/>
        </w:rPr>
        <w:t>Frequency of batches</w:t>
      </w:r>
      <w:r w:rsidRPr="0073327B">
        <w:rPr>
          <w:szCs w:val="24"/>
        </w:rPr>
        <w:tab/>
        <w:t>-</w:t>
      </w:r>
      <w:r w:rsidRPr="0073327B">
        <w:rPr>
          <w:szCs w:val="24"/>
        </w:rPr>
        <w:tab/>
      </w:r>
      <w:r w:rsidRPr="0073327B">
        <w:rPr>
          <w:szCs w:val="24"/>
        </w:rPr>
        <w:tab/>
      </w:r>
      <w:r w:rsidRPr="0073327B">
        <w:rPr>
          <w:szCs w:val="24"/>
        </w:rPr>
        <w:tab/>
      </w:r>
      <w:r w:rsidRPr="0073327B">
        <w:rPr>
          <w:szCs w:val="24"/>
        </w:rPr>
        <w:tab/>
      </w:r>
      <w:r w:rsidRPr="0073327B">
        <w:rPr>
          <w:szCs w:val="24"/>
        </w:rPr>
        <w:tab/>
        <w:t>635 kHz</w:t>
      </w:r>
      <w:r w:rsidR="00B44F77">
        <w:rPr>
          <w:szCs w:val="24"/>
        </w:rPr>
        <w:t xml:space="preserve"> (same period)</w:t>
      </w:r>
    </w:p>
    <w:p w:rsidR="0073327B" w:rsidRPr="0073327B" w:rsidRDefault="0073327B" w:rsidP="0073327B">
      <w:pPr>
        <w:rPr>
          <w:szCs w:val="24"/>
        </w:rPr>
      </w:pPr>
      <w:r w:rsidRPr="0073327B">
        <w:rPr>
          <w:szCs w:val="24"/>
        </w:rPr>
        <w:t>Rise and drop times of intensity in the batch</w:t>
      </w:r>
      <w:r w:rsidRPr="0073327B">
        <w:rPr>
          <w:szCs w:val="24"/>
          <w:vertAlign w:val="superscript"/>
        </w:rPr>
        <w:t>§</w:t>
      </w:r>
      <w:r w:rsidRPr="0073327B">
        <w:rPr>
          <w:szCs w:val="24"/>
        </w:rPr>
        <w:t xml:space="preserve"> - </w:t>
      </w:r>
      <w:r w:rsidRPr="0073327B">
        <w:rPr>
          <w:szCs w:val="24"/>
        </w:rPr>
        <w:tab/>
      </w:r>
      <w:r w:rsidRPr="0073327B">
        <w:rPr>
          <w:szCs w:val="24"/>
        </w:rPr>
        <w:tab/>
        <w:t>~100 ns</w:t>
      </w:r>
    </w:p>
    <w:p w:rsidR="0073327B" w:rsidRDefault="0073327B" w:rsidP="0073327B">
      <w:pPr>
        <w:rPr>
          <w:szCs w:val="24"/>
        </w:rPr>
      </w:pPr>
      <w:r w:rsidRPr="0073327B">
        <w:rPr>
          <w:szCs w:val="24"/>
        </w:rPr>
        <w:t xml:space="preserve">Flat top - </w:t>
      </w:r>
      <w:r w:rsidRPr="0073327B">
        <w:rPr>
          <w:szCs w:val="24"/>
        </w:rPr>
        <w:tab/>
      </w:r>
      <w:r w:rsidRPr="0073327B">
        <w:rPr>
          <w:szCs w:val="24"/>
        </w:rPr>
        <w:tab/>
      </w:r>
      <w:r w:rsidRPr="0073327B">
        <w:rPr>
          <w:szCs w:val="24"/>
        </w:rPr>
        <w:tab/>
      </w:r>
      <w:r w:rsidRPr="0073327B">
        <w:rPr>
          <w:szCs w:val="24"/>
        </w:rPr>
        <w:tab/>
      </w:r>
      <w:r w:rsidRPr="0073327B">
        <w:rPr>
          <w:szCs w:val="24"/>
        </w:rPr>
        <w:tab/>
      </w:r>
      <w:r w:rsidRPr="0073327B">
        <w:rPr>
          <w:szCs w:val="24"/>
        </w:rPr>
        <w:tab/>
      </w:r>
      <w:r w:rsidRPr="0073327B">
        <w:rPr>
          <w:szCs w:val="24"/>
        </w:rPr>
        <w:tab/>
      </w:r>
      <w:r w:rsidR="00B44F77">
        <w:rPr>
          <w:szCs w:val="24"/>
        </w:rPr>
        <w:t>35 buckets (</w:t>
      </w:r>
      <w:r w:rsidRPr="0073327B">
        <w:rPr>
          <w:szCs w:val="24"/>
        </w:rPr>
        <w:t>2</w:t>
      </w:r>
      <w:r w:rsidR="00B44F77">
        <w:rPr>
          <w:szCs w:val="24"/>
        </w:rPr>
        <w:t>15</w:t>
      </w:r>
      <w:r>
        <w:rPr>
          <w:szCs w:val="24"/>
        </w:rPr>
        <w:t xml:space="preserve"> ns</w:t>
      </w:r>
      <w:r w:rsidR="00B44F77">
        <w:rPr>
          <w:szCs w:val="24"/>
        </w:rPr>
        <w:t>)</w:t>
      </w:r>
      <w:r w:rsidRPr="0073327B">
        <w:rPr>
          <w:szCs w:val="24"/>
        </w:rPr>
        <w:t xml:space="preserve"> </w:t>
      </w:r>
    </w:p>
    <w:p w:rsidR="00D34138" w:rsidRPr="0073327B" w:rsidRDefault="00D34138" w:rsidP="0073327B">
      <w:pPr>
        <w:rPr>
          <w:szCs w:val="24"/>
        </w:rPr>
      </w:pPr>
      <w:r>
        <w:rPr>
          <w:szCs w:val="24"/>
        </w:rPr>
        <w:t>The MEBT kickers are off at the flat top.</w:t>
      </w:r>
    </w:p>
    <w:p w:rsidR="0073327B" w:rsidRPr="00B44F77" w:rsidRDefault="0073327B" w:rsidP="00452CB0">
      <w:pPr>
        <w:pStyle w:val="Caption"/>
      </w:pPr>
      <w:r w:rsidRPr="00B44F77">
        <w:rPr>
          <w:vertAlign w:val="superscript"/>
        </w:rPr>
        <w:t>§</w:t>
      </w:r>
      <w:r w:rsidRPr="00B44F77">
        <w:t xml:space="preserve"> Transverse position of partly removed bunches may differ ~1 mm from those at the flat top.</w:t>
      </w:r>
    </w:p>
    <w:p w:rsidR="00555D82" w:rsidRDefault="00555D82" w:rsidP="003622B3">
      <w:pPr>
        <w:pStyle w:val="BodyText2"/>
        <w:rPr>
          <w:szCs w:val="24"/>
        </w:rPr>
      </w:pPr>
    </w:p>
    <w:p w:rsidR="00B44F77" w:rsidRPr="00667358" w:rsidRDefault="00B44F77" w:rsidP="0098612E">
      <w:pPr>
        <w:pStyle w:val="Heading3"/>
      </w:pPr>
      <w:bookmarkStart w:id="13" w:name="_Toc351039047"/>
      <w:proofErr w:type="gramStart"/>
      <w:r w:rsidRPr="00667358">
        <w:t>Mode 4.</w:t>
      </w:r>
      <w:proofErr w:type="gramEnd"/>
      <w:r w:rsidRPr="00667358">
        <w:t xml:space="preserve"> Synchronous detection in </w:t>
      </w:r>
      <w:r w:rsidR="00741267">
        <w:t>the Repetitive Structure</w:t>
      </w:r>
      <w:r w:rsidRPr="00667358">
        <w:t xml:space="preserve"> mode</w:t>
      </w:r>
      <w:bookmarkEnd w:id="13"/>
    </w:p>
    <w:p w:rsidR="00B44F77" w:rsidRDefault="00B44F77" w:rsidP="00B44F77"/>
    <w:p w:rsidR="003F1116" w:rsidRPr="00B44F77" w:rsidRDefault="003F1116" w:rsidP="003F1116">
      <w:pPr>
        <w:rPr>
          <w:szCs w:val="24"/>
        </w:rPr>
      </w:pPr>
      <w:r w:rsidRPr="00B44F77">
        <w:rPr>
          <w:szCs w:val="24"/>
        </w:rPr>
        <w:t xml:space="preserve">Identical to Mode 1 but bunch parameters (either the transverse position or intensity) are slightly modulated </w:t>
      </w:r>
      <w:r>
        <w:rPr>
          <w:szCs w:val="24"/>
        </w:rPr>
        <w:t xml:space="preserve">in the frequency range of </w:t>
      </w:r>
      <w:r w:rsidRPr="00B44F77">
        <w:rPr>
          <w:szCs w:val="24"/>
        </w:rPr>
        <w:t>100 Hz</w:t>
      </w:r>
      <w:r>
        <w:rPr>
          <w:szCs w:val="24"/>
        </w:rPr>
        <w:t xml:space="preserve"> to 100 kHz</w:t>
      </w:r>
      <w:r w:rsidRPr="00B44F77">
        <w:rPr>
          <w:szCs w:val="24"/>
        </w:rPr>
        <w:t xml:space="preserve">. Typical transverse </w:t>
      </w:r>
      <w:r>
        <w:rPr>
          <w:szCs w:val="24"/>
        </w:rPr>
        <w:t>modulation</w:t>
      </w:r>
      <w:r w:rsidRPr="00B44F77">
        <w:rPr>
          <w:szCs w:val="24"/>
        </w:rPr>
        <w:t xml:space="preserve"> is ~0.1 mm, </w:t>
      </w:r>
      <w:r>
        <w:rPr>
          <w:szCs w:val="24"/>
        </w:rPr>
        <w:t xml:space="preserve">typical longitudinal modulation of ~1 deg., </w:t>
      </w:r>
      <w:r w:rsidRPr="00B44F77">
        <w:rPr>
          <w:szCs w:val="24"/>
        </w:rPr>
        <w:t xml:space="preserve">and typical </w:t>
      </w:r>
      <w:r>
        <w:rPr>
          <w:szCs w:val="24"/>
        </w:rPr>
        <w:t>intensity</w:t>
      </w:r>
      <w:r w:rsidRPr="00B44F77">
        <w:rPr>
          <w:szCs w:val="24"/>
        </w:rPr>
        <w:t xml:space="preserve"> modulation is ~10</w:t>
      </w:r>
      <w:r w:rsidRPr="00B44F77">
        <w:rPr>
          <w:szCs w:val="24"/>
          <w:vertAlign w:val="superscript"/>
        </w:rPr>
        <w:t>-</w:t>
      </w:r>
      <w:r w:rsidR="001D1505">
        <w:rPr>
          <w:szCs w:val="24"/>
          <w:vertAlign w:val="superscript"/>
        </w:rPr>
        <w:t>7</w:t>
      </w:r>
      <w:r w:rsidRPr="00B44F77">
        <w:rPr>
          <w:szCs w:val="24"/>
        </w:rPr>
        <w:t>. The mode is used for non-invasive diagnostics.</w:t>
      </w:r>
    </w:p>
    <w:p w:rsidR="00EC1207" w:rsidRDefault="00EC1207" w:rsidP="003622B3">
      <w:pPr>
        <w:pStyle w:val="BodyText2"/>
        <w:rPr>
          <w:szCs w:val="24"/>
        </w:rPr>
      </w:pPr>
    </w:p>
    <w:p w:rsidR="00EC1207" w:rsidRDefault="0098612E" w:rsidP="0098612E">
      <w:pPr>
        <w:pStyle w:val="Heading2"/>
      </w:pPr>
      <w:bookmarkStart w:id="14" w:name="_Toc351039048"/>
      <w:r>
        <w:lastRenderedPageBreak/>
        <w:t>Mechanical constrains</w:t>
      </w:r>
      <w:bookmarkEnd w:id="14"/>
    </w:p>
    <w:p w:rsidR="00EC1207" w:rsidRDefault="0098612E" w:rsidP="003622B3">
      <w:pPr>
        <w:pStyle w:val="BodyText2"/>
        <w:rPr>
          <w:szCs w:val="24"/>
        </w:rPr>
      </w:pPr>
      <w:r>
        <w:rPr>
          <w:szCs w:val="24"/>
        </w:rPr>
        <w:t>The BPM assembly is installed between the quadrupoles of each doublet and triplet</w:t>
      </w:r>
      <w:r w:rsidR="007572BF">
        <w:rPr>
          <w:szCs w:val="24"/>
        </w:rPr>
        <w:t xml:space="preserve"> [</w:t>
      </w:r>
      <w:r w:rsidR="002339DF">
        <w:rPr>
          <w:szCs w:val="24"/>
        </w:rPr>
        <w:t>8</w:t>
      </w:r>
      <w:r w:rsidR="007572BF">
        <w:rPr>
          <w:szCs w:val="24"/>
        </w:rPr>
        <w:t>]</w:t>
      </w:r>
      <w:r>
        <w:rPr>
          <w:szCs w:val="24"/>
        </w:rPr>
        <w:t xml:space="preserve">. In the case of a triplet, it is placed between the central and downstream quadrupoles. </w:t>
      </w:r>
      <w:r w:rsidR="00B77CE0" w:rsidRPr="00B77CE0">
        <w:rPr>
          <w:szCs w:val="24"/>
        </w:rPr>
        <w:t xml:space="preserve">The space available to a single BPM is depicted in Figure 3 as the </w:t>
      </w:r>
      <w:r w:rsidR="00B77CE0" w:rsidRPr="00B77CE0">
        <w:rPr>
          <w:i/>
          <w:szCs w:val="24"/>
        </w:rPr>
        <w:t>space free of winding</w:t>
      </w:r>
      <w:r w:rsidR="00B77CE0" w:rsidRPr="00B77CE0">
        <w:rPr>
          <w:szCs w:val="24"/>
        </w:rPr>
        <w:t>. Additionally, the space available for the four SMA cables for the BPM is 20mm, which is the spacing between the brown dashed lines.</w:t>
      </w:r>
    </w:p>
    <w:p w:rsidR="0098612E" w:rsidRDefault="00BF48D4" w:rsidP="00B21E11">
      <w:pPr>
        <w:pStyle w:val="Caption"/>
        <w:jc w:val="center"/>
        <w:rPr>
          <w:szCs w:val="24"/>
        </w:rPr>
      </w:pPr>
      <w:r w:rsidRPr="00B53884">
        <w:rPr>
          <w:noProof/>
        </w:rPr>
        <w:drawing>
          <wp:inline distT="0" distB="0" distL="0" distR="0" wp14:anchorId="556AA979" wp14:editId="77F457A7">
            <wp:extent cx="3621444" cy="4411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945" cy="441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D4" w:rsidRDefault="00BF48D4" w:rsidP="003622B3">
      <w:pPr>
        <w:pStyle w:val="BodyText2"/>
        <w:rPr>
          <w:szCs w:val="24"/>
        </w:rPr>
      </w:pPr>
    </w:p>
    <w:p w:rsidR="00BF48D4" w:rsidRPr="007572BF" w:rsidRDefault="00BF48D4" w:rsidP="007572BF">
      <w:pPr>
        <w:pStyle w:val="Caption"/>
      </w:pPr>
      <w:proofErr w:type="gramStart"/>
      <w:r w:rsidRPr="007572BF">
        <w:t>Figure 3.</w:t>
      </w:r>
      <w:proofErr w:type="gramEnd"/>
      <w:r w:rsidRPr="007572BF">
        <w:t xml:space="preserve"> </w:t>
      </w:r>
      <w:proofErr w:type="gramStart"/>
      <w:r w:rsidRPr="007572BF">
        <w:t>Space between quadrupoles that should be left free of winding for BPMs.</w:t>
      </w:r>
      <w:proofErr w:type="gramEnd"/>
      <w:r w:rsidRPr="007572BF">
        <w:t xml:space="preserve"> All dimensions are in mm. The sketch shows the downstream portion of the triplet; restrictions in the doublets are identical.</w:t>
      </w:r>
    </w:p>
    <w:p w:rsidR="004B45BA" w:rsidRDefault="004B45BA" w:rsidP="003F5797">
      <w:pPr>
        <w:pStyle w:val="BodyText2"/>
        <w:rPr>
          <w:szCs w:val="24"/>
        </w:rPr>
      </w:pPr>
    </w:p>
    <w:p w:rsidR="00B77CE0" w:rsidRDefault="00B77CE0" w:rsidP="00B77CE0">
      <w:pPr>
        <w:pStyle w:val="BodyText2"/>
      </w:pPr>
      <w:r>
        <w:t xml:space="preserve">Other miscellaneous components not stated in this document must fit in the </w:t>
      </w:r>
      <w:r w:rsidRPr="00B77CE0">
        <w:rPr>
          <w:i/>
        </w:rPr>
        <w:t>space free of winding</w:t>
      </w:r>
      <w:r>
        <w:t xml:space="preserve"> zone and in between consecutive coil to coil spacing between quadrupoles.</w:t>
      </w:r>
    </w:p>
    <w:p w:rsidR="00B77CE0" w:rsidRDefault="00B77CE0" w:rsidP="00B77CE0">
      <w:pPr>
        <w:pStyle w:val="BodyText2"/>
      </w:pPr>
      <w:r>
        <w:t xml:space="preserve">The BPM housing is welded to 1 ¼” OD tubes. The entire assembly will be suspended between the poles of the quadrupoles. </w:t>
      </w:r>
    </w:p>
    <w:p w:rsidR="00F30AD3" w:rsidRDefault="00B77CE0" w:rsidP="00B77CE0">
      <w:pPr>
        <w:pStyle w:val="BodyText2"/>
        <w:rPr>
          <w:szCs w:val="24"/>
        </w:rPr>
      </w:pPr>
      <w:r>
        <w:t>To allow for assembling, servicing, and baking of the BPMs, the quadrupoles can be disassembled into halves.</w:t>
      </w:r>
    </w:p>
    <w:p w:rsidR="00D172D3" w:rsidRDefault="00452CB0" w:rsidP="00D172D3">
      <w:pPr>
        <w:pStyle w:val="Heading2"/>
      </w:pPr>
      <w:bookmarkStart w:id="15" w:name="_Toc351039049"/>
      <w:r>
        <w:lastRenderedPageBreak/>
        <w:t>Temperature</w:t>
      </w:r>
      <w:bookmarkEnd w:id="15"/>
    </w:p>
    <w:p w:rsidR="00D172D3" w:rsidRDefault="00D172D3" w:rsidP="003F5797">
      <w:pPr>
        <w:pStyle w:val="BodyText2"/>
        <w:rPr>
          <w:szCs w:val="24"/>
        </w:rPr>
      </w:pPr>
      <w:r>
        <w:rPr>
          <w:szCs w:val="24"/>
        </w:rPr>
        <w:t>The ambient temperature is 25</w:t>
      </w:r>
      <w:r w:rsidR="00886011">
        <w:rPr>
          <w:szCs w:val="24"/>
        </w:rPr>
        <w:t xml:space="preserve"> ±2º</w:t>
      </w:r>
      <w:r>
        <w:rPr>
          <w:szCs w:val="24"/>
        </w:rPr>
        <w:t>C. The operating temperature at the BPM pickup location can be as high as 80C (heated by the quadrupoles).</w:t>
      </w:r>
    </w:p>
    <w:p w:rsidR="000D52A7" w:rsidRDefault="000D52A7">
      <w:pPr>
        <w:rPr>
          <w:szCs w:val="24"/>
        </w:rPr>
      </w:pPr>
    </w:p>
    <w:p w:rsidR="00E06596" w:rsidRPr="000D52A7" w:rsidRDefault="00D62556" w:rsidP="000D52A7">
      <w:pPr>
        <w:pStyle w:val="Heading1"/>
      </w:pPr>
      <w:bookmarkStart w:id="16" w:name="_Toc351039050"/>
      <w:r w:rsidRPr="000D52A7">
        <w:t>Requirements</w:t>
      </w:r>
      <w:bookmarkEnd w:id="0"/>
      <w:bookmarkEnd w:id="16"/>
    </w:p>
    <w:p w:rsidR="000D52A7" w:rsidRDefault="007D7045" w:rsidP="007D7045">
      <w:pPr>
        <w:pStyle w:val="Heading2"/>
      </w:pPr>
      <w:bookmarkStart w:id="17" w:name="_Toc351039051"/>
      <w:r>
        <w:t>Dimensions</w:t>
      </w:r>
      <w:bookmarkEnd w:id="17"/>
    </w:p>
    <w:p w:rsidR="007D7045" w:rsidRDefault="007D7045" w:rsidP="007D7045">
      <w:r>
        <w:t xml:space="preserve">ID (minimum diameter of free </w:t>
      </w:r>
      <w:r w:rsidR="00886011">
        <w:t>space</w:t>
      </w:r>
      <w:r>
        <w:t>) -</w:t>
      </w:r>
      <w:r>
        <w:tab/>
      </w:r>
      <w:r>
        <w:tab/>
      </w:r>
      <w:r w:rsidR="00D35EF4">
        <w:tab/>
      </w:r>
      <w:r>
        <w:t>30 mm</w:t>
      </w:r>
    </w:p>
    <w:p w:rsidR="00886011" w:rsidRDefault="00D35EF4" w:rsidP="007D7045">
      <w:r>
        <w:t xml:space="preserve">Radius of good area (maximum deviation of the beam </w:t>
      </w:r>
    </w:p>
    <w:p w:rsidR="007D7045" w:rsidRDefault="00D35EF4" w:rsidP="007D7045">
      <w:proofErr w:type="gramStart"/>
      <w:r>
        <w:t>centroid</w:t>
      </w:r>
      <w:proofErr w:type="gramEnd"/>
      <w:r w:rsidR="00886011">
        <w:t xml:space="preserve"> from the BPM electrical center</w:t>
      </w:r>
      <w:r>
        <w:t>)</w:t>
      </w:r>
      <w:r w:rsidR="00482058">
        <w:t xml:space="preserve"> - </w:t>
      </w:r>
      <w:r>
        <w:tab/>
      </w:r>
      <w:r w:rsidR="00553A70">
        <w:tab/>
        <w:t xml:space="preserve"> </w:t>
      </w:r>
      <w:r w:rsidR="00886011">
        <w:tab/>
      </w:r>
      <w:r>
        <w:t>5 mm</w:t>
      </w:r>
    </w:p>
    <w:p w:rsidR="00A411F9" w:rsidRDefault="00F92EB6">
      <w:pPr>
        <w:rPr>
          <w:szCs w:val="24"/>
        </w:rPr>
      </w:pPr>
      <w:r>
        <w:rPr>
          <w:szCs w:val="24"/>
        </w:rPr>
        <w:t>Deviation of electric and mechanical centers</w:t>
      </w:r>
      <w:r>
        <w:rPr>
          <w:szCs w:val="24"/>
        </w:rPr>
        <w:tab/>
      </w:r>
      <w:r w:rsidR="00482058">
        <w:rPr>
          <w:szCs w:val="24"/>
        </w:rPr>
        <w:t xml:space="preserve">- </w:t>
      </w:r>
      <w:r>
        <w:rPr>
          <w:szCs w:val="24"/>
        </w:rPr>
        <w:tab/>
      </w:r>
      <w:r w:rsidR="00553A70">
        <w:rPr>
          <w:szCs w:val="24"/>
        </w:rPr>
        <w:t xml:space="preserve">       </w:t>
      </w:r>
      <w:r>
        <w:rPr>
          <w:szCs w:val="24"/>
        </w:rPr>
        <w:t>&lt; 0.5 mm</w:t>
      </w:r>
    </w:p>
    <w:p w:rsidR="00D35EF4" w:rsidRDefault="00D35EF4">
      <w:pPr>
        <w:rPr>
          <w:szCs w:val="24"/>
        </w:rPr>
      </w:pPr>
    </w:p>
    <w:p w:rsidR="00DF455F" w:rsidRDefault="00DF455F" w:rsidP="00DF455F">
      <w:pPr>
        <w:pStyle w:val="Heading2"/>
      </w:pPr>
      <w:bookmarkStart w:id="18" w:name="_Toc351039052"/>
      <w:r>
        <w:t>Positioning of the pickups</w:t>
      </w:r>
      <w:bookmarkEnd w:id="18"/>
    </w:p>
    <w:p w:rsidR="00DF455F" w:rsidRDefault="00DF455F" w:rsidP="00DF455F">
      <w:pPr>
        <w:pStyle w:val="Heading3"/>
      </w:pPr>
      <w:bookmarkStart w:id="19" w:name="_Toc351039053"/>
      <w:r>
        <w:t>Accuracy</w:t>
      </w:r>
      <w:bookmarkEnd w:id="19"/>
    </w:p>
    <w:p w:rsidR="00DF455F" w:rsidRDefault="00DF455F" w:rsidP="00DF455F">
      <w:r>
        <w:t>Transverse -</w:t>
      </w:r>
      <w:r>
        <w:tab/>
      </w:r>
      <w:r>
        <w:tab/>
        <w:t xml:space="preserve">0.5 mm </w:t>
      </w:r>
    </w:p>
    <w:p w:rsidR="00DF455F" w:rsidRDefault="00DF455F" w:rsidP="00DF455F">
      <w:r>
        <w:t xml:space="preserve">Longitudinal - </w:t>
      </w:r>
      <w:r>
        <w:tab/>
      </w:r>
      <w:r>
        <w:tab/>
        <w:t>5 mm</w:t>
      </w:r>
    </w:p>
    <w:p w:rsidR="00DF455F" w:rsidRDefault="00DF455F" w:rsidP="00DF455F">
      <w:r>
        <w:t xml:space="preserve">Roll - </w:t>
      </w:r>
      <w:r>
        <w:tab/>
      </w:r>
      <w:r>
        <w:tab/>
      </w:r>
      <w:r>
        <w:tab/>
        <w:t>1º</w:t>
      </w:r>
    </w:p>
    <w:p w:rsidR="00DF455F" w:rsidRDefault="00DF455F" w:rsidP="00DF455F">
      <w:r>
        <w:t xml:space="preserve">Pitch, yaw - </w:t>
      </w:r>
      <w:r>
        <w:tab/>
      </w:r>
      <w:r>
        <w:tab/>
        <w:t>restricted by vacuum chamber alignment</w:t>
      </w:r>
    </w:p>
    <w:p w:rsidR="004507F7" w:rsidRDefault="004507F7" w:rsidP="00DF455F">
      <w:r w:rsidRPr="004507F7">
        <w:t>Longitudinal positions of the electric centers of all BPMs with respect to the first MEBT BPM shall be measured within 0.5 mm.</w:t>
      </w:r>
    </w:p>
    <w:p w:rsidR="00DF455F" w:rsidRDefault="00DF455F" w:rsidP="00DF455F"/>
    <w:p w:rsidR="00DF455F" w:rsidRDefault="00DF455F" w:rsidP="00DF455F">
      <w:r>
        <w:t>Remaining errors will be compensated in software.</w:t>
      </w:r>
    </w:p>
    <w:p w:rsidR="00DF455F" w:rsidRDefault="00DF455F" w:rsidP="00DF455F"/>
    <w:p w:rsidR="00DF455F" w:rsidRDefault="00DF455F" w:rsidP="00DF455F">
      <w:pPr>
        <w:pStyle w:val="Heading3"/>
      </w:pPr>
      <w:bookmarkStart w:id="20" w:name="_Toc351039054"/>
      <w:r>
        <w:t>Stability with respect to quadrupoles</w:t>
      </w:r>
      <w:bookmarkEnd w:id="20"/>
    </w:p>
    <w:p w:rsidR="00DF455F" w:rsidRDefault="00DF455F" w:rsidP="00DF455F">
      <w:r>
        <w:t>Sub – minute time scale (i.e. vibration)</w:t>
      </w:r>
    </w:p>
    <w:p w:rsidR="00DF455F" w:rsidRDefault="00DF455F" w:rsidP="00DF455F">
      <w:r>
        <w:t xml:space="preserve">Transverse - </w:t>
      </w:r>
      <w:r>
        <w:tab/>
      </w:r>
      <w:r>
        <w:tab/>
        <w:t>0.005 mm</w:t>
      </w:r>
    </w:p>
    <w:p w:rsidR="00DF455F" w:rsidRDefault="00DF455F" w:rsidP="00DF455F">
      <w:r>
        <w:t xml:space="preserve">Longitudinal - </w:t>
      </w:r>
      <w:r>
        <w:tab/>
      </w:r>
      <w:r>
        <w:tab/>
        <w:t>0.1 mm</w:t>
      </w:r>
    </w:p>
    <w:p w:rsidR="00DF455F" w:rsidRDefault="00DF455F" w:rsidP="00DF455F"/>
    <w:p w:rsidR="00DF455F" w:rsidRDefault="00DF455F" w:rsidP="00DF455F">
      <w:r>
        <w:t>Long – term, with following conditions:</w:t>
      </w:r>
    </w:p>
    <w:p w:rsidR="00DF455F" w:rsidRDefault="00DF455F" w:rsidP="00DF455F">
      <w:r>
        <w:t xml:space="preserve">Time scale - </w:t>
      </w:r>
      <w:r>
        <w:tab/>
      </w:r>
      <w:r>
        <w:tab/>
      </w:r>
      <w:r>
        <w:tab/>
      </w:r>
      <w:r>
        <w:tab/>
      </w:r>
      <w:r>
        <w:tab/>
        <w:t xml:space="preserve">week </w:t>
      </w:r>
    </w:p>
    <w:p w:rsidR="00DF455F" w:rsidRDefault="00DF455F" w:rsidP="00DF455F">
      <w:r>
        <w:t xml:space="preserve">Temperature of the pickup </w:t>
      </w:r>
      <w:r>
        <w:tab/>
      </w:r>
      <w:r>
        <w:tab/>
      </w:r>
      <w:r>
        <w:tab/>
        <w:t>23 – 80 C</w:t>
      </w:r>
    </w:p>
    <w:p w:rsidR="00DF455F" w:rsidRDefault="00DF455F" w:rsidP="00DF455F">
      <w:r>
        <w:t>Temperature of the mounting frame</w:t>
      </w:r>
      <w:r>
        <w:tab/>
      </w:r>
      <w:r>
        <w:tab/>
        <w:t>23 – 27 C</w:t>
      </w:r>
    </w:p>
    <w:p w:rsidR="00DF455F" w:rsidRDefault="00DF455F" w:rsidP="00DF455F">
      <w:r>
        <w:t xml:space="preserve">Internal pressure </w:t>
      </w:r>
      <w:r>
        <w:tab/>
      </w:r>
      <w:r>
        <w:tab/>
      </w:r>
      <w:r>
        <w:tab/>
      </w:r>
      <w:r>
        <w:tab/>
        <w:t xml:space="preserve">0 - 1 </w:t>
      </w:r>
      <w:proofErr w:type="spellStart"/>
      <w:r>
        <w:t>atm</w:t>
      </w:r>
      <w:proofErr w:type="spellEnd"/>
    </w:p>
    <w:p w:rsidR="00DF455F" w:rsidRDefault="00DF455F" w:rsidP="00DF455F"/>
    <w:p w:rsidR="00DF455F" w:rsidRDefault="00DF455F" w:rsidP="00DF455F">
      <w:r>
        <w:t xml:space="preserve">Transverse - </w:t>
      </w:r>
      <w:r>
        <w:tab/>
      </w:r>
      <w:r>
        <w:tab/>
        <w:t>0.05 mm</w:t>
      </w:r>
    </w:p>
    <w:p w:rsidR="00DF455F" w:rsidRDefault="00DF455F" w:rsidP="00DF455F">
      <w:r>
        <w:t xml:space="preserve">Longitudinal - </w:t>
      </w:r>
      <w:r>
        <w:tab/>
      </w:r>
      <w:r>
        <w:tab/>
        <w:t>0.5 mm</w:t>
      </w:r>
    </w:p>
    <w:p w:rsidR="00D15964" w:rsidRDefault="00DF455F" w:rsidP="00DF455F">
      <w:r>
        <w:t xml:space="preserve">Roll - </w:t>
      </w:r>
      <w:r>
        <w:tab/>
      </w:r>
      <w:r>
        <w:tab/>
      </w:r>
      <w:r>
        <w:tab/>
        <w:t>0.2º</w:t>
      </w:r>
    </w:p>
    <w:p w:rsidR="00D15964" w:rsidRDefault="00D15964">
      <w:pPr>
        <w:jc w:val="left"/>
      </w:pPr>
      <w:r>
        <w:br w:type="page"/>
      </w:r>
    </w:p>
    <w:p w:rsidR="00553A70" w:rsidRDefault="00553A70" w:rsidP="00B21E11">
      <w:pPr>
        <w:pStyle w:val="Heading2"/>
      </w:pPr>
      <w:bookmarkStart w:id="21" w:name="_Toc351039055"/>
      <w:r>
        <w:lastRenderedPageBreak/>
        <w:t>Measurement requirements</w:t>
      </w:r>
      <w:bookmarkEnd w:id="21"/>
    </w:p>
    <w:p w:rsidR="00D15964" w:rsidRDefault="00D15964" w:rsidP="009C1F11">
      <w:pPr>
        <w:rPr>
          <w:szCs w:val="24"/>
        </w:rPr>
      </w:pPr>
      <w:r>
        <w:rPr>
          <w:szCs w:val="24"/>
        </w:rPr>
        <w:t>Accuracy and precision are specified only for buckets filled with the nominal number of particles.</w:t>
      </w:r>
      <w:r w:rsidR="000C0674">
        <w:rPr>
          <w:szCs w:val="24"/>
        </w:rPr>
        <w:t xml:space="preserve"> </w:t>
      </w:r>
    </w:p>
    <w:p w:rsidR="00741267" w:rsidRDefault="00741267" w:rsidP="00741267">
      <w:r>
        <w:t xml:space="preserve">As </w:t>
      </w:r>
      <w:r w:rsidR="00C011AD">
        <w:t>pointed out</w:t>
      </w:r>
      <w:r>
        <w:t xml:space="preserve"> in section </w:t>
      </w:r>
      <w:r>
        <w:fldChar w:fldCharType="begin"/>
      </w:r>
      <w:r>
        <w:instrText xml:space="preserve"> REF _Ref349024443 \r \h </w:instrText>
      </w:r>
      <w:r>
        <w:fldChar w:fldCharType="separate"/>
      </w:r>
      <w:r>
        <w:t>3.2.1</w:t>
      </w:r>
      <w:r>
        <w:fldChar w:fldCharType="end"/>
      </w:r>
      <w:r>
        <w:t xml:space="preserve">, positions of neighboring bunches can differ by up 10 mm in the region B of </w:t>
      </w:r>
      <w:r>
        <w:fldChar w:fldCharType="begin"/>
      </w:r>
      <w:r>
        <w:instrText xml:space="preserve"> REF _Ref347998557 \h </w:instrText>
      </w:r>
      <w:r>
        <w:fldChar w:fldCharType="separate"/>
      </w:r>
      <w:r w:rsidRPr="00BF48D4">
        <w:t>Figure 1</w:t>
      </w:r>
      <w:r>
        <w:fldChar w:fldCharType="end"/>
      </w:r>
      <w:r>
        <w:t>, and their intensity vary from full to zero in the region C</w:t>
      </w:r>
      <w:r w:rsidR="00B8198D">
        <w:t>, if the MEBT kickers are on</w:t>
      </w:r>
      <w:r>
        <w:t>.</w:t>
      </w:r>
    </w:p>
    <w:p w:rsidR="00D15964" w:rsidRDefault="00D15964" w:rsidP="009C1F11">
      <w:pPr>
        <w:rPr>
          <w:szCs w:val="24"/>
        </w:rPr>
      </w:pPr>
    </w:p>
    <w:p w:rsidR="00D15964" w:rsidRDefault="00D15964" w:rsidP="00D15964">
      <w:pPr>
        <w:pStyle w:val="Heading3"/>
      </w:pPr>
      <w:bookmarkStart w:id="22" w:name="_Toc351039056"/>
      <w:r>
        <w:t>Phase measurements</w:t>
      </w:r>
      <w:bookmarkEnd w:id="22"/>
    </w:p>
    <w:p w:rsidR="00D15964" w:rsidRDefault="00D15964" w:rsidP="009C1F11">
      <w:pPr>
        <w:rPr>
          <w:szCs w:val="24"/>
        </w:rPr>
      </w:pPr>
      <w:r>
        <w:rPr>
          <w:szCs w:val="24"/>
        </w:rPr>
        <w:t xml:space="preserve">The phase is measured to determine the beam energy from time-of-flight and to </w:t>
      </w:r>
      <w:r w:rsidR="000C0674">
        <w:rPr>
          <w:szCs w:val="24"/>
        </w:rPr>
        <w:t>p</w:t>
      </w:r>
      <w:r>
        <w:rPr>
          <w:szCs w:val="24"/>
        </w:rPr>
        <w:t xml:space="preserve">hase the bunching cavities. </w:t>
      </w:r>
    </w:p>
    <w:p w:rsidR="00AF46D3" w:rsidRDefault="00AF46D3" w:rsidP="00AF46D3">
      <w:pPr>
        <w:rPr>
          <w:szCs w:val="24"/>
        </w:rPr>
      </w:pPr>
      <w:r>
        <w:rPr>
          <w:szCs w:val="24"/>
        </w:rPr>
        <w:t xml:space="preserve">Phase is measured in degrees of 162.5 MHz (1º = </w:t>
      </w:r>
      <w:r w:rsidRPr="00E477F5">
        <w:rPr>
          <w:szCs w:val="24"/>
        </w:rPr>
        <w:t>0.01709</w:t>
      </w:r>
      <w:r>
        <w:rPr>
          <w:szCs w:val="24"/>
        </w:rPr>
        <w:t xml:space="preserve">ns). </w:t>
      </w:r>
    </w:p>
    <w:p w:rsidR="00741267" w:rsidRDefault="00741267" w:rsidP="009C1F11"/>
    <w:p w:rsidR="00741267" w:rsidRDefault="005867FE" w:rsidP="005867FE">
      <w:pPr>
        <w:pStyle w:val="Caption"/>
      </w:pPr>
      <w:proofErr w:type="gramStart"/>
      <w:r>
        <w:t xml:space="preserve">Table </w:t>
      </w:r>
      <w:proofErr w:type="gramEnd"/>
      <w:r>
        <w:fldChar w:fldCharType="begin"/>
      </w:r>
      <w:r>
        <w:instrText xml:space="preserve"> SEQ Table \* ARABIC </w:instrText>
      </w:r>
      <w:r>
        <w:fldChar w:fldCharType="separate"/>
      </w:r>
      <w:r w:rsidR="008728C7">
        <w:rPr>
          <w:noProof/>
        </w:rPr>
        <w:t>2</w:t>
      </w:r>
      <w:r>
        <w:fldChar w:fldCharType="end"/>
      </w:r>
      <w:proofErr w:type="gramStart"/>
      <w:r w:rsidR="00741267">
        <w:t>.</w:t>
      </w:r>
      <w:proofErr w:type="gramEnd"/>
      <w:r w:rsidR="00741267">
        <w:t xml:space="preserve">  </w:t>
      </w:r>
      <w:r>
        <w:t>Phase m</w:t>
      </w:r>
      <w:r w:rsidR="00741267">
        <w:t>easurement requirements</w:t>
      </w:r>
      <w:r w:rsidR="004C3AA4">
        <w:t>.</w:t>
      </w:r>
    </w:p>
    <w:tbl>
      <w:tblPr>
        <w:tblStyle w:val="TableGrid"/>
        <w:tblW w:w="84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1350"/>
        <w:gridCol w:w="1530"/>
        <w:gridCol w:w="1710"/>
      </w:tblGrid>
      <w:tr w:rsidR="00256246" w:rsidRPr="0028596B" w:rsidTr="00256246">
        <w:trPr>
          <w:trHeight w:val="246"/>
        </w:trPr>
        <w:tc>
          <w:tcPr>
            <w:tcW w:w="2520" w:type="dxa"/>
            <w:shd w:val="clear" w:color="auto" w:fill="EEECE1" w:themeFill="background2"/>
          </w:tcPr>
          <w:p w:rsidR="00256246" w:rsidRPr="0028596B" w:rsidRDefault="00256246" w:rsidP="00C011AD"/>
        </w:tc>
        <w:tc>
          <w:tcPr>
            <w:tcW w:w="1350" w:type="dxa"/>
            <w:shd w:val="clear" w:color="auto" w:fill="EEECE1" w:themeFill="background2"/>
          </w:tcPr>
          <w:p w:rsidR="00256246" w:rsidRDefault="00256246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Mode 1. </w:t>
            </w:r>
          </w:p>
          <w:p w:rsidR="00256246" w:rsidRPr="00F47246" w:rsidRDefault="00256246" w:rsidP="00C011AD">
            <w:pPr>
              <w:jc w:val="center"/>
            </w:pPr>
            <w:r>
              <w:t>CW-to-RS</w:t>
            </w:r>
          </w:p>
        </w:tc>
        <w:tc>
          <w:tcPr>
            <w:tcW w:w="1350" w:type="dxa"/>
            <w:shd w:val="clear" w:color="auto" w:fill="EEECE1" w:themeFill="background2"/>
          </w:tcPr>
          <w:p w:rsidR="00256246" w:rsidRPr="00F47246" w:rsidRDefault="00256246" w:rsidP="00B8198D">
            <w:pPr>
              <w:jc w:val="center"/>
            </w:pPr>
            <w:r w:rsidRPr="00A15E95">
              <w:t xml:space="preserve">Mode 2. </w:t>
            </w:r>
            <w:r>
              <w:t xml:space="preserve"> </w:t>
            </w:r>
            <w:r w:rsidRPr="00A15E95">
              <w:t>Pulse mode</w:t>
            </w:r>
          </w:p>
        </w:tc>
        <w:tc>
          <w:tcPr>
            <w:tcW w:w="1530" w:type="dxa"/>
            <w:shd w:val="clear" w:color="auto" w:fill="EEECE1" w:themeFill="background2"/>
          </w:tcPr>
          <w:p w:rsidR="00256246" w:rsidRPr="00F47246" w:rsidRDefault="00256246" w:rsidP="00C011AD">
            <w:pPr>
              <w:jc w:val="center"/>
            </w:pPr>
            <w:r w:rsidRPr="00667358">
              <w:t xml:space="preserve">Mode 3. Pre-chopped </w:t>
            </w:r>
            <w:r>
              <w:t>RS</w:t>
            </w:r>
          </w:p>
        </w:tc>
        <w:tc>
          <w:tcPr>
            <w:tcW w:w="1710" w:type="dxa"/>
            <w:shd w:val="clear" w:color="auto" w:fill="EEECE1" w:themeFill="background2"/>
          </w:tcPr>
          <w:p w:rsidR="00256246" w:rsidRDefault="00256246" w:rsidP="00C011AD">
            <w:pPr>
              <w:jc w:val="center"/>
            </w:pPr>
            <w:r>
              <w:t>Mode 4.</w:t>
            </w:r>
          </w:p>
          <w:p w:rsidR="00256246" w:rsidRPr="00667358" w:rsidRDefault="00256246" w:rsidP="00C011AD">
            <w:pPr>
              <w:jc w:val="center"/>
            </w:pPr>
            <w:r>
              <w:t>Sync. detection</w:t>
            </w:r>
          </w:p>
        </w:tc>
      </w:tr>
      <w:tr w:rsidR="00256246" w:rsidRPr="0028596B" w:rsidTr="00256246">
        <w:trPr>
          <w:trHeight w:val="260"/>
        </w:trPr>
        <w:tc>
          <w:tcPr>
            <w:tcW w:w="2520" w:type="dxa"/>
          </w:tcPr>
          <w:p w:rsidR="00256246" w:rsidRDefault="00256246" w:rsidP="00C011AD">
            <w:r>
              <w:rPr>
                <w:szCs w:val="24"/>
              </w:rPr>
              <w:t xml:space="preserve">Report frequency </w:t>
            </w:r>
          </w:p>
        </w:tc>
        <w:tc>
          <w:tcPr>
            <w:tcW w:w="1350" w:type="dxa"/>
          </w:tcPr>
          <w:p w:rsidR="00256246" w:rsidRPr="00E477F5" w:rsidRDefault="00256246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Hz</w:t>
            </w:r>
          </w:p>
        </w:tc>
        <w:tc>
          <w:tcPr>
            <w:tcW w:w="1350" w:type="dxa"/>
          </w:tcPr>
          <w:p w:rsidR="00256246" w:rsidRPr="00E477F5" w:rsidRDefault="00256246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Hz</w:t>
            </w:r>
          </w:p>
        </w:tc>
        <w:tc>
          <w:tcPr>
            <w:tcW w:w="1530" w:type="dxa"/>
          </w:tcPr>
          <w:p w:rsidR="00256246" w:rsidRPr="00E477F5" w:rsidRDefault="00256246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Hz</w:t>
            </w:r>
          </w:p>
        </w:tc>
        <w:tc>
          <w:tcPr>
            <w:tcW w:w="1710" w:type="dxa"/>
          </w:tcPr>
          <w:p w:rsidR="00256246" w:rsidRDefault="00256246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Hz</w:t>
            </w:r>
          </w:p>
        </w:tc>
      </w:tr>
      <w:tr w:rsidR="00256246" w:rsidRPr="0028596B" w:rsidTr="00256246">
        <w:trPr>
          <w:trHeight w:val="246"/>
        </w:trPr>
        <w:tc>
          <w:tcPr>
            <w:tcW w:w="2520" w:type="dxa"/>
          </w:tcPr>
          <w:p w:rsidR="00256246" w:rsidRPr="00EE6EC7" w:rsidRDefault="00256246" w:rsidP="00B8198D">
            <w:r>
              <w:rPr>
                <w:szCs w:val="24"/>
              </w:rPr>
              <w:t>Phase accuracy</w:t>
            </w:r>
            <w:r w:rsidR="00B8198D" w:rsidRPr="00EC1207">
              <w:rPr>
                <w:vertAlign w:val="superscript"/>
              </w:rPr>
              <w:t>§</w:t>
            </w:r>
          </w:p>
        </w:tc>
        <w:tc>
          <w:tcPr>
            <w:tcW w:w="1350" w:type="dxa"/>
          </w:tcPr>
          <w:p w:rsidR="00256246" w:rsidRDefault="00256246" w:rsidP="00C011AD">
            <w:pPr>
              <w:jc w:val="center"/>
            </w:pPr>
            <w:r>
              <w:t>3º</w:t>
            </w:r>
          </w:p>
        </w:tc>
        <w:tc>
          <w:tcPr>
            <w:tcW w:w="1350" w:type="dxa"/>
          </w:tcPr>
          <w:p w:rsidR="00256246" w:rsidRDefault="00256246" w:rsidP="00C011AD">
            <w:pPr>
              <w:jc w:val="center"/>
            </w:pPr>
            <w:r>
              <w:t>5º</w:t>
            </w:r>
            <w:r w:rsidR="00B8198D" w:rsidRPr="002F0AFB">
              <w:rPr>
                <w:szCs w:val="24"/>
                <w:vertAlign w:val="superscript"/>
              </w:rPr>
              <w:t>§§</w:t>
            </w:r>
          </w:p>
        </w:tc>
        <w:tc>
          <w:tcPr>
            <w:tcW w:w="1530" w:type="dxa"/>
          </w:tcPr>
          <w:p w:rsidR="00256246" w:rsidRDefault="00256246" w:rsidP="00C011AD">
            <w:pPr>
              <w:jc w:val="center"/>
            </w:pPr>
            <w:r>
              <w:t>3º</w:t>
            </w:r>
          </w:p>
        </w:tc>
        <w:tc>
          <w:tcPr>
            <w:tcW w:w="1710" w:type="dxa"/>
          </w:tcPr>
          <w:p w:rsidR="00256246" w:rsidRDefault="00256246" w:rsidP="00C011AD">
            <w:pPr>
              <w:jc w:val="center"/>
            </w:pPr>
          </w:p>
        </w:tc>
      </w:tr>
      <w:tr w:rsidR="00256246" w:rsidRPr="0028596B" w:rsidTr="00256246">
        <w:trPr>
          <w:trHeight w:val="246"/>
        </w:trPr>
        <w:tc>
          <w:tcPr>
            <w:tcW w:w="2520" w:type="dxa"/>
          </w:tcPr>
          <w:p w:rsidR="00256246" w:rsidRDefault="00256246" w:rsidP="00C011AD">
            <w:r>
              <w:rPr>
                <w:szCs w:val="24"/>
              </w:rPr>
              <w:t>Phase precision</w:t>
            </w:r>
            <w:r w:rsidRPr="00EC1207">
              <w:rPr>
                <w:vertAlign w:val="superscript"/>
              </w:rPr>
              <w:t>§§§</w:t>
            </w:r>
            <w:r>
              <w:rPr>
                <w:szCs w:val="24"/>
              </w:rPr>
              <w:t>, rms</w:t>
            </w:r>
          </w:p>
        </w:tc>
        <w:tc>
          <w:tcPr>
            <w:tcW w:w="1350" w:type="dxa"/>
          </w:tcPr>
          <w:p w:rsidR="00256246" w:rsidRDefault="00256246" w:rsidP="00C011AD">
            <w:pPr>
              <w:jc w:val="center"/>
            </w:pPr>
            <w:r>
              <w:t>1º</w:t>
            </w:r>
          </w:p>
        </w:tc>
        <w:tc>
          <w:tcPr>
            <w:tcW w:w="1350" w:type="dxa"/>
          </w:tcPr>
          <w:p w:rsidR="00256246" w:rsidRDefault="00256246" w:rsidP="00C011AD">
            <w:pPr>
              <w:jc w:val="center"/>
            </w:pPr>
            <w:r>
              <w:t>2º</w:t>
            </w:r>
            <w:r w:rsidR="00B8198D" w:rsidRPr="002F0AFB">
              <w:rPr>
                <w:szCs w:val="24"/>
                <w:vertAlign w:val="superscript"/>
              </w:rPr>
              <w:t>§§</w:t>
            </w:r>
          </w:p>
        </w:tc>
        <w:tc>
          <w:tcPr>
            <w:tcW w:w="1530" w:type="dxa"/>
          </w:tcPr>
          <w:p w:rsidR="00256246" w:rsidRDefault="00256246" w:rsidP="00C011AD">
            <w:pPr>
              <w:jc w:val="center"/>
            </w:pPr>
            <w:r>
              <w:t>1º</w:t>
            </w:r>
          </w:p>
        </w:tc>
        <w:tc>
          <w:tcPr>
            <w:tcW w:w="1710" w:type="dxa"/>
          </w:tcPr>
          <w:p w:rsidR="00256246" w:rsidRDefault="00256246" w:rsidP="00C011AD">
            <w:pPr>
              <w:jc w:val="center"/>
            </w:pPr>
            <w:r>
              <w:t>0.01º</w:t>
            </w:r>
            <w:r w:rsidRPr="0013779A">
              <w:rPr>
                <w:color w:val="000000"/>
                <w:szCs w:val="24"/>
                <w:vertAlign w:val="superscript"/>
              </w:rPr>
              <w:t xml:space="preserve"> §</w:t>
            </w:r>
            <w:r w:rsidRPr="00EC1207">
              <w:rPr>
                <w:vertAlign w:val="superscript"/>
              </w:rPr>
              <w:t>§§§</w:t>
            </w:r>
          </w:p>
        </w:tc>
      </w:tr>
    </w:tbl>
    <w:p w:rsidR="00741267" w:rsidRDefault="00741267" w:rsidP="00741267">
      <w:pPr>
        <w:rPr>
          <w:vertAlign w:val="superscript"/>
        </w:rPr>
      </w:pPr>
    </w:p>
    <w:p w:rsidR="00B8198D" w:rsidRDefault="00741267" w:rsidP="00741267">
      <w:pPr>
        <w:pStyle w:val="Caption"/>
      </w:pPr>
      <w:r w:rsidRPr="00EC1207">
        <w:rPr>
          <w:vertAlign w:val="superscript"/>
        </w:rPr>
        <w:t>§</w:t>
      </w:r>
      <w:r>
        <w:t xml:space="preserve"> </w:t>
      </w:r>
      <w:r w:rsidR="00B8198D">
        <w:rPr>
          <w:szCs w:val="24"/>
        </w:rPr>
        <w:t xml:space="preserve">For modes 1 -3, the absolute accuracy of phase measurements is specified relative a reference BPM </w:t>
      </w:r>
      <w:r w:rsidR="00B8198D" w:rsidRPr="002F0AFB">
        <w:rPr>
          <w:szCs w:val="24"/>
        </w:rPr>
        <w:t>(the first BPM in the M</w:t>
      </w:r>
      <w:r w:rsidR="00B8198D">
        <w:rPr>
          <w:szCs w:val="24"/>
        </w:rPr>
        <w:t>E</w:t>
      </w:r>
      <w:r w:rsidR="00B8198D" w:rsidRPr="002F0AFB">
        <w:rPr>
          <w:szCs w:val="24"/>
        </w:rPr>
        <w:t>BT).</w:t>
      </w:r>
      <w:r w:rsidR="00B8198D">
        <w:rPr>
          <w:szCs w:val="24"/>
        </w:rPr>
        <w:t xml:space="preserve"> </w:t>
      </w:r>
      <w:r w:rsidR="00B8198D">
        <w:t>In the Mode 4 (</w:t>
      </w:r>
      <w:r w:rsidR="00B8198D" w:rsidRPr="00667358">
        <w:t xml:space="preserve">Synchronous detection in </w:t>
      </w:r>
      <w:r w:rsidR="00B8198D">
        <w:t>the Repetitive Structure mode), the phase is reported relative to its unperturbed value.</w:t>
      </w:r>
    </w:p>
    <w:p w:rsidR="003F6102" w:rsidRDefault="00B8198D" w:rsidP="00741267">
      <w:pPr>
        <w:pStyle w:val="Caption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</w:t>
      </w:r>
    </w:p>
    <w:p w:rsidR="00B8198D" w:rsidRDefault="00741267" w:rsidP="00B8198D">
      <w:pPr>
        <w:pStyle w:val="Caption"/>
      </w:pPr>
      <w:proofErr w:type="gramStart"/>
      <w:r w:rsidRPr="002F0AFB">
        <w:rPr>
          <w:szCs w:val="24"/>
          <w:vertAlign w:val="superscript"/>
        </w:rPr>
        <w:t>§§</w:t>
      </w:r>
      <w:r w:rsidRPr="002F0AFB">
        <w:rPr>
          <w:szCs w:val="24"/>
        </w:rPr>
        <w:t xml:space="preserve"> </w:t>
      </w:r>
      <w:r w:rsidR="00B8198D">
        <w:t>When the MEBT kickers are turned off.</w:t>
      </w:r>
      <w:proofErr w:type="gramEnd"/>
      <w:r w:rsidR="00B8198D">
        <w:t xml:space="preserve"> The data are averaged over the pulse flattop only. </w:t>
      </w:r>
    </w:p>
    <w:p w:rsidR="00741267" w:rsidRDefault="00741267" w:rsidP="00741267">
      <w:pPr>
        <w:pStyle w:val="Caption"/>
        <w:rPr>
          <w:szCs w:val="24"/>
        </w:rPr>
      </w:pPr>
      <w:r>
        <w:t xml:space="preserve"> </w:t>
      </w:r>
    </w:p>
    <w:p w:rsidR="00741267" w:rsidRDefault="00741267" w:rsidP="00741267">
      <w:pPr>
        <w:pStyle w:val="Caption"/>
        <w:rPr>
          <w:szCs w:val="24"/>
        </w:rPr>
      </w:pPr>
      <w:r w:rsidRPr="0013779A">
        <w:rPr>
          <w:color w:val="000000"/>
          <w:szCs w:val="24"/>
          <w:vertAlign w:val="superscript"/>
        </w:rPr>
        <w:t>§</w:t>
      </w:r>
      <w:r w:rsidRPr="00EC1207">
        <w:rPr>
          <w:vertAlign w:val="superscript"/>
        </w:rPr>
        <w:t>§§</w:t>
      </w:r>
      <w:r>
        <w:rPr>
          <w:szCs w:val="24"/>
        </w:rPr>
        <w:t xml:space="preserve"> </w:t>
      </w:r>
      <w:r w:rsidRPr="0013779A">
        <w:rPr>
          <w:szCs w:val="24"/>
        </w:rPr>
        <w:t>The BPMs will be used</w:t>
      </w:r>
      <w:r>
        <w:rPr>
          <w:szCs w:val="24"/>
        </w:rPr>
        <w:t>, in part, for phasing of the bunching</w:t>
      </w:r>
      <w:r w:rsidRPr="0013779A">
        <w:rPr>
          <w:szCs w:val="24"/>
        </w:rPr>
        <w:t xml:space="preserve"> cavities</w:t>
      </w:r>
      <w:r w:rsidR="00256246">
        <w:rPr>
          <w:szCs w:val="24"/>
        </w:rPr>
        <w:t xml:space="preserve"> in Mode 2</w:t>
      </w:r>
      <w:r w:rsidRPr="0013779A">
        <w:rPr>
          <w:szCs w:val="24"/>
        </w:rPr>
        <w:t>. In this process, the bunch length will increas</w:t>
      </w:r>
      <w:r>
        <w:rPr>
          <w:szCs w:val="24"/>
        </w:rPr>
        <w:t>e</w:t>
      </w:r>
      <w:r w:rsidRPr="0013779A">
        <w:rPr>
          <w:szCs w:val="24"/>
        </w:rPr>
        <w:t xml:space="preserve"> to 45º</w:t>
      </w:r>
      <w:r>
        <w:rPr>
          <w:szCs w:val="24"/>
        </w:rPr>
        <w:t xml:space="preserve"> (rms)</w:t>
      </w:r>
      <w:r w:rsidRPr="0013779A">
        <w:rPr>
          <w:szCs w:val="24"/>
        </w:rPr>
        <w:t>.</w:t>
      </w:r>
      <w:r>
        <w:rPr>
          <w:szCs w:val="24"/>
        </w:rPr>
        <w:t xml:space="preserve"> </w:t>
      </w:r>
    </w:p>
    <w:p w:rsidR="00AF46D3" w:rsidRDefault="00AF46D3" w:rsidP="00AF46D3"/>
    <w:p w:rsidR="00256246" w:rsidRDefault="00256246" w:rsidP="00256246">
      <w:proofErr w:type="gramStart"/>
      <w:r w:rsidRPr="0013779A">
        <w:rPr>
          <w:color w:val="000000"/>
          <w:szCs w:val="24"/>
          <w:vertAlign w:val="superscript"/>
        </w:rPr>
        <w:t>§</w:t>
      </w:r>
      <w:r w:rsidRPr="00EC1207">
        <w:rPr>
          <w:vertAlign w:val="superscript"/>
        </w:rPr>
        <w:t>§§§</w:t>
      </w:r>
      <w:r>
        <w:rPr>
          <w:vertAlign w:val="superscript"/>
        </w:rPr>
        <w:t xml:space="preserve"> </w:t>
      </w:r>
      <w:r>
        <w:rPr>
          <w:sz w:val="22"/>
          <w:szCs w:val="24"/>
        </w:rPr>
        <w:t>For t</w:t>
      </w:r>
      <w:r w:rsidRPr="00256246">
        <w:rPr>
          <w:sz w:val="22"/>
          <w:szCs w:val="24"/>
        </w:rPr>
        <w:t xml:space="preserve">ypical phase deviation </w:t>
      </w:r>
      <w:r>
        <w:rPr>
          <w:sz w:val="22"/>
          <w:szCs w:val="24"/>
        </w:rPr>
        <w:t>of</w:t>
      </w:r>
      <w:r w:rsidRPr="00256246">
        <w:rPr>
          <w:sz w:val="22"/>
          <w:szCs w:val="24"/>
        </w:rPr>
        <w:t xml:space="preserve"> ~1º.</w:t>
      </w:r>
      <w:proofErr w:type="gramEnd"/>
    </w:p>
    <w:p w:rsidR="000C0674" w:rsidRDefault="000C0674" w:rsidP="009C1F11"/>
    <w:p w:rsidR="000C0674" w:rsidRDefault="00AF46D3" w:rsidP="00AF46D3">
      <w:pPr>
        <w:pStyle w:val="Heading3"/>
      </w:pPr>
      <w:bookmarkStart w:id="23" w:name="_Toc351039057"/>
      <w:r>
        <w:t>Position measurements</w:t>
      </w:r>
      <w:bookmarkEnd w:id="23"/>
    </w:p>
    <w:p w:rsidR="00D15964" w:rsidRDefault="00D15964" w:rsidP="009C1F11"/>
    <w:p w:rsidR="00805BBE" w:rsidRDefault="00181125" w:rsidP="00CD01B0">
      <w:pPr>
        <w:rPr>
          <w:szCs w:val="24"/>
        </w:rPr>
      </w:pPr>
      <w:r>
        <w:rPr>
          <w:szCs w:val="24"/>
        </w:rPr>
        <w:t xml:space="preserve">The BPM system reports in two regimes, “trajectory” and “bunch-by-bunch”. </w:t>
      </w:r>
    </w:p>
    <w:p w:rsidR="005867FE" w:rsidRDefault="005867FE" w:rsidP="00CD01B0">
      <w:pPr>
        <w:rPr>
          <w:szCs w:val="24"/>
        </w:rPr>
      </w:pPr>
    </w:p>
    <w:p w:rsidR="00805BBE" w:rsidRDefault="00CD01B0" w:rsidP="00CD01B0">
      <w:pPr>
        <w:rPr>
          <w:szCs w:val="24"/>
        </w:rPr>
      </w:pPr>
      <w:r>
        <w:rPr>
          <w:szCs w:val="24"/>
        </w:rPr>
        <w:t xml:space="preserve">In the trajectory regime, all BPMs report </w:t>
      </w:r>
      <w:r w:rsidR="009F4CAF">
        <w:rPr>
          <w:szCs w:val="24"/>
        </w:rPr>
        <w:t>the</w:t>
      </w:r>
      <w:r w:rsidR="00805BBE">
        <w:rPr>
          <w:szCs w:val="24"/>
        </w:rPr>
        <w:t xml:space="preserve"> data</w:t>
      </w:r>
      <w:r>
        <w:rPr>
          <w:szCs w:val="24"/>
        </w:rPr>
        <w:t xml:space="preserve"> averaged </w:t>
      </w:r>
      <w:r w:rsidR="005867FE">
        <w:rPr>
          <w:szCs w:val="24"/>
        </w:rPr>
        <w:t xml:space="preserve">over </w:t>
      </w:r>
      <w:r w:rsidR="00150D79">
        <w:rPr>
          <w:szCs w:val="24"/>
        </w:rPr>
        <w:t>all</w:t>
      </w:r>
      <w:r>
        <w:rPr>
          <w:szCs w:val="24"/>
        </w:rPr>
        <w:t xml:space="preserve"> bunches. </w:t>
      </w:r>
      <w:r w:rsidR="005867FE">
        <w:rPr>
          <w:szCs w:val="24"/>
        </w:rPr>
        <w:t xml:space="preserve">This regime is used for routine tuning of trajectories during operation and for optics measurements. </w:t>
      </w:r>
    </w:p>
    <w:p w:rsidR="005867FE" w:rsidRDefault="005867FE" w:rsidP="00CD01B0">
      <w:pPr>
        <w:rPr>
          <w:szCs w:val="24"/>
        </w:rPr>
      </w:pPr>
    </w:p>
    <w:p w:rsidR="00CD01B0" w:rsidRDefault="00CD01B0" w:rsidP="00CD01B0">
      <w:pPr>
        <w:rPr>
          <w:szCs w:val="24"/>
        </w:rPr>
      </w:pPr>
      <w:r>
        <w:rPr>
          <w:szCs w:val="24"/>
        </w:rPr>
        <w:t xml:space="preserve">In the bunch-by-bunch regime, </w:t>
      </w:r>
      <w:r w:rsidR="00150D79">
        <w:rPr>
          <w:szCs w:val="24"/>
        </w:rPr>
        <w:t>a</w:t>
      </w:r>
      <w:r>
        <w:rPr>
          <w:szCs w:val="24"/>
        </w:rPr>
        <w:t xml:space="preserve"> selected BPM reports data for each bucket position within the period. </w:t>
      </w:r>
      <w:r w:rsidR="00150D79">
        <w:rPr>
          <w:szCs w:val="24"/>
        </w:rPr>
        <w:t>There shall be 5 BPMs capable of reporting in this mode (starting from the first BPM after the first MEBT kicker and ending by the second BPM after the absorber).</w:t>
      </w:r>
      <w:r w:rsidR="005867FE">
        <w:rPr>
          <w:szCs w:val="24"/>
        </w:rPr>
        <w:t xml:space="preserve"> This regime is used for chopping system commissioning.</w:t>
      </w:r>
    </w:p>
    <w:p w:rsidR="008728C7" w:rsidRDefault="008728C7" w:rsidP="008728C7"/>
    <w:p w:rsidR="008728C7" w:rsidRDefault="008728C7" w:rsidP="008728C7">
      <w:r>
        <w:t xml:space="preserve">The requirements are listed, correspondingly, in </w:t>
      </w:r>
      <w:r>
        <w:fldChar w:fldCharType="begin"/>
      </w:r>
      <w:r>
        <w:instrText xml:space="preserve"> REF _Ref351038990 \h </w:instrText>
      </w:r>
      <w:r>
        <w:fldChar w:fldCharType="separate"/>
      </w:r>
      <w:r>
        <w:t xml:space="preserve">Table </w:t>
      </w:r>
      <w:r>
        <w:rPr>
          <w:noProof/>
        </w:rPr>
        <w:t>4</w:t>
      </w:r>
      <w:r>
        <w:fldChar w:fldCharType="end"/>
      </w:r>
      <w:r>
        <w:t xml:space="preserve"> and </w:t>
      </w:r>
      <w:r>
        <w:fldChar w:fldCharType="begin"/>
      </w:r>
      <w:r>
        <w:instrText xml:space="preserve"> REF _Ref351038996 \h </w:instrText>
      </w:r>
      <w:r>
        <w:fldChar w:fldCharType="separate"/>
      </w:r>
      <w:r>
        <w:t xml:space="preserve">Table </w:t>
      </w:r>
      <w:r>
        <w:rPr>
          <w:noProof/>
        </w:rPr>
        <w:t>5</w:t>
      </w:r>
      <w:r>
        <w:fldChar w:fldCharType="end"/>
      </w:r>
      <w:r>
        <w:t>.</w:t>
      </w:r>
    </w:p>
    <w:p w:rsidR="00A15E95" w:rsidRDefault="00A15E95" w:rsidP="00CD01B0">
      <w:pPr>
        <w:rPr>
          <w:szCs w:val="24"/>
        </w:rPr>
      </w:pPr>
    </w:p>
    <w:p w:rsidR="00CD01B0" w:rsidRDefault="00CD01B0" w:rsidP="00CD01B0">
      <w:pPr>
        <w:rPr>
          <w:szCs w:val="24"/>
        </w:rPr>
      </w:pPr>
    </w:p>
    <w:p w:rsidR="00CD01B0" w:rsidRDefault="00CD01B0" w:rsidP="00CD01B0">
      <w:pPr>
        <w:rPr>
          <w:szCs w:val="24"/>
        </w:rPr>
      </w:pPr>
    </w:p>
    <w:p w:rsidR="00CD01B0" w:rsidRDefault="00CD01B0" w:rsidP="00CD01B0">
      <w:pPr>
        <w:rPr>
          <w:szCs w:val="24"/>
        </w:rPr>
      </w:pPr>
    </w:p>
    <w:p w:rsidR="00A15E95" w:rsidRPr="00A15E95" w:rsidRDefault="00A15E95" w:rsidP="00A15E95"/>
    <w:p w:rsidR="00CD01B0" w:rsidRDefault="005867FE" w:rsidP="005867FE">
      <w:pPr>
        <w:pStyle w:val="Caption"/>
      </w:pPr>
      <w:bookmarkStart w:id="24" w:name="_Ref351038990"/>
      <w:proofErr w:type="gramStart"/>
      <w:r>
        <w:t xml:space="preserve">Table </w:t>
      </w:r>
      <w:proofErr w:type="gramEnd"/>
      <w:r>
        <w:fldChar w:fldCharType="begin"/>
      </w:r>
      <w:r>
        <w:instrText xml:space="preserve"> SEQ Table \* ARABIC </w:instrText>
      </w:r>
      <w:r>
        <w:fldChar w:fldCharType="separate"/>
      </w:r>
      <w:r w:rsidR="008728C7">
        <w:rPr>
          <w:noProof/>
        </w:rPr>
        <w:t>4</w:t>
      </w:r>
      <w:r>
        <w:fldChar w:fldCharType="end"/>
      </w:r>
      <w:bookmarkEnd w:id="24"/>
      <w:proofErr w:type="gramStart"/>
      <w:r w:rsidR="00CD01B0">
        <w:t>.</w:t>
      </w:r>
      <w:proofErr w:type="gramEnd"/>
      <w:r w:rsidR="00CD01B0">
        <w:t xml:space="preserve">  </w:t>
      </w:r>
      <w:proofErr w:type="gramStart"/>
      <w:r>
        <w:t>Position m</w:t>
      </w:r>
      <w:r w:rsidR="00CD01B0">
        <w:t>easurement requirements</w:t>
      </w:r>
      <w:r w:rsidR="00A15E95">
        <w:t xml:space="preserve"> </w:t>
      </w:r>
      <w:r w:rsidR="004C3AA4">
        <w:t>in</w:t>
      </w:r>
      <w:r>
        <w:t xml:space="preserve"> </w:t>
      </w:r>
      <w:r w:rsidR="004C3AA4">
        <w:t>t</w:t>
      </w:r>
      <w:r>
        <w:t>rajectory regime.</w:t>
      </w:r>
      <w:proofErr w:type="gramEnd"/>
    </w:p>
    <w:tbl>
      <w:tblPr>
        <w:tblStyle w:val="TableGrid"/>
        <w:tblW w:w="84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1350"/>
        <w:gridCol w:w="1530"/>
        <w:gridCol w:w="1710"/>
      </w:tblGrid>
      <w:tr w:rsidR="00497F7E" w:rsidRPr="00667358" w:rsidTr="00C011AD">
        <w:trPr>
          <w:trHeight w:val="246"/>
        </w:trPr>
        <w:tc>
          <w:tcPr>
            <w:tcW w:w="2520" w:type="dxa"/>
            <w:shd w:val="clear" w:color="auto" w:fill="EEECE1" w:themeFill="background2"/>
          </w:tcPr>
          <w:p w:rsidR="00497F7E" w:rsidRPr="0028596B" w:rsidRDefault="00497F7E" w:rsidP="00C011AD"/>
        </w:tc>
        <w:tc>
          <w:tcPr>
            <w:tcW w:w="1350" w:type="dxa"/>
            <w:shd w:val="clear" w:color="auto" w:fill="EEECE1" w:themeFill="background2"/>
          </w:tcPr>
          <w:p w:rsidR="00497F7E" w:rsidRDefault="00497F7E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Mode 1. </w:t>
            </w:r>
          </w:p>
          <w:p w:rsidR="00497F7E" w:rsidRPr="00F47246" w:rsidRDefault="00497F7E" w:rsidP="00C011AD">
            <w:pPr>
              <w:jc w:val="center"/>
            </w:pPr>
            <w:r>
              <w:t>CW-to-RS</w:t>
            </w:r>
          </w:p>
        </w:tc>
        <w:tc>
          <w:tcPr>
            <w:tcW w:w="1350" w:type="dxa"/>
            <w:shd w:val="clear" w:color="auto" w:fill="EEECE1" w:themeFill="background2"/>
          </w:tcPr>
          <w:p w:rsidR="00497F7E" w:rsidRPr="00F47246" w:rsidRDefault="00497F7E" w:rsidP="004C3AA4">
            <w:pPr>
              <w:jc w:val="center"/>
            </w:pPr>
            <w:r w:rsidRPr="00A15E95">
              <w:t xml:space="preserve">Mode 2. </w:t>
            </w:r>
            <w:r>
              <w:t xml:space="preserve"> </w:t>
            </w:r>
            <w:r w:rsidRPr="00A15E95">
              <w:t>Pulse mode</w:t>
            </w:r>
          </w:p>
        </w:tc>
        <w:tc>
          <w:tcPr>
            <w:tcW w:w="1530" w:type="dxa"/>
            <w:shd w:val="clear" w:color="auto" w:fill="EEECE1" w:themeFill="background2"/>
          </w:tcPr>
          <w:p w:rsidR="00497F7E" w:rsidRPr="00F47246" w:rsidRDefault="00497F7E" w:rsidP="00C011AD">
            <w:pPr>
              <w:jc w:val="center"/>
            </w:pPr>
            <w:r w:rsidRPr="00667358">
              <w:t xml:space="preserve">Mode 3. Pre-chopped </w:t>
            </w:r>
            <w:r>
              <w:t>RS</w:t>
            </w:r>
          </w:p>
        </w:tc>
        <w:tc>
          <w:tcPr>
            <w:tcW w:w="1710" w:type="dxa"/>
            <w:shd w:val="clear" w:color="auto" w:fill="EEECE1" w:themeFill="background2"/>
          </w:tcPr>
          <w:p w:rsidR="00497F7E" w:rsidRDefault="00497F7E" w:rsidP="00C011AD">
            <w:pPr>
              <w:jc w:val="center"/>
            </w:pPr>
            <w:r>
              <w:t>Mode 4.</w:t>
            </w:r>
          </w:p>
          <w:p w:rsidR="00497F7E" w:rsidRPr="00667358" w:rsidRDefault="00497F7E" w:rsidP="00C011AD">
            <w:pPr>
              <w:jc w:val="center"/>
            </w:pPr>
            <w:r>
              <w:t>Sync. detection</w:t>
            </w:r>
          </w:p>
        </w:tc>
      </w:tr>
      <w:tr w:rsidR="001C6D6A" w:rsidTr="00C011AD">
        <w:trPr>
          <w:trHeight w:val="260"/>
        </w:trPr>
        <w:tc>
          <w:tcPr>
            <w:tcW w:w="2520" w:type="dxa"/>
          </w:tcPr>
          <w:p w:rsidR="001C6D6A" w:rsidRDefault="001C6D6A" w:rsidP="00C011AD">
            <w:r>
              <w:rPr>
                <w:szCs w:val="24"/>
              </w:rPr>
              <w:t xml:space="preserve">Report frequency </w:t>
            </w:r>
          </w:p>
        </w:tc>
        <w:tc>
          <w:tcPr>
            <w:tcW w:w="1350" w:type="dxa"/>
          </w:tcPr>
          <w:p w:rsidR="001C6D6A" w:rsidRPr="00E477F5" w:rsidRDefault="001C6D6A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Hz</w:t>
            </w:r>
          </w:p>
        </w:tc>
        <w:tc>
          <w:tcPr>
            <w:tcW w:w="1350" w:type="dxa"/>
          </w:tcPr>
          <w:p w:rsidR="001C6D6A" w:rsidRPr="00E477F5" w:rsidRDefault="001C6D6A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Hz</w:t>
            </w:r>
          </w:p>
        </w:tc>
        <w:tc>
          <w:tcPr>
            <w:tcW w:w="1530" w:type="dxa"/>
          </w:tcPr>
          <w:p w:rsidR="001C6D6A" w:rsidRPr="00E477F5" w:rsidRDefault="001C6D6A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Hz</w:t>
            </w:r>
          </w:p>
        </w:tc>
        <w:tc>
          <w:tcPr>
            <w:tcW w:w="1710" w:type="dxa"/>
          </w:tcPr>
          <w:p w:rsidR="001C6D6A" w:rsidRDefault="001C6D6A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Hz</w:t>
            </w:r>
          </w:p>
        </w:tc>
      </w:tr>
      <w:tr w:rsidR="001C6D6A" w:rsidTr="00C011AD">
        <w:trPr>
          <w:trHeight w:val="246"/>
        </w:trPr>
        <w:tc>
          <w:tcPr>
            <w:tcW w:w="2520" w:type="dxa"/>
          </w:tcPr>
          <w:p w:rsidR="001C6D6A" w:rsidRDefault="001C6D6A" w:rsidP="00C011AD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Position accuracy</w:t>
            </w:r>
            <w:r w:rsidRPr="00EC1207">
              <w:rPr>
                <w:vertAlign w:val="superscript"/>
              </w:rPr>
              <w:t>§</w:t>
            </w:r>
          </w:p>
        </w:tc>
        <w:tc>
          <w:tcPr>
            <w:tcW w:w="1350" w:type="dxa"/>
          </w:tcPr>
          <w:p w:rsidR="001C6D6A" w:rsidRPr="00E477F5" w:rsidRDefault="001C6D6A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µm</w:t>
            </w:r>
            <w:r w:rsidR="00A77F03" w:rsidRPr="00EC1207">
              <w:rPr>
                <w:vertAlign w:val="superscript"/>
              </w:rPr>
              <w:t>§§</w:t>
            </w:r>
          </w:p>
        </w:tc>
        <w:tc>
          <w:tcPr>
            <w:tcW w:w="1350" w:type="dxa"/>
          </w:tcPr>
          <w:p w:rsidR="001C6D6A" w:rsidRPr="00E477F5" w:rsidRDefault="001C6D6A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 µm</w:t>
            </w:r>
            <w:r w:rsidR="00A77F03" w:rsidRPr="00EC1207">
              <w:rPr>
                <w:vertAlign w:val="superscript"/>
              </w:rPr>
              <w:t>§§§</w:t>
            </w:r>
          </w:p>
        </w:tc>
        <w:tc>
          <w:tcPr>
            <w:tcW w:w="1530" w:type="dxa"/>
          </w:tcPr>
          <w:p w:rsidR="001C6D6A" w:rsidRPr="00E477F5" w:rsidRDefault="001C6D6A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µm</w:t>
            </w:r>
          </w:p>
        </w:tc>
        <w:tc>
          <w:tcPr>
            <w:tcW w:w="1710" w:type="dxa"/>
          </w:tcPr>
          <w:p w:rsidR="001C6D6A" w:rsidRDefault="001C6D6A" w:rsidP="00C011AD">
            <w:pPr>
              <w:jc w:val="center"/>
            </w:pPr>
          </w:p>
        </w:tc>
      </w:tr>
      <w:tr w:rsidR="001C6D6A" w:rsidTr="00C011AD">
        <w:trPr>
          <w:trHeight w:val="246"/>
        </w:trPr>
        <w:tc>
          <w:tcPr>
            <w:tcW w:w="2520" w:type="dxa"/>
          </w:tcPr>
          <w:p w:rsidR="001C6D6A" w:rsidRDefault="001C6D6A" w:rsidP="00C011AD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Position precision, rms</w:t>
            </w:r>
          </w:p>
        </w:tc>
        <w:tc>
          <w:tcPr>
            <w:tcW w:w="1350" w:type="dxa"/>
          </w:tcPr>
          <w:p w:rsidR="001C6D6A" w:rsidRPr="00E477F5" w:rsidRDefault="001C6D6A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µm</w:t>
            </w:r>
            <w:r w:rsidR="004C3AA4" w:rsidRPr="00EC1207">
              <w:rPr>
                <w:vertAlign w:val="superscript"/>
              </w:rPr>
              <w:t>§§</w:t>
            </w:r>
          </w:p>
        </w:tc>
        <w:tc>
          <w:tcPr>
            <w:tcW w:w="1350" w:type="dxa"/>
          </w:tcPr>
          <w:p w:rsidR="001C6D6A" w:rsidRPr="00E477F5" w:rsidRDefault="001C6D6A" w:rsidP="00A77F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µm</w:t>
            </w:r>
            <w:r w:rsidR="00A77F03" w:rsidRPr="00EC1207">
              <w:rPr>
                <w:vertAlign w:val="superscript"/>
              </w:rPr>
              <w:t>§§§</w:t>
            </w:r>
          </w:p>
        </w:tc>
        <w:tc>
          <w:tcPr>
            <w:tcW w:w="1530" w:type="dxa"/>
          </w:tcPr>
          <w:p w:rsidR="001C6D6A" w:rsidRPr="00E477F5" w:rsidRDefault="001C6D6A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µm</w:t>
            </w:r>
          </w:p>
        </w:tc>
        <w:tc>
          <w:tcPr>
            <w:tcW w:w="1710" w:type="dxa"/>
          </w:tcPr>
          <w:p w:rsidR="001C6D6A" w:rsidRDefault="001C6D6A" w:rsidP="00C011AD">
            <w:pPr>
              <w:jc w:val="center"/>
            </w:pPr>
            <w:r>
              <w:t xml:space="preserve">1 </w:t>
            </w:r>
            <w:r>
              <w:rPr>
                <w:szCs w:val="24"/>
              </w:rPr>
              <w:t>µm</w:t>
            </w:r>
            <w:r w:rsidR="004C3AA4" w:rsidRPr="0013779A">
              <w:rPr>
                <w:color w:val="000000"/>
                <w:szCs w:val="24"/>
                <w:vertAlign w:val="superscript"/>
              </w:rPr>
              <w:t>§</w:t>
            </w:r>
            <w:r w:rsidR="004C3AA4" w:rsidRPr="00EC1207">
              <w:rPr>
                <w:vertAlign w:val="superscript"/>
              </w:rPr>
              <w:t>§</w:t>
            </w:r>
            <w:r w:rsidR="00A77F03" w:rsidRPr="00EC1207">
              <w:rPr>
                <w:vertAlign w:val="superscript"/>
              </w:rPr>
              <w:t>§</w:t>
            </w:r>
            <w:r w:rsidR="004C3AA4" w:rsidRPr="00EC1207">
              <w:rPr>
                <w:vertAlign w:val="superscript"/>
              </w:rPr>
              <w:t>§</w:t>
            </w:r>
          </w:p>
        </w:tc>
      </w:tr>
      <w:tr w:rsidR="001C6D6A" w:rsidTr="00C011AD">
        <w:trPr>
          <w:trHeight w:val="246"/>
        </w:trPr>
        <w:tc>
          <w:tcPr>
            <w:tcW w:w="2520" w:type="dxa"/>
          </w:tcPr>
          <w:p w:rsidR="001C6D6A" w:rsidRDefault="001C6D6A" w:rsidP="00C011AD">
            <w:pPr>
              <w:rPr>
                <w:szCs w:val="24"/>
              </w:rPr>
            </w:pPr>
            <w:r>
              <w:rPr>
                <w:szCs w:val="24"/>
              </w:rPr>
              <w:t>Stability (week)</w:t>
            </w:r>
          </w:p>
        </w:tc>
        <w:tc>
          <w:tcPr>
            <w:tcW w:w="1350" w:type="dxa"/>
          </w:tcPr>
          <w:p w:rsidR="001C6D6A" w:rsidRPr="00E477F5" w:rsidRDefault="001C6D6A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µm</w:t>
            </w:r>
          </w:p>
        </w:tc>
        <w:tc>
          <w:tcPr>
            <w:tcW w:w="1350" w:type="dxa"/>
          </w:tcPr>
          <w:p w:rsidR="001C6D6A" w:rsidRPr="00E477F5" w:rsidRDefault="001C6D6A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µm</w:t>
            </w:r>
          </w:p>
        </w:tc>
        <w:tc>
          <w:tcPr>
            <w:tcW w:w="1530" w:type="dxa"/>
          </w:tcPr>
          <w:p w:rsidR="001C6D6A" w:rsidRPr="00E477F5" w:rsidRDefault="001C6D6A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µm</w:t>
            </w:r>
          </w:p>
        </w:tc>
        <w:tc>
          <w:tcPr>
            <w:tcW w:w="1710" w:type="dxa"/>
          </w:tcPr>
          <w:p w:rsidR="001C6D6A" w:rsidRDefault="001C6D6A" w:rsidP="00C011AD">
            <w:pPr>
              <w:jc w:val="center"/>
            </w:pPr>
          </w:p>
        </w:tc>
      </w:tr>
    </w:tbl>
    <w:p w:rsidR="001C6D6A" w:rsidRDefault="001C6D6A" w:rsidP="00BA4E4B">
      <w:pPr>
        <w:rPr>
          <w:vertAlign w:val="superscript"/>
        </w:rPr>
      </w:pPr>
    </w:p>
    <w:p w:rsidR="001C6D6A" w:rsidRDefault="001C6D6A" w:rsidP="001C6D6A">
      <w:pPr>
        <w:pStyle w:val="Caption"/>
      </w:pPr>
      <w:r w:rsidRPr="00EC1207">
        <w:rPr>
          <w:vertAlign w:val="superscript"/>
        </w:rPr>
        <w:t>§</w:t>
      </w:r>
      <w:r w:rsidRPr="001C6D6A">
        <w:t xml:space="preserve"> </w:t>
      </w:r>
      <w:r>
        <w:t>In the Mode 4 (</w:t>
      </w:r>
      <w:r w:rsidRPr="00667358">
        <w:t xml:space="preserve">Synchronous detection in </w:t>
      </w:r>
      <w:r>
        <w:t>the Repetitive Structure mode), the p</w:t>
      </w:r>
      <w:r w:rsidR="00A77F03">
        <w:t>osition</w:t>
      </w:r>
      <w:r>
        <w:t xml:space="preserve"> is reported relative to its unperturbed value.</w:t>
      </w:r>
    </w:p>
    <w:p w:rsidR="004C3AA4" w:rsidRDefault="004C3AA4" w:rsidP="004C3AA4"/>
    <w:p w:rsidR="00A77F03" w:rsidRDefault="00A77F03" w:rsidP="00B8198D">
      <w:pPr>
        <w:pStyle w:val="Caption"/>
      </w:pPr>
      <w:proofErr w:type="gramStart"/>
      <w:r w:rsidRPr="00EC1207">
        <w:rPr>
          <w:vertAlign w:val="superscript"/>
        </w:rPr>
        <w:t>§§§</w:t>
      </w:r>
      <w:r>
        <w:t xml:space="preserve"> Excluding the region with two trajectories (labeled B in </w:t>
      </w:r>
      <w:r>
        <w:fldChar w:fldCharType="begin"/>
      </w:r>
      <w:r>
        <w:instrText xml:space="preserve"> REF _Ref347998557 \h </w:instrText>
      </w:r>
      <w:r w:rsidR="00B8198D">
        <w:instrText xml:space="preserve"> \* MERGEFORMAT </w:instrText>
      </w:r>
      <w:r>
        <w:fldChar w:fldCharType="separate"/>
      </w:r>
      <w:r w:rsidRPr="00BF48D4">
        <w:t>Figure 1</w:t>
      </w:r>
      <w:r>
        <w:fldChar w:fldCharType="end"/>
      </w:r>
      <w:r>
        <w:t>).</w:t>
      </w:r>
      <w:proofErr w:type="gramEnd"/>
    </w:p>
    <w:p w:rsidR="00A77F03" w:rsidRPr="004C3AA4" w:rsidRDefault="00A77F03" w:rsidP="004C3AA4"/>
    <w:p w:rsidR="004C3AA4" w:rsidRDefault="004C3AA4" w:rsidP="004C3AA4">
      <w:pPr>
        <w:pStyle w:val="Caption"/>
      </w:pPr>
      <w:proofErr w:type="gramStart"/>
      <w:r w:rsidRPr="00EC1207">
        <w:rPr>
          <w:vertAlign w:val="superscript"/>
        </w:rPr>
        <w:t>§</w:t>
      </w:r>
      <w:r w:rsidR="00A77F03" w:rsidRPr="00EC1207">
        <w:rPr>
          <w:vertAlign w:val="superscript"/>
        </w:rPr>
        <w:t>§</w:t>
      </w:r>
      <w:r w:rsidRPr="00EC1207">
        <w:rPr>
          <w:vertAlign w:val="superscript"/>
        </w:rPr>
        <w:t>§</w:t>
      </w:r>
      <w:r>
        <w:t xml:space="preserve"> </w:t>
      </w:r>
      <w:r w:rsidR="00B8198D">
        <w:t>When the MEBT kickers are turned off.</w:t>
      </w:r>
      <w:proofErr w:type="gramEnd"/>
      <w:r w:rsidR="00B8198D">
        <w:t xml:space="preserve"> The data are averaged over the pulse flattop only.</w:t>
      </w:r>
    </w:p>
    <w:p w:rsidR="003F6102" w:rsidRPr="003F6102" w:rsidRDefault="003F6102" w:rsidP="003F6102"/>
    <w:p w:rsidR="003F6102" w:rsidRDefault="003F6102" w:rsidP="003F6102">
      <w:proofErr w:type="gramStart"/>
      <w:r w:rsidRPr="0013779A">
        <w:rPr>
          <w:color w:val="000000"/>
          <w:szCs w:val="24"/>
          <w:vertAlign w:val="superscript"/>
        </w:rPr>
        <w:t>§</w:t>
      </w:r>
      <w:r w:rsidRPr="00EC1207">
        <w:rPr>
          <w:vertAlign w:val="superscript"/>
        </w:rPr>
        <w:t>§</w:t>
      </w:r>
      <w:r w:rsidR="00A77F03" w:rsidRPr="00EC1207">
        <w:rPr>
          <w:vertAlign w:val="superscript"/>
        </w:rPr>
        <w:t>§</w:t>
      </w:r>
      <w:r w:rsidRPr="00EC1207">
        <w:rPr>
          <w:vertAlign w:val="superscript"/>
        </w:rPr>
        <w:t>§</w:t>
      </w:r>
      <w:r>
        <w:rPr>
          <w:vertAlign w:val="superscript"/>
        </w:rPr>
        <w:t xml:space="preserve"> </w:t>
      </w:r>
      <w:r>
        <w:rPr>
          <w:sz w:val="22"/>
          <w:szCs w:val="24"/>
        </w:rPr>
        <w:t>For t</w:t>
      </w:r>
      <w:r w:rsidRPr="00256246">
        <w:rPr>
          <w:sz w:val="22"/>
          <w:szCs w:val="24"/>
        </w:rPr>
        <w:t xml:space="preserve">ypical </w:t>
      </w:r>
      <w:r>
        <w:rPr>
          <w:sz w:val="22"/>
          <w:szCs w:val="24"/>
        </w:rPr>
        <w:t>position</w:t>
      </w:r>
      <w:r w:rsidRPr="00256246">
        <w:rPr>
          <w:sz w:val="22"/>
          <w:szCs w:val="24"/>
        </w:rPr>
        <w:t xml:space="preserve"> deviation </w:t>
      </w:r>
      <w:r>
        <w:rPr>
          <w:sz w:val="22"/>
          <w:szCs w:val="24"/>
        </w:rPr>
        <w:t>of</w:t>
      </w:r>
      <w:r w:rsidRPr="00256246">
        <w:rPr>
          <w:sz w:val="22"/>
          <w:szCs w:val="24"/>
        </w:rPr>
        <w:t xml:space="preserve"> ~</w:t>
      </w:r>
      <w:r>
        <w:rPr>
          <w:sz w:val="22"/>
          <w:szCs w:val="24"/>
        </w:rPr>
        <w:t>0.1 mm</w:t>
      </w:r>
      <w:r w:rsidRPr="00256246">
        <w:rPr>
          <w:sz w:val="22"/>
          <w:szCs w:val="24"/>
        </w:rPr>
        <w:t>.</w:t>
      </w:r>
      <w:proofErr w:type="gramEnd"/>
    </w:p>
    <w:p w:rsidR="00BA4E4B" w:rsidRDefault="00BA4E4B" w:rsidP="00BA4E4B"/>
    <w:p w:rsidR="003F6102" w:rsidRDefault="003F6102" w:rsidP="003F6102">
      <w:pPr>
        <w:pStyle w:val="Caption"/>
      </w:pPr>
      <w:bookmarkStart w:id="25" w:name="_Ref351038996"/>
      <w:proofErr w:type="gramStart"/>
      <w:r>
        <w:t xml:space="preserve">Table </w:t>
      </w:r>
      <w:proofErr w:type="gramEnd"/>
      <w:r>
        <w:fldChar w:fldCharType="begin"/>
      </w:r>
      <w:r>
        <w:instrText xml:space="preserve"> SEQ Table \* ARABIC </w:instrText>
      </w:r>
      <w:r>
        <w:fldChar w:fldCharType="separate"/>
      </w:r>
      <w:r w:rsidR="008728C7">
        <w:rPr>
          <w:noProof/>
        </w:rPr>
        <w:t>5</w:t>
      </w:r>
      <w:r>
        <w:fldChar w:fldCharType="end"/>
      </w:r>
      <w:bookmarkEnd w:id="25"/>
      <w:proofErr w:type="gramStart"/>
      <w:r>
        <w:t>.</w:t>
      </w:r>
      <w:proofErr w:type="gramEnd"/>
      <w:r>
        <w:t xml:space="preserve">  </w:t>
      </w:r>
      <w:proofErr w:type="gramStart"/>
      <w:r>
        <w:t xml:space="preserve">Position measurement requirements </w:t>
      </w:r>
      <w:r w:rsidR="004C3AA4">
        <w:t>in bunch-by-bunch</w:t>
      </w:r>
      <w:r>
        <w:t xml:space="preserve"> regime.</w:t>
      </w:r>
      <w:proofErr w:type="gramEnd"/>
    </w:p>
    <w:tbl>
      <w:tblPr>
        <w:tblStyle w:val="TableGrid"/>
        <w:tblW w:w="522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1350"/>
      </w:tblGrid>
      <w:tr w:rsidR="004C3AA4" w:rsidRPr="00667358" w:rsidTr="004C3AA4">
        <w:trPr>
          <w:trHeight w:val="246"/>
        </w:trPr>
        <w:tc>
          <w:tcPr>
            <w:tcW w:w="2520" w:type="dxa"/>
            <w:shd w:val="clear" w:color="auto" w:fill="EEECE1" w:themeFill="background2"/>
          </w:tcPr>
          <w:p w:rsidR="004C3AA4" w:rsidRPr="0028596B" w:rsidRDefault="004C3AA4" w:rsidP="00C011AD"/>
        </w:tc>
        <w:tc>
          <w:tcPr>
            <w:tcW w:w="1350" w:type="dxa"/>
            <w:shd w:val="clear" w:color="auto" w:fill="EEECE1" w:themeFill="background2"/>
          </w:tcPr>
          <w:p w:rsidR="004C3AA4" w:rsidRDefault="004C3AA4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Mode 1. </w:t>
            </w:r>
          </w:p>
          <w:p w:rsidR="004C3AA4" w:rsidRPr="00F47246" w:rsidRDefault="004C3AA4" w:rsidP="00C011AD">
            <w:pPr>
              <w:jc w:val="center"/>
            </w:pPr>
            <w:r>
              <w:t>CW-to-RS</w:t>
            </w:r>
          </w:p>
        </w:tc>
        <w:tc>
          <w:tcPr>
            <w:tcW w:w="1350" w:type="dxa"/>
            <w:shd w:val="clear" w:color="auto" w:fill="EEECE1" w:themeFill="background2"/>
          </w:tcPr>
          <w:p w:rsidR="004C3AA4" w:rsidRPr="00F47246" w:rsidRDefault="004C3AA4" w:rsidP="00C011AD">
            <w:pPr>
              <w:jc w:val="center"/>
            </w:pPr>
            <w:r w:rsidRPr="00A15E95">
              <w:t xml:space="preserve">Mode 2. </w:t>
            </w:r>
            <w:r>
              <w:t xml:space="preserve"> </w:t>
            </w:r>
            <w:r w:rsidRPr="00A15E95">
              <w:t>Pulse mode</w:t>
            </w:r>
          </w:p>
        </w:tc>
      </w:tr>
      <w:tr w:rsidR="004C3AA4" w:rsidTr="004C3AA4">
        <w:trPr>
          <w:trHeight w:val="260"/>
        </w:trPr>
        <w:tc>
          <w:tcPr>
            <w:tcW w:w="2520" w:type="dxa"/>
          </w:tcPr>
          <w:p w:rsidR="004C3AA4" w:rsidRDefault="004C3AA4" w:rsidP="00C011AD">
            <w:r>
              <w:rPr>
                <w:szCs w:val="24"/>
              </w:rPr>
              <w:t xml:space="preserve">Report frequency </w:t>
            </w:r>
          </w:p>
        </w:tc>
        <w:tc>
          <w:tcPr>
            <w:tcW w:w="1350" w:type="dxa"/>
          </w:tcPr>
          <w:p w:rsidR="004C3AA4" w:rsidRPr="00E477F5" w:rsidRDefault="004C3AA4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Hz</w:t>
            </w:r>
          </w:p>
        </w:tc>
        <w:tc>
          <w:tcPr>
            <w:tcW w:w="1350" w:type="dxa"/>
          </w:tcPr>
          <w:p w:rsidR="004C3AA4" w:rsidRPr="00E477F5" w:rsidRDefault="004C3AA4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Hz</w:t>
            </w:r>
          </w:p>
        </w:tc>
        <w:bookmarkStart w:id="26" w:name="_GoBack"/>
        <w:bookmarkEnd w:id="26"/>
      </w:tr>
      <w:tr w:rsidR="004C3AA4" w:rsidTr="004C3AA4">
        <w:trPr>
          <w:trHeight w:val="246"/>
        </w:trPr>
        <w:tc>
          <w:tcPr>
            <w:tcW w:w="2520" w:type="dxa"/>
          </w:tcPr>
          <w:p w:rsidR="004C3AA4" w:rsidRDefault="004C3AA4" w:rsidP="00C011AD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Position accuracy</w:t>
            </w:r>
          </w:p>
        </w:tc>
        <w:tc>
          <w:tcPr>
            <w:tcW w:w="1350" w:type="dxa"/>
          </w:tcPr>
          <w:p w:rsidR="004C3AA4" w:rsidRPr="00E477F5" w:rsidRDefault="004C3AA4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µm</w:t>
            </w:r>
          </w:p>
        </w:tc>
        <w:tc>
          <w:tcPr>
            <w:tcW w:w="1350" w:type="dxa"/>
          </w:tcPr>
          <w:p w:rsidR="004C3AA4" w:rsidRPr="00E477F5" w:rsidRDefault="004C3AA4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 µm</w:t>
            </w:r>
          </w:p>
        </w:tc>
      </w:tr>
      <w:tr w:rsidR="004C3AA4" w:rsidTr="004C3AA4">
        <w:trPr>
          <w:trHeight w:val="246"/>
        </w:trPr>
        <w:tc>
          <w:tcPr>
            <w:tcW w:w="2520" w:type="dxa"/>
          </w:tcPr>
          <w:p w:rsidR="004C3AA4" w:rsidRDefault="004C3AA4" w:rsidP="00C011AD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Position precision, rms</w:t>
            </w:r>
          </w:p>
        </w:tc>
        <w:tc>
          <w:tcPr>
            <w:tcW w:w="1350" w:type="dxa"/>
          </w:tcPr>
          <w:p w:rsidR="004C3AA4" w:rsidRPr="00E477F5" w:rsidRDefault="008728C7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4C3AA4">
              <w:rPr>
                <w:szCs w:val="24"/>
              </w:rPr>
              <w:t xml:space="preserve"> µm</w:t>
            </w:r>
          </w:p>
        </w:tc>
        <w:tc>
          <w:tcPr>
            <w:tcW w:w="1350" w:type="dxa"/>
          </w:tcPr>
          <w:p w:rsidR="004C3AA4" w:rsidRPr="00E477F5" w:rsidRDefault="008728C7" w:rsidP="00C011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C3AA4">
              <w:rPr>
                <w:szCs w:val="24"/>
              </w:rPr>
              <w:t>0 µm</w:t>
            </w:r>
          </w:p>
        </w:tc>
      </w:tr>
    </w:tbl>
    <w:p w:rsidR="001C6D6A" w:rsidRDefault="001C6D6A" w:rsidP="00BA4E4B"/>
    <w:p w:rsidR="00DA6391" w:rsidRDefault="00DA6391" w:rsidP="00DA6391">
      <w:pPr>
        <w:pStyle w:val="Heading3"/>
      </w:pPr>
      <w:bookmarkStart w:id="27" w:name="_Toc351039058"/>
      <w:r>
        <w:t>Intensity measurements</w:t>
      </w:r>
      <w:bookmarkEnd w:id="27"/>
    </w:p>
    <w:p w:rsidR="00DA6391" w:rsidRDefault="00DA6391" w:rsidP="00150D79">
      <w:pPr>
        <w:rPr>
          <w:szCs w:val="24"/>
        </w:rPr>
      </w:pPr>
    </w:p>
    <w:p w:rsidR="008728C7" w:rsidRDefault="00150D79" w:rsidP="008728C7">
      <w:pPr>
        <w:rPr>
          <w:szCs w:val="24"/>
        </w:rPr>
      </w:pPr>
      <w:r>
        <w:rPr>
          <w:szCs w:val="24"/>
        </w:rPr>
        <w:t>Intensity is not calibrated in absolute units and is used only for comparison, depending on the regime, between BPMs or between buckets.</w:t>
      </w:r>
      <w:r w:rsidR="008728C7">
        <w:rPr>
          <w:szCs w:val="24"/>
        </w:rPr>
        <w:t xml:space="preserve"> The report frequency is the same as for the position measurements.</w:t>
      </w:r>
    </w:p>
    <w:p w:rsidR="008728C7" w:rsidRDefault="008728C7" w:rsidP="00150D79">
      <w:pPr>
        <w:rPr>
          <w:szCs w:val="24"/>
        </w:rPr>
      </w:pPr>
    </w:p>
    <w:p w:rsidR="008728C7" w:rsidRDefault="00AA21F8" w:rsidP="00150D79">
      <w:pPr>
        <w:rPr>
          <w:szCs w:val="24"/>
        </w:rPr>
      </w:pPr>
      <w:r>
        <w:rPr>
          <w:szCs w:val="24"/>
        </w:rPr>
        <w:t>In Modes 1 -3, the intensity measurements are used to control beam scraping.</w:t>
      </w:r>
      <w:r w:rsidR="008728C7">
        <w:rPr>
          <w:szCs w:val="24"/>
        </w:rPr>
        <w:t xml:space="preserve"> </w:t>
      </w:r>
    </w:p>
    <w:p w:rsidR="00AA21F8" w:rsidRDefault="00AA21F8" w:rsidP="00150D79">
      <w:pPr>
        <w:rPr>
          <w:szCs w:val="24"/>
        </w:rPr>
      </w:pPr>
      <w:r>
        <w:rPr>
          <w:szCs w:val="24"/>
        </w:rPr>
        <w:t>Intensity precision, rms</w:t>
      </w:r>
      <w:r>
        <w:rPr>
          <w:szCs w:val="24"/>
        </w:rPr>
        <w:tab/>
      </w:r>
      <w:r>
        <w:rPr>
          <w:szCs w:val="24"/>
        </w:rPr>
        <w:tab/>
        <w:t>5%</w:t>
      </w:r>
    </w:p>
    <w:p w:rsidR="008728C7" w:rsidRDefault="008728C7" w:rsidP="00150D79">
      <w:pPr>
        <w:rPr>
          <w:szCs w:val="24"/>
        </w:rPr>
      </w:pPr>
    </w:p>
    <w:p w:rsidR="00B874F3" w:rsidRDefault="008728C7">
      <w:r>
        <w:t>In the Mode 4 (</w:t>
      </w:r>
      <w:r w:rsidRPr="00667358">
        <w:t xml:space="preserve">Synchronous detection in </w:t>
      </w:r>
      <w:r>
        <w:t xml:space="preserve">the Repetitive Structure mode), intensity measurements are used for laser diagnostics. </w:t>
      </w:r>
    </w:p>
    <w:p w:rsidR="008728C7" w:rsidRDefault="008728C7" w:rsidP="008728C7">
      <w:pPr>
        <w:rPr>
          <w:szCs w:val="24"/>
        </w:rPr>
      </w:pPr>
      <w:r>
        <w:rPr>
          <w:szCs w:val="24"/>
        </w:rPr>
        <w:t>Intensity precision, rms</w:t>
      </w:r>
      <w:r>
        <w:rPr>
          <w:szCs w:val="24"/>
        </w:rPr>
        <w:tab/>
      </w:r>
      <w:r>
        <w:rPr>
          <w:szCs w:val="24"/>
        </w:rPr>
        <w:tab/>
        <w:t>10</w:t>
      </w:r>
      <w:r w:rsidRPr="008728C7">
        <w:rPr>
          <w:szCs w:val="24"/>
          <w:vertAlign w:val="superscript"/>
        </w:rPr>
        <w:t>-7</w:t>
      </w:r>
    </w:p>
    <w:p w:rsidR="007E55D5" w:rsidRDefault="007E55D5">
      <w:pPr>
        <w:jc w:val="left"/>
        <w:rPr>
          <w:szCs w:val="24"/>
        </w:rPr>
      </w:pPr>
      <w:r>
        <w:rPr>
          <w:szCs w:val="24"/>
        </w:rPr>
        <w:br w:type="page"/>
      </w:r>
    </w:p>
    <w:p w:rsidR="00B8544C" w:rsidRDefault="0028696B" w:rsidP="00000909">
      <w:pPr>
        <w:pStyle w:val="Heading1"/>
      </w:pPr>
      <w:bookmarkStart w:id="28" w:name="_Toc351039059"/>
      <w:r w:rsidRPr="00E06596">
        <w:lastRenderedPageBreak/>
        <w:t>Ref</w:t>
      </w:r>
      <w:r w:rsidR="002C7FB1" w:rsidRPr="00E06596">
        <w:t>erence</w:t>
      </w:r>
      <w:r w:rsidR="00E06596" w:rsidRPr="00E06596">
        <w:t>s</w:t>
      </w:r>
      <w:r w:rsidRPr="00E06596">
        <w:t>:</w:t>
      </w:r>
      <w:bookmarkEnd w:id="28"/>
    </w:p>
    <w:p w:rsidR="00B7228C" w:rsidRDefault="00B7228C" w:rsidP="00B7228C">
      <w:pPr>
        <w:pStyle w:val="ListParagraph"/>
        <w:ind w:left="360"/>
        <w:rPr>
          <w:szCs w:val="24"/>
        </w:rPr>
      </w:pPr>
    </w:p>
    <w:p w:rsidR="00B7228C" w:rsidRPr="00B7228C" w:rsidRDefault="00B7228C" w:rsidP="00000909">
      <w:pPr>
        <w:pStyle w:val="Default"/>
        <w:ind w:left="360"/>
      </w:pPr>
      <w:r>
        <w:t>D</w:t>
      </w:r>
      <w:r w:rsidRPr="00B7228C">
        <w:t xml:space="preserve">ocuments </w:t>
      </w:r>
      <w:r>
        <w:t xml:space="preserve">with reference numbers listed are </w:t>
      </w:r>
      <w:r w:rsidRPr="00B7228C">
        <w:t xml:space="preserve">in the Project X </w:t>
      </w:r>
      <w:proofErr w:type="spellStart"/>
      <w:r w:rsidRPr="00B7228C">
        <w:t>DocDB</w:t>
      </w:r>
      <w:proofErr w:type="spellEnd"/>
      <w:r w:rsidRPr="00B7228C">
        <w:t xml:space="preserve">: </w:t>
      </w:r>
    </w:p>
    <w:p w:rsidR="00B7228C" w:rsidRPr="009C5D5B" w:rsidRDefault="00B7228C" w:rsidP="00000909">
      <w:pPr>
        <w:pStyle w:val="Default"/>
        <w:ind w:left="360"/>
      </w:pPr>
      <w:r w:rsidRPr="009C5D5B">
        <w:t>http://projectx-docdb.fnal.gov</w:t>
      </w:r>
    </w:p>
    <w:p w:rsidR="007733AF" w:rsidRPr="00B7228C" w:rsidRDefault="0028696B" w:rsidP="00000909">
      <w:pPr>
        <w:pStyle w:val="Default"/>
        <w:ind w:left="360"/>
      </w:pPr>
      <w:r w:rsidRPr="00B7228C">
        <w:t xml:space="preserve"> </w:t>
      </w:r>
    </w:p>
    <w:p w:rsidR="007A4157" w:rsidRPr="00B7228C" w:rsidRDefault="007A4157" w:rsidP="00000909">
      <w:pPr>
        <w:pStyle w:val="Default"/>
        <w:ind w:left="360"/>
        <w:rPr>
          <w:sz w:val="36"/>
          <w:szCs w:val="36"/>
        </w:rPr>
      </w:pPr>
      <w:r w:rsidRPr="00B7228C">
        <w:t xml:space="preserve">[1] Project X </w:t>
      </w:r>
      <w:r w:rsidR="008E3252">
        <w:t xml:space="preserve">and PXIE MEBT </w:t>
      </w:r>
      <w:r w:rsidRPr="00B7228C">
        <w:t>Functional Requirements Specification</w:t>
      </w:r>
    </w:p>
    <w:p w:rsidR="007975C2" w:rsidRPr="00000909" w:rsidRDefault="00396838" w:rsidP="00000909">
      <w:pPr>
        <w:pStyle w:val="Default"/>
        <w:ind w:left="360"/>
      </w:pPr>
      <w:r w:rsidRPr="00000909">
        <w:t>Document #: Project-X-doc-</w:t>
      </w:r>
      <w:r w:rsidR="008E3252">
        <w:t>938</w:t>
      </w:r>
    </w:p>
    <w:p w:rsidR="008E3252" w:rsidRPr="00000909" w:rsidRDefault="008E3252" w:rsidP="00000909">
      <w:pPr>
        <w:pStyle w:val="Default"/>
        <w:ind w:left="360"/>
      </w:pPr>
    </w:p>
    <w:p w:rsidR="005729BB" w:rsidRDefault="00FA16D4" w:rsidP="004568DC">
      <w:pPr>
        <w:pStyle w:val="Default"/>
        <w:ind w:left="360"/>
      </w:pPr>
      <w:r>
        <w:t>[</w:t>
      </w:r>
      <w:r w:rsidR="00046589">
        <w:t>2</w:t>
      </w:r>
      <w:r w:rsidR="002E1E13" w:rsidRPr="00B7228C">
        <w:t xml:space="preserve">] </w:t>
      </w:r>
      <w:r w:rsidR="00140ED1" w:rsidRPr="00140ED1">
        <w:t xml:space="preserve">PXIE Optics and Layout, by V. Lebedev, S. </w:t>
      </w:r>
      <w:proofErr w:type="spellStart"/>
      <w:r w:rsidR="00140ED1" w:rsidRPr="00140ED1">
        <w:t>Nagaitsev</w:t>
      </w:r>
      <w:proofErr w:type="spellEnd"/>
      <w:r w:rsidR="00140ED1" w:rsidRPr="00140ED1">
        <w:t xml:space="preserve">, J.-F. </w:t>
      </w:r>
      <w:proofErr w:type="spellStart"/>
      <w:r w:rsidR="00140ED1" w:rsidRPr="00140ED1">
        <w:t>Ostiguy</w:t>
      </w:r>
      <w:proofErr w:type="spellEnd"/>
      <w:r w:rsidR="00140ED1" w:rsidRPr="00140ED1">
        <w:t>,  A. Shemyakin, B.</w:t>
      </w:r>
      <w:r w:rsidR="00B820F5">
        <w:t xml:space="preserve"> </w:t>
      </w:r>
      <w:proofErr w:type="spellStart"/>
      <w:r w:rsidR="00140ED1" w:rsidRPr="00140ED1">
        <w:t>Shteynas</w:t>
      </w:r>
      <w:proofErr w:type="spellEnd"/>
      <w:r w:rsidR="00140ED1" w:rsidRPr="00140ED1">
        <w:t xml:space="preserve">, N. </w:t>
      </w:r>
      <w:proofErr w:type="spellStart"/>
      <w:r w:rsidR="00140ED1" w:rsidRPr="00140ED1">
        <w:t>Solyak</w:t>
      </w:r>
      <w:proofErr w:type="spellEnd"/>
      <w:r w:rsidR="00140ED1" w:rsidRPr="00140ED1">
        <w:t>, Proc. of  IPAC’12, New Orleans, USA, May 20 - 25, 2012, THPPP057</w:t>
      </w:r>
    </w:p>
    <w:p w:rsidR="00DF7DF7" w:rsidRDefault="00DF7DF7" w:rsidP="004568DC">
      <w:pPr>
        <w:pStyle w:val="Default"/>
        <w:ind w:left="360"/>
      </w:pPr>
    </w:p>
    <w:p w:rsidR="00DF7DF7" w:rsidRPr="00000909" w:rsidRDefault="00DF7DF7" w:rsidP="00DF7DF7">
      <w:pPr>
        <w:pStyle w:val="Default"/>
        <w:ind w:left="360"/>
      </w:pPr>
      <w:r>
        <w:t xml:space="preserve">[3] </w:t>
      </w:r>
      <w:r w:rsidRPr="00DF7DF7">
        <w:t>PXIE MEBT kicker functional requirements specification</w:t>
      </w:r>
      <w:r>
        <w:t xml:space="preserve">, </w:t>
      </w:r>
      <w:r w:rsidRPr="00000909">
        <w:t>Document #: Project-X-doc-</w:t>
      </w:r>
      <w:r>
        <w:t>977</w:t>
      </w:r>
    </w:p>
    <w:p w:rsidR="00DF7DF7" w:rsidRDefault="00DF7DF7" w:rsidP="004568DC">
      <w:pPr>
        <w:pStyle w:val="Default"/>
        <w:ind w:left="360"/>
      </w:pPr>
    </w:p>
    <w:p w:rsidR="00DF7DF7" w:rsidRPr="00000909" w:rsidRDefault="00DF7DF7" w:rsidP="00DF7DF7">
      <w:pPr>
        <w:pStyle w:val="Default"/>
        <w:ind w:left="360"/>
      </w:pPr>
      <w:r>
        <w:t xml:space="preserve">[4] </w:t>
      </w:r>
      <w:r w:rsidRPr="00DF7DF7">
        <w:t>Functional specifications for PXIE MEBT absorber</w:t>
      </w:r>
      <w:r>
        <w:t xml:space="preserve">, </w:t>
      </w:r>
      <w:r w:rsidRPr="00000909">
        <w:t>Document #: Project-X-doc-</w:t>
      </w:r>
      <w:r>
        <w:t>964</w:t>
      </w:r>
    </w:p>
    <w:p w:rsidR="00DF7DF7" w:rsidRDefault="00DF7DF7" w:rsidP="004568DC">
      <w:pPr>
        <w:pStyle w:val="Default"/>
        <w:ind w:left="360"/>
      </w:pPr>
    </w:p>
    <w:p w:rsidR="002E1E13" w:rsidRPr="00B7228C" w:rsidRDefault="007572BF" w:rsidP="004568DC">
      <w:pPr>
        <w:pStyle w:val="Default"/>
        <w:ind w:left="360"/>
      </w:pPr>
      <w:r>
        <w:t xml:space="preserve">[5] </w:t>
      </w:r>
      <w:r w:rsidR="002E1E13" w:rsidRPr="00B7228C">
        <w:t>Fermilab Engineering Manual</w:t>
      </w:r>
    </w:p>
    <w:p w:rsidR="002E1E13" w:rsidRDefault="00061AE2" w:rsidP="00000909">
      <w:pPr>
        <w:pStyle w:val="Default"/>
        <w:ind w:left="360"/>
      </w:pPr>
      <w:hyperlink r:id="rId14" w:history="1">
        <w:r w:rsidRPr="000A0E36">
          <w:rPr>
            <w:rStyle w:val="Hyperlink"/>
          </w:rPr>
          <w:t>http://www.fnal.gov/directorate/documents/FNAL_Engineering_Manual.pdf</w:t>
        </w:r>
      </w:hyperlink>
    </w:p>
    <w:p w:rsidR="00061AE2" w:rsidRPr="00B7228C" w:rsidRDefault="00061AE2" w:rsidP="00000909">
      <w:pPr>
        <w:pStyle w:val="Default"/>
        <w:ind w:left="360"/>
      </w:pPr>
    </w:p>
    <w:p w:rsidR="002E1E13" w:rsidRPr="00B7228C" w:rsidRDefault="00FA16D4" w:rsidP="00000909">
      <w:pPr>
        <w:pStyle w:val="Default"/>
        <w:ind w:left="360"/>
      </w:pPr>
      <w:r>
        <w:t>[</w:t>
      </w:r>
      <w:r w:rsidR="002339DF">
        <w:t>6</w:t>
      </w:r>
      <w:r w:rsidR="002E1E13" w:rsidRPr="00B7228C">
        <w:t>] Fermilab ES&amp;H Manual</w:t>
      </w:r>
    </w:p>
    <w:p w:rsidR="002E1E13" w:rsidRPr="00B7228C" w:rsidRDefault="002E1E13" w:rsidP="00000909">
      <w:pPr>
        <w:pStyle w:val="Default"/>
        <w:ind w:left="360"/>
      </w:pPr>
      <w:r w:rsidRPr="009C5D5B">
        <w:t>http://www-esh.fnal.gov/pls/default/esh_home_page.page?this_page=15053</w:t>
      </w:r>
    </w:p>
    <w:p w:rsidR="002E1E13" w:rsidRDefault="002E1E13" w:rsidP="00B761ED">
      <w:pPr>
        <w:pStyle w:val="Default"/>
        <w:ind w:left="360"/>
      </w:pPr>
    </w:p>
    <w:p w:rsidR="002339DF" w:rsidRDefault="002339DF" w:rsidP="002339DF">
      <w:pPr>
        <w:pStyle w:val="Default"/>
        <w:ind w:left="360"/>
      </w:pPr>
      <w:r>
        <w:t xml:space="preserve">[7] </w:t>
      </w:r>
      <w:r w:rsidRPr="007572BF">
        <w:t>PXIE Functional Requirements Specification</w:t>
      </w:r>
      <w:r>
        <w:t xml:space="preserve">, </w:t>
      </w:r>
      <w:r w:rsidRPr="00000909">
        <w:t>Document #: Project-X-doc-</w:t>
      </w:r>
      <w:r w:rsidRPr="007572BF">
        <w:t xml:space="preserve"> 980</w:t>
      </w:r>
    </w:p>
    <w:p w:rsidR="002339DF" w:rsidRDefault="002339DF" w:rsidP="002339DF">
      <w:pPr>
        <w:pStyle w:val="Default"/>
        <w:ind w:left="360"/>
      </w:pPr>
    </w:p>
    <w:p w:rsidR="002339DF" w:rsidRDefault="002339DF" w:rsidP="002339DF">
      <w:pPr>
        <w:pStyle w:val="Default"/>
        <w:ind w:left="360"/>
      </w:pPr>
      <w:r>
        <w:t xml:space="preserve">[8] </w:t>
      </w:r>
      <w:r w:rsidRPr="007572BF">
        <w:t>PXIE MEBT Quadrupoles Functional Requirements Specification</w:t>
      </w:r>
      <w:r>
        <w:t xml:space="preserve">, </w:t>
      </w:r>
      <w:r w:rsidRPr="00000909">
        <w:t>Document #: Project-X-doc-</w:t>
      </w:r>
      <w:r>
        <w:t xml:space="preserve"> 933</w:t>
      </w:r>
    </w:p>
    <w:p w:rsidR="00B53884" w:rsidRDefault="00B53884" w:rsidP="00B761ED">
      <w:pPr>
        <w:pStyle w:val="Default"/>
        <w:ind w:left="360"/>
      </w:pPr>
    </w:p>
    <w:sectPr w:rsidR="00B53884" w:rsidSect="00DC551C">
      <w:headerReference w:type="default" r:id="rId15"/>
      <w:footerReference w:type="default" r:id="rId16"/>
      <w:pgSz w:w="12240" w:h="15840" w:code="1"/>
      <w:pgMar w:top="950" w:right="1800" w:bottom="1152" w:left="1800" w:header="490" w:footer="216" w:gutter="0"/>
      <w:pgBorders>
        <w:top w:val="single" w:sz="8" w:space="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40" w:rsidRDefault="002D7A40">
      <w:r>
        <w:separator/>
      </w:r>
    </w:p>
  </w:endnote>
  <w:endnote w:type="continuationSeparator" w:id="0">
    <w:p w:rsidR="002D7A40" w:rsidRDefault="002D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ermiLgo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AD" w:rsidRPr="005D7ECA" w:rsidRDefault="00C011AD">
    <w:pPr>
      <w:pStyle w:val="Footer"/>
      <w:rPr>
        <w:i/>
      </w:rPr>
    </w:pPr>
    <w:r w:rsidRPr="005D7ECA">
      <w:rPr>
        <w:i/>
      </w:rPr>
      <w:t>This document is uncontrolled when printed. The current version is maintain</w:t>
    </w:r>
    <w:r>
      <w:rPr>
        <w:i/>
      </w:rPr>
      <w:t xml:space="preserve">ed on the </w:t>
    </w:r>
    <w:r>
      <w:rPr>
        <w:i/>
        <w:color w:val="FF0000"/>
      </w:rPr>
      <w:t>Project X</w:t>
    </w:r>
    <w:r>
      <w:rPr>
        <w:i/>
      </w:rPr>
      <w:t xml:space="preserve"> website.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40" w:rsidRDefault="002D7A40">
      <w:r>
        <w:separator/>
      </w:r>
    </w:p>
  </w:footnote>
  <w:footnote w:type="continuationSeparator" w:id="0">
    <w:p w:rsidR="002D7A40" w:rsidRDefault="002D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52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4320"/>
      <w:gridCol w:w="1710"/>
      <w:gridCol w:w="1260"/>
    </w:tblGrid>
    <w:tr w:rsidR="00C011AD" w:rsidTr="00965809">
      <w:trPr>
        <w:trHeight w:val="807"/>
      </w:trPr>
      <w:tc>
        <w:tcPr>
          <w:tcW w:w="2610" w:type="dxa"/>
        </w:tcPr>
        <w:p w:rsidR="00C011AD" w:rsidRDefault="00C011AD">
          <w:pPr>
            <w:pStyle w:val="Header"/>
            <w:tabs>
              <w:tab w:val="clear" w:pos="8640"/>
              <w:tab w:val="right" w:pos="9963"/>
            </w:tabs>
            <w:ind w:right="-1296"/>
            <w:rPr>
              <w:rFonts w:ascii="FermiLgo" w:hAnsi="FermiLgo"/>
              <w:sz w:val="84"/>
            </w:rPr>
          </w:pPr>
          <w:r>
            <w:rPr>
              <w:rFonts w:ascii="FermiLgo" w:hAnsi="FermiLgo"/>
              <w:noProof/>
              <w:sz w:val="8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2049" type="#_x0000_t202" style="position:absolute;left:0;text-align:left;margin-left:14.95pt;margin-top:9.85pt;width:80.15pt;height:30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yW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qVDRmE8zSIMarA9i5Jo9iR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" o:allowincell="f" filled="f" stroked="f">
                <v:textbox style="mso-next-textbox:#Text Box 5">
                  <w:txbxContent>
                    <w:p w:rsidR="00C011AD" w:rsidRPr="00000909" w:rsidRDefault="00C011AD" w:rsidP="00000909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00909">
                        <w:rPr>
                          <w:b/>
                          <w:sz w:val="20"/>
                          <w:szCs w:val="20"/>
                        </w:rPr>
                        <w:t>FERMILAB</w:t>
                      </w:r>
                    </w:p>
                    <w:p w:rsidR="00C011AD" w:rsidRPr="00000909" w:rsidRDefault="00C011AD" w:rsidP="00000909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00909">
                        <w:rPr>
                          <w:b/>
                          <w:sz w:val="20"/>
                          <w:szCs w:val="20"/>
                        </w:rPr>
                        <w:t>PXIE</w:t>
                      </w:r>
                    </w:p>
                  </w:txbxContent>
                </v:textbox>
              </v:shape>
            </w:pict>
          </w:r>
          <w:r>
            <w:rPr>
              <w:rFonts w:ascii="FermiLgo" w:hAnsi="FermiLgo"/>
              <w:noProof/>
              <w:sz w:val="84"/>
            </w:rPr>
            <w:drawing>
              <wp:inline distT="0" distB="0" distL="0" distR="0" wp14:anchorId="37C85AB7" wp14:editId="1C4CF267">
                <wp:extent cx="476885" cy="492760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:rsidR="00C011AD" w:rsidRPr="00822BBC" w:rsidRDefault="00C011AD" w:rsidP="00822BBC">
          <w:pPr>
            <w:jc w:val="center"/>
            <w:rPr>
              <w:b/>
            </w:rPr>
          </w:pPr>
        </w:p>
        <w:p w:rsidR="00C011AD" w:rsidRPr="00822BBC" w:rsidRDefault="00C011AD" w:rsidP="00822BBC">
          <w:pPr>
            <w:jc w:val="center"/>
          </w:pPr>
          <w:r>
            <w:rPr>
              <w:b/>
            </w:rPr>
            <w:t>Functional Requirement S</w:t>
          </w:r>
          <w:r w:rsidRPr="00822BBC">
            <w:rPr>
              <w:b/>
            </w:rPr>
            <w:t>pecification</w:t>
          </w:r>
        </w:p>
        <w:p w:rsidR="00C011AD" w:rsidRPr="004533A9" w:rsidRDefault="00C011AD" w:rsidP="0045552C">
          <w:pPr>
            <w:spacing w:line="276" w:lineRule="auto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PXIE MEBT Beam Position Monitors</w:t>
          </w:r>
        </w:p>
      </w:tc>
      <w:tc>
        <w:tcPr>
          <w:tcW w:w="1710" w:type="dxa"/>
        </w:tcPr>
        <w:p w:rsidR="00C011AD" w:rsidRPr="007E64A1" w:rsidRDefault="00C011AD">
          <w:pPr>
            <w:pStyle w:val="Header"/>
            <w:tabs>
              <w:tab w:val="clear" w:pos="8640"/>
              <w:tab w:val="right" w:pos="9963"/>
            </w:tabs>
            <w:ind w:right="-108"/>
            <w:rPr>
              <w:b/>
            </w:rPr>
          </w:pPr>
          <w:r>
            <w:rPr>
              <w:b/>
            </w:rPr>
            <w:t>Doc</w:t>
          </w:r>
          <w:r w:rsidRPr="007E64A1">
            <w:rPr>
              <w:b/>
            </w:rPr>
            <w:t xml:space="preserve">. No. </w:t>
          </w:r>
          <w:r w:rsidRPr="0045552C">
            <w:rPr>
              <w:b/>
            </w:rPr>
            <w:t>1043</w:t>
          </w:r>
        </w:p>
        <w:p w:rsidR="00C011AD" w:rsidRPr="007E64A1" w:rsidRDefault="00C011AD">
          <w:pPr>
            <w:pStyle w:val="Header"/>
            <w:tabs>
              <w:tab w:val="clear" w:pos="8640"/>
              <w:tab w:val="right" w:pos="9963"/>
            </w:tabs>
            <w:ind w:right="-108"/>
            <w:rPr>
              <w:b/>
            </w:rPr>
          </w:pPr>
          <w:r w:rsidRPr="007E64A1">
            <w:rPr>
              <w:b/>
            </w:rPr>
            <w:t>Initial release</w:t>
          </w:r>
        </w:p>
        <w:p w:rsidR="00C011AD" w:rsidRPr="007E64A1" w:rsidRDefault="00C011AD" w:rsidP="00AA2ABB">
          <w:pPr>
            <w:pStyle w:val="Header"/>
            <w:tabs>
              <w:tab w:val="clear" w:pos="8640"/>
              <w:tab w:val="right" w:pos="9963"/>
            </w:tabs>
            <w:ind w:right="-108"/>
            <w:rPr>
              <w:b/>
            </w:rPr>
          </w:pPr>
          <w:r w:rsidRPr="007E64A1">
            <w:rPr>
              <w:b/>
            </w:rPr>
            <w:t xml:space="preserve">Date: </w:t>
          </w:r>
          <w:r>
            <w:rPr>
              <w:b/>
            </w:rPr>
            <w:t>3/08/2013</w:t>
          </w:r>
        </w:p>
        <w:p w:rsidR="00C011AD" w:rsidRPr="0018359E" w:rsidRDefault="00C011AD" w:rsidP="00044E91">
          <w:pPr>
            <w:pStyle w:val="Header"/>
            <w:tabs>
              <w:tab w:val="clear" w:pos="8640"/>
              <w:tab w:val="right" w:pos="9963"/>
            </w:tabs>
            <w:ind w:right="-108"/>
            <w:rPr>
              <w:b/>
            </w:rPr>
          </w:pPr>
          <w:r w:rsidRPr="007E64A1">
            <w:rPr>
              <w:b/>
              <w:snapToGrid w:val="0"/>
            </w:rPr>
            <w:t xml:space="preserve">Page </w:t>
          </w:r>
          <w:r w:rsidRPr="007E64A1">
            <w:rPr>
              <w:rStyle w:val="PageNumber"/>
            </w:rPr>
            <w:fldChar w:fldCharType="begin"/>
          </w:r>
          <w:r w:rsidRPr="007E64A1">
            <w:rPr>
              <w:rStyle w:val="PageNumber"/>
            </w:rPr>
            <w:instrText xml:space="preserve"> PAGE </w:instrText>
          </w:r>
          <w:r w:rsidRPr="007E64A1">
            <w:rPr>
              <w:rStyle w:val="PageNumber"/>
            </w:rPr>
            <w:fldChar w:fldCharType="separate"/>
          </w:r>
          <w:r w:rsidR="00B8198D">
            <w:rPr>
              <w:rStyle w:val="PageNumber"/>
              <w:noProof/>
            </w:rPr>
            <w:t>10</w:t>
          </w:r>
          <w:r w:rsidRPr="007E64A1">
            <w:rPr>
              <w:rStyle w:val="PageNumber"/>
            </w:rPr>
            <w:fldChar w:fldCharType="end"/>
          </w:r>
          <w:r>
            <w:rPr>
              <w:b/>
              <w:snapToGrid w:val="0"/>
            </w:rPr>
            <w:t xml:space="preserve"> of </w:t>
          </w:r>
          <w:fldSimple w:instr=" NUMPAGES   \* MERGEFORMAT ">
            <w:r w:rsidR="00B8198D" w:rsidRPr="00B8198D">
              <w:rPr>
                <w:b/>
                <w:noProof/>
                <w:snapToGrid w:val="0"/>
              </w:rPr>
              <w:t>11</w:t>
            </w:r>
          </w:fldSimple>
        </w:p>
      </w:tc>
      <w:tc>
        <w:tcPr>
          <w:tcW w:w="1260" w:type="dxa"/>
        </w:tcPr>
        <w:p w:rsidR="00C011AD" w:rsidRPr="00995623" w:rsidRDefault="00C011AD">
          <w:pPr>
            <w:pStyle w:val="Header"/>
            <w:tabs>
              <w:tab w:val="clear" w:pos="8640"/>
              <w:tab w:val="right" w:pos="9963"/>
            </w:tabs>
            <w:ind w:right="-108"/>
            <w:rPr>
              <w:b/>
              <w:szCs w:val="24"/>
            </w:rPr>
          </w:pPr>
        </w:p>
      </w:tc>
    </w:tr>
  </w:tbl>
  <w:p w:rsidR="00C011AD" w:rsidRDefault="00C011AD" w:rsidP="00AA2ABB">
    <w:pPr>
      <w:pStyle w:val="Header"/>
      <w:tabs>
        <w:tab w:val="clear" w:pos="8640"/>
        <w:tab w:val="right" w:pos="9180"/>
      </w:tabs>
      <w:ind w:left="-1296" w:right="-1296" w:firstLine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1E2"/>
    <w:multiLevelType w:val="multilevel"/>
    <w:tmpl w:val="48D0DE34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Level2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573716A4"/>
    <w:multiLevelType w:val="hybridMultilevel"/>
    <w:tmpl w:val="3C5E55DA"/>
    <w:lvl w:ilvl="0" w:tplc="04090001">
      <w:start w:val="1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8771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AA8"/>
    <w:rsid w:val="00000909"/>
    <w:rsid w:val="00000F72"/>
    <w:rsid w:val="00002765"/>
    <w:rsid w:val="00004A1A"/>
    <w:rsid w:val="00006E98"/>
    <w:rsid w:val="00006F20"/>
    <w:rsid w:val="00007458"/>
    <w:rsid w:val="00010098"/>
    <w:rsid w:val="00011C1C"/>
    <w:rsid w:val="00020EB4"/>
    <w:rsid w:val="000219EA"/>
    <w:rsid w:val="00022ED7"/>
    <w:rsid w:val="000305BA"/>
    <w:rsid w:val="00030DCF"/>
    <w:rsid w:val="00033137"/>
    <w:rsid w:val="00035932"/>
    <w:rsid w:val="00036323"/>
    <w:rsid w:val="00036CA1"/>
    <w:rsid w:val="000416CF"/>
    <w:rsid w:val="00041ED5"/>
    <w:rsid w:val="00042413"/>
    <w:rsid w:val="00044D68"/>
    <w:rsid w:val="00044E91"/>
    <w:rsid w:val="00045B02"/>
    <w:rsid w:val="00045B8E"/>
    <w:rsid w:val="00046589"/>
    <w:rsid w:val="00056BE4"/>
    <w:rsid w:val="00061AE2"/>
    <w:rsid w:val="000635F7"/>
    <w:rsid w:val="00065717"/>
    <w:rsid w:val="000668C3"/>
    <w:rsid w:val="000717F0"/>
    <w:rsid w:val="00072BBA"/>
    <w:rsid w:val="000737E6"/>
    <w:rsid w:val="0007731F"/>
    <w:rsid w:val="00080967"/>
    <w:rsid w:val="00082BA0"/>
    <w:rsid w:val="00084E5C"/>
    <w:rsid w:val="000874CB"/>
    <w:rsid w:val="00093977"/>
    <w:rsid w:val="00094CE2"/>
    <w:rsid w:val="00094F2C"/>
    <w:rsid w:val="00096400"/>
    <w:rsid w:val="000A16B0"/>
    <w:rsid w:val="000A398C"/>
    <w:rsid w:val="000A42E9"/>
    <w:rsid w:val="000A55D9"/>
    <w:rsid w:val="000A730F"/>
    <w:rsid w:val="000A7F62"/>
    <w:rsid w:val="000B26A5"/>
    <w:rsid w:val="000B4A01"/>
    <w:rsid w:val="000B61B3"/>
    <w:rsid w:val="000B7AE1"/>
    <w:rsid w:val="000C0674"/>
    <w:rsid w:val="000C1243"/>
    <w:rsid w:val="000C132B"/>
    <w:rsid w:val="000C2BE1"/>
    <w:rsid w:val="000C2FD1"/>
    <w:rsid w:val="000C3B86"/>
    <w:rsid w:val="000C5880"/>
    <w:rsid w:val="000C5DE2"/>
    <w:rsid w:val="000C6888"/>
    <w:rsid w:val="000C738E"/>
    <w:rsid w:val="000D04F3"/>
    <w:rsid w:val="000D0B2F"/>
    <w:rsid w:val="000D52A7"/>
    <w:rsid w:val="000E01CF"/>
    <w:rsid w:val="000E05E5"/>
    <w:rsid w:val="000E0EF6"/>
    <w:rsid w:val="000E2F3E"/>
    <w:rsid w:val="000E3C7E"/>
    <w:rsid w:val="000E42CD"/>
    <w:rsid w:val="000E484E"/>
    <w:rsid w:val="000E6C3C"/>
    <w:rsid w:val="000F4A53"/>
    <w:rsid w:val="000F6A97"/>
    <w:rsid w:val="000F6F75"/>
    <w:rsid w:val="00100E74"/>
    <w:rsid w:val="001064EC"/>
    <w:rsid w:val="00112787"/>
    <w:rsid w:val="0011366C"/>
    <w:rsid w:val="0011496C"/>
    <w:rsid w:val="0012339C"/>
    <w:rsid w:val="00125DC1"/>
    <w:rsid w:val="001266D6"/>
    <w:rsid w:val="0012766A"/>
    <w:rsid w:val="00132C16"/>
    <w:rsid w:val="001336EF"/>
    <w:rsid w:val="00134368"/>
    <w:rsid w:val="00137362"/>
    <w:rsid w:val="0013779A"/>
    <w:rsid w:val="0013789A"/>
    <w:rsid w:val="00140ED1"/>
    <w:rsid w:val="001418A7"/>
    <w:rsid w:val="00143198"/>
    <w:rsid w:val="00143562"/>
    <w:rsid w:val="00144165"/>
    <w:rsid w:val="00150D79"/>
    <w:rsid w:val="001516CE"/>
    <w:rsid w:val="00152765"/>
    <w:rsid w:val="00154E59"/>
    <w:rsid w:val="00155A71"/>
    <w:rsid w:val="0015641C"/>
    <w:rsid w:val="001566D6"/>
    <w:rsid w:val="00156C81"/>
    <w:rsid w:val="001618B3"/>
    <w:rsid w:val="00161E53"/>
    <w:rsid w:val="00162F70"/>
    <w:rsid w:val="001630E2"/>
    <w:rsid w:val="001639DC"/>
    <w:rsid w:val="00165708"/>
    <w:rsid w:val="001675BC"/>
    <w:rsid w:val="00171BEB"/>
    <w:rsid w:val="00172405"/>
    <w:rsid w:val="00172CA9"/>
    <w:rsid w:val="001769B4"/>
    <w:rsid w:val="00177A5C"/>
    <w:rsid w:val="001801A3"/>
    <w:rsid w:val="00181125"/>
    <w:rsid w:val="0018138A"/>
    <w:rsid w:val="00182C16"/>
    <w:rsid w:val="0018359E"/>
    <w:rsid w:val="00191EFB"/>
    <w:rsid w:val="001939BC"/>
    <w:rsid w:val="00194D95"/>
    <w:rsid w:val="00195314"/>
    <w:rsid w:val="001968C6"/>
    <w:rsid w:val="00197301"/>
    <w:rsid w:val="001A1449"/>
    <w:rsid w:val="001A158D"/>
    <w:rsid w:val="001A1CF2"/>
    <w:rsid w:val="001A22CD"/>
    <w:rsid w:val="001A2683"/>
    <w:rsid w:val="001A272B"/>
    <w:rsid w:val="001A3590"/>
    <w:rsid w:val="001A3D72"/>
    <w:rsid w:val="001A5239"/>
    <w:rsid w:val="001A7690"/>
    <w:rsid w:val="001A79BB"/>
    <w:rsid w:val="001B0F46"/>
    <w:rsid w:val="001B2194"/>
    <w:rsid w:val="001B454A"/>
    <w:rsid w:val="001B7C33"/>
    <w:rsid w:val="001B7C62"/>
    <w:rsid w:val="001C4C1C"/>
    <w:rsid w:val="001C5884"/>
    <w:rsid w:val="001C6D6A"/>
    <w:rsid w:val="001C7A32"/>
    <w:rsid w:val="001C7D8A"/>
    <w:rsid w:val="001D0FDB"/>
    <w:rsid w:val="001D1505"/>
    <w:rsid w:val="001D4308"/>
    <w:rsid w:val="001D4C8B"/>
    <w:rsid w:val="001D58EB"/>
    <w:rsid w:val="001D667F"/>
    <w:rsid w:val="001D6687"/>
    <w:rsid w:val="001D7BC4"/>
    <w:rsid w:val="001D7BE4"/>
    <w:rsid w:val="001E0A59"/>
    <w:rsid w:val="001E449F"/>
    <w:rsid w:val="001E6281"/>
    <w:rsid w:val="001E6943"/>
    <w:rsid w:val="001E6E94"/>
    <w:rsid w:val="001F026A"/>
    <w:rsid w:val="001F1C0F"/>
    <w:rsid w:val="001F3818"/>
    <w:rsid w:val="001F5C6E"/>
    <w:rsid w:val="001F60E3"/>
    <w:rsid w:val="001F62B8"/>
    <w:rsid w:val="001F7054"/>
    <w:rsid w:val="002005C3"/>
    <w:rsid w:val="00204558"/>
    <w:rsid w:val="002070CE"/>
    <w:rsid w:val="0021124F"/>
    <w:rsid w:val="00212F89"/>
    <w:rsid w:val="00214D0D"/>
    <w:rsid w:val="00214FEC"/>
    <w:rsid w:val="002151E6"/>
    <w:rsid w:val="00217B63"/>
    <w:rsid w:val="00221966"/>
    <w:rsid w:val="00223E05"/>
    <w:rsid w:val="00224356"/>
    <w:rsid w:val="00224471"/>
    <w:rsid w:val="00225F37"/>
    <w:rsid w:val="00233908"/>
    <w:rsid w:val="002339DF"/>
    <w:rsid w:val="00234045"/>
    <w:rsid w:val="00236359"/>
    <w:rsid w:val="00242682"/>
    <w:rsid w:val="00243463"/>
    <w:rsid w:val="00245796"/>
    <w:rsid w:val="002458C2"/>
    <w:rsid w:val="002462A7"/>
    <w:rsid w:val="00246A4E"/>
    <w:rsid w:val="0024732C"/>
    <w:rsid w:val="002517D1"/>
    <w:rsid w:val="00251F56"/>
    <w:rsid w:val="002537EC"/>
    <w:rsid w:val="00253E99"/>
    <w:rsid w:val="00254F4C"/>
    <w:rsid w:val="00256246"/>
    <w:rsid w:val="002619B0"/>
    <w:rsid w:val="00262CB8"/>
    <w:rsid w:val="0026364A"/>
    <w:rsid w:val="00270B51"/>
    <w:rsid w:val="00270EC0"/>
    <w:rsid w:val="00272320"/>
    <w:rsid w:val="002755D5"/>
    <w:rsid w:val="002773A1"/>
    <w:rsid w:val="00277CE0"/>
    <w:rsid w:val="00281F5D"/>
    <w:rsid w:val="00282013"/>
    <w:rsid w:val="002840AD"/>
    <w:rsid w:val="00284BF8"/>
    <w:rsid w:val="0028696B"/>
    <w:rsid w:val="002908E6"/>
    <w:rsid w:val="00291910"/>
    <w:rsid w:val="002949EF"/>
    <w:rsid w:val="00296AD8"/>
    <w:rsid w:val="002970DA"/>
    <w:rsid w:val="002A1A89"/>
    <w:rsid w:val="002A7C07"/>
    <w:rsid w:val="002A7E94"/>
    <w:rsid w:val="002B173D"/>
    <w:rsid w:val="002B28F8"/>
    <w:rsid w:val="002B3151"/>
    <w:rsid w:val="002B4997"/>
    <w:rsid w:val="002B4C51"/>
    <w:rsid w:val="002B696A"/>
    <w:rsid w:val="002B6AAE"/>
    <w:rsid w:val="002B6DB2"/>
    <w:rsid w:val="002C165B"/>
    <w:rsid w:val="002C3550"/>
    <w:rsid w:val="002C7FB1"/>
    <w:rsid w:val="002D23B3"/>
    <w:rsid w:val="002D28D9"/>
    <w:rsid w:val="002D4173"/>
    <w:rsid w:val="002D5130"/>
    <w:rsid w:val="002D5627"/>
    <w:rsid w:val="002D6745"/>
    <w:rsid w:val="002D7A40"/>
    <w:rsid w:val="002E0329"/>
    <w:rsid w:val="002E1E13"/>
    <w:rsid w:val="002E2292"/>
    <w:rsid w:val="002E4840"/>
    <w:rsid w:val="002E49DE"/>
    <w:rsid w:val="002E5ABC"/>
    <w:rsid w:val="002E5C59"/>
    <w:rsid w:val="002F0AFB"/>
    <w:rsid w:val="002F4947"/>
    <w:rsid w:val="002F5AD6"/>
    <w:rsid w:val="0030061C"/>
    <w:rsid w:val="00302386"/>
    <w:rsid w:val="00304CA3"/>
    <w:rsid w:val="00305C81"/>
    <w:rsid w:val="00305F24"/>
    <w:rsid w:val="00311357"/>
    <w:rsid w:val="003116BF"/>
    <w:rsid w:val="0031183A"/>
    <w:rsid w:val="00311C14"/>
    <w:rsid w:val="00314F62"/>
    <w:rsid w:val="00320526"/>
    <w:rsid w:val="0032082D"/>
    <w:rsid w:val="00320A3E"/>
    <w:rsid w:val="00322788"/>
    <w:rsid w:val="00322D95"/>
    <w:rsid w:val="003240D3"/>
    <w:rsid w:val="0032424C"/>
    <w:rsid w:val="0032731A"/>
    <w:rsid w:val="0033208C"/>
    <w:rsid w:val="003326C0"/>
    <w:rsid w:val="00333072"/>
    <w:rsid w:val="00333213"/>
    <w:rsid w:val="003332D4"/>
    <w:rsid w:val="00335B9C"/>
    <w:rsid w:val="00336266"/>
    <w:rsid w:val="00336B5F"/>
    <w:rsid w:val="00336CD5"/>
    <w:rsid w:val="00340F9B"/>
    <w:rsid w:val="00343538"/>
    <w:rsid w:val="00345E01"/>
    <w:rsid w:val="0034617D"/>
    <w:rsid w:val="00346328"/>
    <w:rsid w:val="00347730"/>
    <w:rsid w:val="00350A2F"/>
    <w:rsid w:val="00350BDE"/>
    <w:rsid w:val="00352BE5"/>
    <w:rsid w:val="0035417B"/>
    <w:rsid w:val="0035565D"/>
    <w:rsid w:val="00356220"/>
    <w:rsid w:val="003622B3"/>
    <w:rsid w:val="00365AE3"/>
    <w:rsid w:val="00366544"/>
    <w:rsid w:val="0037089E"/>
    <w:rsid w:val="00371F11"/>
    <w:rsid w:val="003746C3"/>
    <w:rsid w:val="0037500F"/>
    <w:rsid w:val="003817A4"/>
    <w:rsid w:val="00381D39"/>
    <w:rsid w:val="00382BD8"/>
    <w:rsid w:val="00385A03"/>
    <w:rsid w:val="003873E1"/>
    <w:rsid w:val="00387EEF"/>
    <w:rsid w:val="003913E6"/>
    <w:rsid w:val="00394A03"/>
    <w:rsid w:val="00396838"/>
    <w:rsid w:val="00396BCA"/>
    <w:rsid w:val="003A081B"/>
    <w:rsid w:val="003A09AA"/>
    <w:rsid w:val="003A2D4E"/>
    <w:rsid w:val="003A385D"/>
    <w:rsid w:val="003A444D"/>
    <w:rsid w:val="003A46BC"/>
    <w:rsid w:val="003B02C7"/>
    <w:rsid w:val="003B18AB"/>
    <w:rsid w:val="003B78DF"/>
    <w:rsid w:val="003C070F"/>
    <w:rsid w:val="003C2D30"/>
    <w:rsid w:val="003C30EE"/>
    <w:rsid w:val="003C41BC"/>
    <w:rsid w:val="003C4FAA"/>
    <w:rsid w:val="003C54F5"/>
    <w:rsid w:val="003C5E11"/>
    <w:rsid w:val="003C6E30"/>
    <w:rsid w:val="003C6EA4"/>
    <w:rsid w:val="003D007B"/>
    <w:rsid w:val="003D0D99"/>
    <w:rsid w:val="003D1FDA"/>
    <w:rsid w:val="003D38D6"/>
    <w:rsid w:val="003D3A76"/>
    <w:rsid w:val="003D4A18"/>
    <w:rsid w:val="003D6557"/>
    <w:rsid w:val="003E02FB"/>
    <w:rsid w:val="003E1272"/>
    <w:rsid w:val="003E3A5F"/>
    <w:rsid w:val="003E3F6B"/>
    <w:rsid w:val="003E4F24"/>
    <w:rsid w:val="003E52EA"/>
    <w:rsid w:val="003F1116"/>
    <w:rsid w:val="003F5797"/>
    <w:rsid w:val="003F6102"/>
    <w:rsid w:val="003F68DB"/>
    <w:rsid w:val="003F6B7B"/>
    <w:rsid w:val="004050DB"/>
    <w:rsid w:val="004063E5"/>
    <w:rsid w:val="004064E2"/>
    <w:rsid w:val="00407671"/>
    <w:rsid w:val="00411BB2"/>
    <w:rsid w:val="00412271"/>
    <w:rsid w:val="004128D9"/>
    <w:rsid w:val="00412FEC"/>
    <w:rsid w:val="004148DA"/>
    <w:rsid w:val="00416CBE"/>
    <w:rsid w:val="00417A06"/>
    <w:rsid w:val="00423A66"/>
    <w:rsid w:val="004248BF"/>
    <w:rsid w:val="00426807"/>
    <w:rsid w:val="00427E85"/>
    <w:rsid w:val="00430C76"/>
    <w:rsid w:val="00432078"/>
    <w:rsid w:val="00432C13"/>
    <w:rsid w:val="00432C39"/>
    <w:rsid w:val="00434474"/>
    <w:rsid w:val="0043773C"/>
    <w:rsid w:val="004401E4"/>
    <w:rsid w:val="00440764"/>
    <w:rsid w:val="0044091B"/>
    <w:rsid w:val="00441C57"/>
    <w:rsid w:val="00442468"/>
    <w:rsid w:val="00442620"/>
    <w:rsid w:val="004507F7"/>
    <w:rsid w:val="0045229B"/>
    <w:rsid w:val="00452CB0"/>
    <w:rsid w:val="004533A9"/>
    <w:rsid w:val="00454B49"/>
    <w:rsid w:val="00454F65"/>
    <w:rsid w:val="0045552C"/>
    <w:rsid w:val="004568DC"/>
    <w:rsid w:val="00456CF8"/>
    <w:rsid w:val="004570B0"/>
    <w:rsid w:val="004616CB"/>
    <w:rsid w:val="0046602E"/>
    <w:rsid w:val="004677E5"/>
    <w:rsid w:val="00471A65"/>
    <w:rsid w:val="004746B2"/>
    <w:rsid w:val="00482058"/>
    <w:rsid w:val="00482061"/>
    <w:rsid w:val="00482219"/>
    <w:rsid w:val="00484538"/>
    <w:rsid w:val="00486C2F"/>
    <w:rsid w:val="0049107C"/>
    <w:rsid w:val="004943EF"/>
    <w:rsid w:val="00496A1E"/>
    <w:rsid w:val="00497A47"/>
    <w:rsid w:val="00497F7E"/>
    <w:rsid w:val="004A37BD"/>
    <w:rsid w:val="004A5FC2"/>
    <w:rsid w:val="004B3D68"/>
    <w:rsid w:val="004B3E5B"/>
    <w:rsid w:val="004B3FE5"/>
    <w:rsid w:val="004B421E"/>
    <w:rsid w:val="004B45BA"/>
    <w:rsid w:val="004B4604"/>
    <w:rsid w:val="004B5C8E"/>
    <w:rsid w:val="004C3007"/>
    <w:rsid w:val="004C358F"/>
    <w:rsid w:val="004C3AA4"/>
    <w:rsid w:val="004D5A1C"/>
    <w:rsid w:val="004D7D16"/>
    <w:rsid w:val="004E02A2"/>
    <w:rsid w:val="004E4AC8"/>
    <w:rsid w:val="004E55DF"/>
    <w:rsid w:val="004E7D6F"/>
    <w:rsid w:val="004F0948"/>
    <w:rsid w:val="004F3FC0"/>
    <w:rsid w:val="004F4EAD"/>
    <w:rsid w:val="004F5127"/>
    <w:rsid w:val="004F7184"/>
    <w:rsid w:val="005000DB"/>
    <w:rsid w:val="00505780"/>
    <w:rsid w:val="005059E2"/>
    <w:rsid w:val="005062E6"/>
    <w:rsid w:val="00506F66"/>
    <w:rsid w:val="0050728D"/>
    <w:rsid w:val="00520BC9"/>
    <w:rsid w:val="00520D2D"/>
    <w:rsid w:val="00521480"/>
    <w:rsid w:val="0052222F"/>
    <w:rsid w:val="0052277D"/>
    <w:rsid w:val="00522A99"/>
    <w:rsid w:val="00522FC7"/>
    <w:rsid w:val="005245CA"/>
    <w:rsid w:val="00527DF2"/>
    <w:rsid w:val="00530034"/>
    <w:rsid w:val="0053052A"/>
    <w:rsid w:val="005313B3"/>
    <w:rsid w:val="00532B3F"/>
    <w:rsid w:val="00534409"/>
    <w:rsid w:val="00534A11"/>
    <w:rsid w:val="00537CEF"/>
    <w:rsid w:val="00540307"/>
    <w:rsid w:val="0054172A"/>
    <w:rsid w:val="0054389D"/>
    <w:rsid w:val="00544C14"/>
    <w:rsid w:val="00546597"/>
    <w:rsid w:val="00547347"/>
    <w:rsid w:val="005505F6"/>
    <w:rsid w:val="00553A70"/>
    <w:rsid w:val="005540B3"/>
    <w:rsid w:val="00555981"/>
    <w:rsid w:val="00555D82"/>
    <w:rsid w:val="00555D86"/>
    <w:rsid w:val="00556DFC"/>
    <w:rsid w:val="0056275C"/>
    <w:rsid w:val="0056506A"/>
    <w:rsid w:val="00565579"/>
    <w:rsid w:val="00565686"/>
    <w:rsid w:val="0057166B"/>
    <w:rsid w:val="005729BB"/>
    <w:rsid w:val="00573674"/>
    <w:rsid w:val="0057381E"/>
    <w:rsid w:val="005741CD"/>
    <w:rsid w:val="0057551C"/>
    <w:rsid w:val="00575B15"/>
    <w:rsid w:val="005800FC"/>
    <w:rsid w:val="0058371C"/>
    <w:rsid w:val="0058428E"/>
    <w:rsid w:val="00584DBD"/>
    <w:rsid w:val="005867FE"/>
    <w:rsid w:val="005871E9"/>
    <w:rsid w:val="00587B39"/>
    <w:rsid w:val="005A23D3"/>
    <w:rsid w:val="005A499F"/>
    <w:rsid w:val="005A4FFA"/>
    <w:rsid w:val="005A62C2"/>
    <w:rsid w:val="005A6F73"/>
    <w:rsid w:val="005A711C"/>
    <w:rsid w:val="005A77C8"/>
    <w:rsid w:val="005B0697"/>
    <w:rsid w:val="005B06E0"/>
    <w:rsid w:val="005B332C"/>
    <w:rsid w:val="005B36D6"/>
    <w:rsid w:val="005B4F5A"/>
    <w:rsid w:val="005C0732"/>
    <w:rsid w:val="005C2680"/>
    <w:rsid w:val="005C4466"/>
    <w:rsid w:val="005C4529"/>
    <w:rsid w:val="005C5679"/>
    <w:rsid w:val="005C5B3A"/>
    <w:rsid w:val="005D251D"/>
    <w:rsid w:val="005D3DEF"/>
    <w:rsid w:val="005D526A"/>
    <w:rsid w:val="005D5358"/>
    <w:rsid w:val="005D633A"/>
    <w:rsid w:val="005D7ECA"/>
    <w:rsid w:val="005E089A"/>
    <w:rsid w:val="005E14B3"/>
    <w:rsid w:val="005E15AC"/>
    <w:rsid w:val="005E1CA7"/>
    <w:rsid w:val="005E2250"/>
    <w:rsid w:val="005E59F1"/>
    <w:rsid w:val="005F0517"/>
    <w:rsid w:val="005F3CE4"/>
    <w:rsid w:val="005F4F65"/>
    <w:rsid w:val="005F7B0E"/>
    <w:rsid w:val="00604871"/>
    <w:rsid w:val="00605685"/>
    <w:rsid w:val="00610EB9"/>
    <w:rsid w:val="00614084"/>
    <w:rsid w:val="006146A7"/>
    <w:rsid w:val="006223CC"/>
    <w:rsid w:val="006269E9"/>
    <w:rsid w:val="00632F81"/>
    <w:rsid w:val="006348CA"/>
    <w:rsid w:val="0063708D"/>
    <w:rsid w:val="006376D0"/>
    <w:rsid w:val="00641E7C"/>
    <w:rsid w:val="00646383"/>
    <w:rsid w:val="00656984"/>
    <w:rsid w:val="0065739C"/>
    <w:rsid w:val="00663A70"/>
    <w:rsid w:val="00666024"/>
    <w:rsid w:val="00673BE7"/>
    <w:rsid w:val="00673D8D"/>
    <w:rsid w:val="00674FBA"/>
    <w:rsid w:val="006751A8"/>
    <w:rsid w:val="0067606E"/>
    <w:rsid w:val="00677AA0"/>
    <w:rsid w:val="0068375C"/>
    <w:rsid w:val="00683865"/>
    <w:rsid w:val="00685835"/>
    <w:rsid w:val="00687154"/>
    <w:rsid w:val="00687E74"/>
    <w:rsid w:val="00690BDB"/>
    <w:rsid w:val="00694892"/>
    <w:rsid w:val="00697D10"/>
    <w:rsid w:val="006A04B4"/>
    <w:rsid w:val="006A09D7"/>
    <w:rsid w:val="006A3166"/>
    <w:rsid w:val="006A4705"/>
    <w:rsid w:val="006A48DD"/>
    <w:rsid w:val="006A53EF"/>
    <w:rsid w:val="006B0616"/>
    <w:rsid w:val="006B270A"/>
    <w:rsid w:val="006B4D8C"/>
    <w:rsid w:val="006C12D1"/>
    <w:rsid w:val="006C1E6B"/>
    <w:rsid w:val="006C5B37"/>
    <w:rsid w:val="006C5F42"/>
    <w:rsid w:val="006C680E"/>
    <w:rsid w:val="006C6B7E"/>
    <w:rsid w:val="006D0847"/>
    <w:rsid w:val="006D1D82"/>
    <w:rsid w:val="006D1E58"/>
    <w:rsid w:val="006E3A13"/>
    <w:rsid w:val="006E3FCB"/>
    <w:rsid w:val="006E5F23"/>
    <w:rsid w:val="006E722E"/>
    <w:rsid w:val="006F13EB"/>
    <w:rsid w:val="006F187E"/>
    <w:rsid w:val="006F671E"/>
    <w:rsid w:val="006F6E1B"/>
    <w:rsid w:val="007007C7"/>
    <w:rsid w:val="00702757"/>
    <w:rsid w:val="00703C16"/>
    <w:rsid w:val="00704351"/>
    <w:rsid w:val="007068AF"/>
    <w:rsid w:val="00711251"/>
    <w:rsid w:val="00716769"/>
    <w:rsid w:val="00716A95"/>
    <w:rsid w:val="00717E38"/>
    <w:rsid w:val="00720BA8"/>
    <w:rsid w:val="00721A9B"/>
    <w:rsid w:val="007225FD"/>
    <w:rsid w:val="007247C3"/>
    <w:rsid w:val="0072655E"/>
    <w:rsid w:val="00726F83"/>
    <w:rsid w:val="00727257"/>
    <w:rsid w:val="00730942"/>
    <w:rsid w:val="0073327B"/>
    <w:rsid w:val="0073533C"/>
    <w:rsid w:val="00736468"/>
    <w:rsid w:val="00736D52"/>
    <w:rsid w:val="00737DD3"/>
    <w:rsid w:val="0074100C"/>
    <w:rsid w:val="00741267"/>
    <w:rsid w:val="00741E0F"/>
    <w:rsid w:val="007436F9"/>
    <w:rsid w:val="00744DE3"/>
    <w:rsid w:val="0074738A"/>
    <w:rsid w:val="00753AC2"/>
    <w:rsid w:val="00753EC5"/>
    <w:rsid w:val="0075534E"/>
    <w:rsid w:val="00755AB7"/>
    <w:rsid w:val="00756114"/>
    <w:rsid w:val="00756F81"/>
    <w:rsid w:val="007572BF"/>
    <w:rsid w:val="00757629"/>
    <w:rsid w:val="00761878"/>
    <w:rsid w:val="007669E9"/>
    <w:rsid w:val="00766FBE"/>
    <w:rsid w:val="007672D3"/>
    <w:rsid w:val="00767361"/>
    <w:rsid w:val="00767BF4"/>
    <w:rsid w:val="00771BE3"/>
    <w:rsid w:val="007722AA"/>
    <w:rsid w:val="007733AF"/>
    <w:rsid w:val="007738DD"/>
    <w:rsid w:val="00774D76"/>
    <w:rsid w:val="00781D16"/>
    <w:rsid w:val="007835AB"/>
    <w:rsid w:val="00784254"/>
    <w:rsid w:val="00787C7D"/>
    <w:rsid w:val="007946DF"/>
    <w:rsid w:val="00795E02"/>
    <w:rsid w:val="007975C2"/>
    <w:rsid w:val="00797F65"/>
    <w:rsid w:val="007A0437"/>
    <w:rsid w:val="007A1075"/>
    <w:rsid w:val="007A1409"/>
    <w:rsid w:val="007A1414"/>
    <w:rsid w:val="007A3103"/>
    <w:rsid w:val="007A4157"/>
    <w:rsid w:val="007B1A5F"/>
    <w:rsid w:val="007B4604"/>
    <w:rsid w:val="007B7C31"/>
    <w:rsid w:val="007C315E"/>
    <w:rsid w:val="007C3671"/>
    <w:rsid w:val="007C37E5"/>
    <w:rsid w:val="007C48D7"/>
    <w:rsid w:val="007C6A88"/>
    <w:rsid w:val="007D0584"/>
    <w:rsid w:val="007D1836"/>
    <w:rsid w:val="007D3A49"/>
    <w:rsid w:val="007D3D9D"/>
    <w:rsid w:val="007D4B31"/>
    <w:rsid w:val="007D678C"/>
    <w:rsid w:val="007D7045"/>
    <w:rsid w:val="007D70D5"/>
    <w:rsid w:val="007E0246"/>
    <w:rsid w:val="007E4878"/>
    <w:rsid w:val="007E4A8F"/>
    <w:rsid w:val="007E55D5"/>
    <w:rsid w:val="007E64A1"/>
    <w:rsid w:val="007F02AE"/>
    <w:rsid w:val="007F04A1"/>
    <w:rsid w:val="007F1A87"/>
    <w:rsid w:val="007F234A"/>
    <w:rsid w:val="007F2D8F"/>
    <w:rsid w:val="007F4234"/>
    <w:rsid w:val="007F43FA"/>
    <w:rsid w:val="007F4C13"/>
    <w:rsid w:val="007F66FE"/>
    <w:rsid w:val="007F6F27"/>
    <w:rsid w:val="0080406B"/>
    <w:rsid w:val="0080439D"/>
    <w:rsid w:val="008043C8"/>
    <w:rsid w:val="00805BBE"/>
    <w:rsid w:val="0080778B"/>
    <w:rsid w:val="008131AD"/>
    <w:rsid w:val="00813C43"/>
    <w:rsid w:val="00815106"/>
    <w:rsid w:val="008205AC"/>
    <w:rsid w:val="00822BBC"/>
    <w:rsid w:val="00822D71"/>
    <w:rsid w:val="008245C7"/>
    <w:rsid w:val="008267DE"/>
    <w:rsid w:val="00827B93"/>
    <w:rsid w:val="008311D7"/>
    <w:rsid w:val="0083534A"/>
    <w:rsid w:val="00840AD7"/>
    <w:rsid w:val="00841426"/>
    <w:rsid w:val="00841F21"/>
    <w:rsid w:val="008421E3"/>
    <w:rsid w:val="00845B2F"/>
    <w:rsid w:val="008520DF"/>
    <w:rsid w:val="00853718"/>
    <w:rsid w:val="008540AD"/>
    <w:rsid w:val="00856DF6"/>
    <w:rsid w:val="0085773B"/>
    <w:rsid w:val="00857DA8"/>
    <w:rsid w:val="00863002"/>
    <w:rsid w:val="008633EB"/>
    <w:rsid w:val="00867776"/>
    <w:rsid w:val="00870F9F"/>
    <w:rsid w:val="0087116B"/>
    <w:rsid w:val="008728C7"/>
    <w:rsid w:val="008731AF"/>
    <w:rsid w:val="00874927"/>
    <w:rsid w:val="00874A4C"/>
    <w:rsid w:val="00877FF3"/>
    <w:rsid w:val="00882173"/>
    <w:rsid w:val="0088218F"/>
    <w:rsid w:val="00883C82"/>
    <w:rsid w:val="00886011"/>
    <w:rsid w:val="00891450"/>
    <w:rsid w:val="00893F3D"/>
    <w:rsid w:val="00895139"/>
    <w:rsid w:val="008958B6"/>
    <w:rsid w:val="00896D8B"/>
    <w:rsid w:val="00896F95"/>
    <w:rsid w:val="008A0A7D"/>
    <w:rsid w:val="008A22C2"/>
    <w:rsid w:val="008A4E33"/>
    <w:rsid w:val="008A6032"/>
    <w:rsid w:val="008C2A74"/>
    <w:rsid w:val="008C3E9A"/>
    <w:rsid w:val="008C60A4"/>
    <w:rsid w:val="008C6E90"/>
    <w:rsid w:val="008C7990"/>
    <w:rsid w:val="008D2EEE"/>
    <w:rsid w:val="008D3BBB"/>
    <w:rsid w:val="008D5A55"/>
    <w:rsid w:val="008D7AE0"/>
    <w:rsid w:val="008D7C79"/>
    <w:rsid w:val="008D7D05"/>
    <w:rsid w:val="008E3252"/>
    <w:rsid w:val="008E6562"/>
    <w:rsid w:val="008F2A09"/>
    <w:rsid w:val="008F35E8"/>
    <w:rsid w:val="008F3E3E"/>
    <w:rsid w:val="008F40AA"/>
    <w:rsid w:val="008F418A"/>
    <w:rsid w:val="008F5535"/>
    <w:rsid w:val="008F7185"/>
    <w:rsid w:val="00900A14"/>
    <w:rsid w:val="0090431E"/>
    <w:rsid w:val="00904FEC"/>
    <w:rsid w:val="0090552E"/>
    <w:rsid w:val="00911941"/>
    <w:rsid w:val="00912627"/>
    <w:rsid w:val="009150C3"/>
    <w:rsid w:val="009153D7"/>
    <w:rsid w:val="009177F8"/>
    <w:rsid w:val="00920567"/>
    <w:rsid w:val="00924B05"/>
    <w:rsid w:val="0092522F"/>
    <w:rsid w:val="00930121"/>
    <w:rsid w:val="0093137C"/>
    <w:rsid w:val="00931B62"/>
    <w:rsid w:val="00932CAD"/>
    <w:rsid w:val="00933810"/>
    <w:rsid w:val="009338AF"/>
    <w:rsid w:val="00933B36"/>
    <w:rsid w:val="00941974"/>
    <w:rsid w:val="00942AA8"/>
    <w:rsid w:val="00942D4B"/>
    <w:rsid w:val="009442BC"/>
    <w:rsid w:val="00944E11"/>
    <w:rsid w:val="00945C22"/>
    <w:rsid w:val="009462CC"/>
    <w:rsid w:val="00947F61"/>
    <w:rsid w:val="009506C3"/>
    <w:rsid w:val="009524F3"/>
    <w:rsid w:val="00954D89"/>
    <w:rsid w:val="00956480"/>
    <w:rsid w:val="00956509"/>
    <w:rsid w:val="0096186F"/>
    <w:rsid w:val="00962822"/>
    <w:rsid w:val="00963C6F"/>
    <w:rsid w:val="00965809"/>
    <w:rsid w:val="0097089F"/>
    <w:rsid w:val="0097230A"/>
    <w:rsid w:val="0097500B"/>
    <w:rsid w:val="00975288"/>
    <w:rsid w:val="009754E2"/>
    <w:rsid w:val="009768B2"/>
    <w:rsid w:val="00982DF5"/>
    <w:rsid w:val="009831D3"/>
    <w:rsid w:val="0098612E"/>
    <w:rsid w:val="00987775"/>
    <w:rsid w:val="00987CDC"/>
    <w:rsid w:val="0099141A"/>
    <w:rsid w:val="009926A2"/>
    <w:rsid w:val="0099356E"/>
    <w:rsid w:val="00993639"/>
    <w:rsid w:val="00993ACB"/>
    <w:rsid w:val="00995295"/>
    <w:rsid w:val="00995623"/>
    <w:rsid w:val="009A1273"/>
    <w:rsid w:val="009A60E6"/>
    <w:rsid w:val="009B0A6A"/>
    <w:rsid w:val="009B0ED2"/>
    <w:rsid w:val="009B4C8F"/>
    <w:rsid w:val="009B518B"/>
    <w:rsid w:val="009C036C"/>
    <w:rsid w:val="009C07F4"/>
    <w:rsid w:val="009C0917"/>
    <w:rsid w:val="009C0F98"/>
    <w:rsid w:val="009C1F11"/>
    <w:rsid w:val="009C2CA7"/>
    <w:rsid w:val="009C5A42"/>
    <w:rsid w:val="009C5D5B"/>
    <w:rsid w:val="009C7D0D"/>
    <w:rsid w:val="009D0ECC"/>
    <w:rsid w:val="009D4045"/>
    <w:rsid w:val="009E1755"/>
    <w:rsid w:val="009E2BA9"/>
    <w:rsid w:val="009E552A"/>
    <w:rsid w:val="009F0A1E"/>
    <w:rsid w:val="009F2B2B"/>
    <w:rsid w:val="009F4CAF"/>
    <w:rsid w:val="009F4EE0"/>
    <w:rsid w:val="009F6776"/>
    <w:rsid w:val="009F7AD4"/>
    <w:rsid w:val="00A00DB6"/>
    <w:rsid w:val="00A02688"/>
    <w:rsid w:val="00A026DF"/>
    <w:rsid w:val="00A03DD5"/>
    <w:rsid w:val="00A05028"/>
    <w:rsid w:val="00A05C59"/>
    <w:rsid w:val="00A0729A"/>
    <w:rsid w:val="00A121F8"/>
    <w:rsid w:val="00A15E95"/>
    <w:rsid w:val="00A16DE4"/>
    <w:rsid w:val="00A170D9"/>
    <w:rsid w:val="00A218D6"/>
    <w:rsid w:val="00A24A87"/>
    <w:rsid w:val="00A24BC4"/>
    <w:rsid w:val="00A25916"/>
    <w:rsid w:val="00A33CDB"/>
    <w:rsid w:val="00A35232"/>
    <w:rsid w:val="00A3680B"/>
    <w:rsid w:val="00A371F5"/>
    <w:rsid w:val="00A37208"/>
    <w:rsid w:val="00A4020E"/>
    <w:rsid w:val="00A411F9"/>
    <w:rsid w:val="00A4199B"/>
    <w:rsid w:val="00A41F89"/>
    <w:rsid w:val="00A43A40"/>
    <w:rsid w:val="00A46F2B"/>
    <w:rsid w:val="00A476B9"/>
    <w:rsid w:val="00A5207D"/>
    <w:rsid w:val="00A52273"/>
    <w:rsid w:val="00A53E55"/>
    <w:rsid w:val="00A57ED8"/>
    <w:rsid w:val="00A617C2"/>
    <w:rsid w:val="00A623C5"/>
    <w:rsid w:val="00A63B90"/>
    <w:rsid w:val="00A703BE"/>
    <w:rsid w:val="00A73D5D"/>
    <w:rsid w:val="00A74482"/>
    <w:rsid w:val="00A74C94"/>
    <w:rsid w:val="00A75EC0"/>
    <w:rsid w:val="00A77603"/>
    <w:rsid w:val="00A77DDF"/>
    <w:rsid w:val="00A77F03"/>
    <w:rsid w:val="00A822C5"/>
    <w:rsid w:val="00A8457F"/>
    <w:rsid w:val="00A8549F"/>
    <w:rsid w:val="00A87592"/>
    <w:rsid w:val="00A93337"/>
    <w:rsid w:val="00A945D2"/>
    <w:rsid w:val="00A946CA"/>
    <w:rsid w:val="00A9533F"/>
    <w:rsid w:val="00A96A68"/>
    <w:rsid w:val="00A96C57"/>
    <w:rsid w:val="00AA040C"/>
    <w:rsid w:val="00AA21F8"/>
    <w:rsid w:val="00AA2ABB"/>
    <w:rsid w:val="00AA7D5B"/>
    <w:rsid w:val="00AA7EDD"/>
    <w:rsid w:val="00AB09F3"/>
    <w:rsid w:val="00AB313A"/>
    <w:rsid w:val="00AB462C"/>
    <w:rsid w:val="00AB6290"/>
    <w:rsid w:val="00AB78EE"/>
    <w:rsid w:val="00AC1FAA"/>
    <w:rsid w:val="00AC3149"/>
    <w:rsid w:val="00AC3A45"/>
    <w:rsid w:val="00AC6302"/>
    <w:rsid w:val="00AC69A8"/>
    <w:rsid w:val="00AC6FB4"/>
    <w:rsid w:val="00AD4510"/>
    <w:rsid w:val="00AD5EA5"/>
    <w:rsid w:val="00AD673A"/>
    <w:rsid w:val="00AD74AE"/>
    <w:rsid w:val="00AE0C4C"/>
    <w:rsid w:val="00AE3203"/>
    <w:rsid w:val="00AE4581"/>
    <w:rsid w:val="00AE5618"/>
    <w:rsid w:val="00AE62E5"/>
    <w:rsid w:val="00AE7E55"/>
    <w:rsid w:val="00AF09BF"/>
    <w:rsid w:val="00AF156B"/>
    <w:rsid w:val="00AF46D3"/>
    <w:rsid w:val="00AF63B0"/>
    <w:rsid w:val="00B0004B"/>
    <w:rsid w:val="00B01C97"/>
    <w:rsid w:val="00B021C9"/>
    <w:rsid w:val="00B02884"/>
    <w:rsid w:val="00B02A73"/>
    <w:rsid w:val="00B02C5C"/>
    <w:rsid w:val="00B04CC4"/>
    <w:rsid w:val="00B05144"/>
    <w:rsid w:val="00B0529D"/>
    <w:rsid w:val="00B05674"/>
    <w:rsid w:val="00B14F33"/>
    <w:rsid w:val="00B16273"/>
    <w:rsid w:val="00B21E11"/>
    <w:rsid w:val="00B24470"/>
    <w:rsid w:val="00B255BB"/>
    <w:rsid w:val="00B30464"/>
    <w:rsid w:val="00B31109"/>
    <w:rsid w:val="00B32058"/>
    <w:rsid w:val="00B35D2C"/>
    <w:rsid w:val="00B40B11"/>
    <w:rsid w:val="00B40F05"/>
    <w:rsid w:val="00B4422D"/>
    <w:rsid w:val="00B44F77"/>
    <w:rsid w:val="00B47F25"/>
    <w:rsid w:val="00B51816"/>
    <w:rsid w:val="00B52423"/>
    <w:rsid w:val="00B53637"/>
    <w:rsid w:val="00B53884"/>
    <w:rsid w:val="00B54464"/>
    <w:rsid w:val="00B5467E"/>
    <w:rsid w:val="00B550FF"/>
    <w:rsid w:val="00B556F7"/>
    <w:rsid w:val="00B652C7"/>
    <w:rsid w:val="00B65CC8"/>
    <w:rsid w:val="00B675E2"/>
    <w:rsid w:val="00B67B15"/>
    <w:rsid w:val="00B67D71"/>
    <w:rsid w:val="00B7228C"/>
    <w:rsid w:val="00B73CEE"/>
    <w:rsid w:val="00B74D03"/>
    <w:rsid w:val="00B761ED"/>
    <w:rsid w:val="00B771AB"/>
    <w:rsid w:val="00B77CE0"/>
    <w:rsid w:val="00B806CE"/>
    <w:rsid w:val="00B816EF"/>
    <w:rsid w:val="00B8198D"/>
    <w:rsid w:val="00B81C30"/>
    <w:rsid w:val="00B820F5"/>
    <w:rsid w:val="00B82414"/>
    <w:rsid w:val="00B83F59"/>
    <w:rsid w:val="00B8544C"/>
    <w:rsid w:val="00B86A1A"/>
    <w:rsid w:val="00B874F3"/>
    <w:rsid w:val="00B90F2F"/>
    <w:rsid w:val="00B93272"/>
    <w:rsid w:val="00B97FE8"/>
    <w:rsid w:val="00BA237E"/>
    <w:rsid w:val="00BA48FE"/>
    <w:rsid w:val="00BA4E4B"/>
    <w:rsid w:val="00BA5C94"/>
    <w:rsid w:val="00BA69D2"/>
    <w:rsid w:val="00BA6CCD"/>
    <w:rsid w:val="00BA6F3D"/>
    <w:rsid w:val="00BA7156"/>
    <w:rsid w:val="00BB13FB"/>
    <w:rsid w:val="00BB24A5"/>
    <w:rsid w:val="00BB3415"/>
    <w:rsid w:val="00BB63B0"/>
    <w:rsid w:val="00BB6FBC"/>
    <w:rsid w:val="00BC11E3"/>
    <w:rsid w:val="00BC2A62"/>
    <w:rsid w:val="00BC32CA"/>
    <w:rsid w:val="00BC5D94"/>
    <w:rsid w:val="00BC717B"/>
    <w:rsid w:val="00BC7198"/>
    <w:rsid w:val="00BC7678"/>
    <w:rsid w:val="00BC7F9B"/>
    <w:rsid w:val="00BD4254"/>
    <w:rsid w:val="00BD4AD1"/>
    <w:rsid w:val="00BD58A8"/>
    <w:rsid w:val="00BD58E6"/>
    <w:rsid w:val="00BD5BA0"/>
    <w:rsid w:val="00BD7262"/>
    <w:rsid w:val="00BE00ED"/>
    <w:rsid w:val="00BE19CA"/>
    <w:rsid w:val="00BE2221"/>
    <w:rsid w:val="00BE2BF1"/>
    <w:rsid w:val="00BE4F9A"/>
    <w:rsid w:val="00BE68AA"/>
    <w:rsid w:val="00BF2256"/>
    <w:rsid w:val="00BF277B"/>
    <w:rsid w:val="00BF34B3"/>
    <w:rsid w:val="00BF40AC"/>
    <w:rsid w:val="00BF48D4"/>
    <w:rsid w:val="00BF5226"/>
    <w:rsid w:val="00BF68DE"/>
    <w:rsid w:val="00BF6D00"/>
    <w:rsid w:val="00C011AD"/>
    <w:rsid w:val="00C03FEC"/>
    <w:rsid w:val="00C04DCE"/>
    <w:rsid w:val="00C067C8"/>
    <w:rsid w:val="00C11424"/>
    <w:rsid w:val="00C12A27"/>
    <w:rsid w:val="00C147BE"/>
    <w:rsid w:val="00C14881"/>
    <w:rsid w:val="00C14C12"/>
    <w:rsid w:val="00C15A9A"/>
    <w:rsid w:val="00C16671"/>
    <w:rsid w:val="00C16B74"/>
    <w:rsid w:val="00C17DCB"/>
    <w:rsid w:val="00C17EBE"/>
    <w:rsid w:val="00C24032"/>
    <w:rsid w:val="00C24088"/>
    <w:rsid w:val="00C261EE"/>
    <w:rsid w:val="00C27A60"/>
    <w:rsid w:val="00C32575"/>
    <w:rsid w:val="00C34747"/>
    <w:rsid w:val="00C424AC"/>
    <w:rsid w:val="00C42E46"/>
    <w:rsid w:val="00C4673E"/>
    <w:rsid w:val="00C56AE6"/>
    <w:rsid w:val="00C56EFB"/>
    <w:rsid w:val="00C61EA0"/>
    <w:rsid w:val="00C62A74"/>
    <w:rsid w:val="00C64BFD"/>
    <w:rsid w:val="00C64C28"/>
    <w:rsid w:val="00C73198"/>
    <w:rsid w:val="00C77DC0"/>
    <w:rsid w:val="00C77ED8"/>
    <w:rsid w:val="00C909F5"/>
    <w:rsid w:val="00C9147D"/>
    <w:rsid w:val="00C920F8"/>
    <w:rsid w:val="00C9287A"/>
    <w:rsid w:val="00C9425B"/>
    <w:rsid w:val="00C94405"/>
    <w:rsid w:val="00C9632F"/>
    <w:rsid w:val="00CA039E"/>
    <w:rsid w:val="00CA39D7"/>
    <w:rsid w:val="00CA5FEB"/>
    <w:rsid w:val="00CA6FE9"/>
    <w:rsid w:val="00CB03D2"/>
    <w:rsid w:val="00CB28CE"/>
    <w:rsid w:val="00CC0696"/>
    <w:rsid w:val="00CC0833"/>
    <w:rsid w:val="00CC259C"/>
    <w:rsid w:val="00CC2B7A"/>
    <w:rsid w:val="00CC362D"/>
    <w:rsid w:val="00CC3956"/>
    <w:rsid w:val="00CC53F2"/>
    <w:rsid w:val="00CD01B0"/>
    <w:rsid w:val="00CD045E"/>
    <w:rsid w:val="00CD0E9B"/>
    <w:rsid w:val="00CD10D4"/>
    <w:rsid w:val="00CE0898"/>
    <w:rsid w:val="00CE3610"/>
    <w:rsid w:val="00CE39CE"/>
    <w:rsid w:val="00CF4E05"/>
    <w:rsid w:val="00CF68C7"/>
    <w:rsid w:val="00CF7A84"/>
    <w:rsid w:val="00D016CC"/>
    <w:rsid w:val="00D037EE"/>
    <w:rsid w:val="00D0526C"/>
    <w:rsid w:val="00D0755E"/>
    <w:rsid w:val="00D07689"/>
    <w:rsid w:val="00D102FF"/>
    <w:rsid w:val="00D10906"/>
    <w:rsid w:val="00D15964"/>
    <w:rsid w:val="00D16B27"/>
    <w:rsid w:val="00D172D3"/>
    <w:rsid w:val="00D20540"/>
    <w:rsid w:val="00D20643"/>
    <w:rsid w:val="00D22021"/>
    <w:rsid w:val="00D269BD"/>
    <w:rsid w:val="00D272ED"/>
    <w:rsid w:val="00D31134"/>
    <w:rsid w:val="00D329F6"/>
    <w:rsid w:val="00D32A42"/>
    <w:rsid w:val="00D33813"/>
    <w:rsid w:val="00D34138"/>
    <w:rsid w:val="00D3497C"/>
    <w:rsid w:val="00D35EF4"/>
    <w:rsid w:val="00D36B2B"/>
    <w:rsid w:val="00D40665"/>
    <w:rsid w:val="00D45222"/>
    <w:rsid w:val="00D4540E"/>
    <w:rsid w:val="00D45831"/>
    <w:rsid w:val="00D52559"/>
    <w:rsid w:val="00D54A97"/>
    <w:rsid w:val="00D6081D"/>
    <w:rsid w:val="00D60F5D"/>
    <w:rsid w:val="00D61AE0"/>
    <w:rsid w:val="00D62556"/>
    <w:rsid w:val="00D71267"/>
    <w:rsid w:val="00D72A3E"/>
    <w:rsid w:val="00D73BFC"/>
    <w:rsid w:val="00D752F9"/>
    <w:rsid w:val="00D756A8"/>
    <w:rsid w:val="00D76BE5"/>
    <w:rsid w:val="00D81433"/>
    <w:rsid w:val="00D82E42"/>
    <w:rsid w:val="00D85952"/>
    <w:rsid w:val="00D8695F"/>
    <w:rsid w:val="00D869BC"/>
    <w:rsid w:val="00D872BF"/>
    <w:rsid w:val="00D87C96"/>
    <w:rsid w:val="00D90D87"/>
    <w:rsid w:val="00D933D5"/>
    <w:rsid w:val="00D941A7"/>
    <w:rsid w:val="00D9439D"/>
    <w:rsid w:val="00D95371"/>
    <w:rsid w:val="00DA16AF"/>
    <w:rsid w:val="00DA6391"/>
    <w:rsid w:val="00DA6C93"/>
    <w:rsid w:val="00DB15D3"/>
    <w:rsid w:val="00DB2C15"/>
    <w:rsid w:val="00DB2C54"/>
    <w:rsid w:val="00DB49D0"/>
    <w:rsid w:val="00DB593E"/>
    <w:rsid w:val="00DB5F94"/>
    <w:rsid w:val="00DB649B"/>
    <w:rsid w:val="00DB75AA"/>
    <w:rsid w:val="00DB7BBF"/>
    <w:rsid w:val="00DB7EA4"/>
    <w:rsid w:val="00DC1CFD"/>
    <w:rsid w:val="00DC551C"/>
    <w:rsid w:val="00DC710C"/>
    <w:rsid w:val="00DC751A"/>
    <w:rsid w:val="00DD057A"/>
    <w:rsid w:val="00DD2B63"/>
    <w:rsid w:val="00DD2F4B"/>
    <w:rsid w:val="00DD67F7"/>
    <w:rsid w:val="00DE1633"/>
    <w:rsid w:val="00DE4555"/>
    <w:rsid w:val="00DE6C3C"/>
    <w:rsid w:val="00DE7897"/>
    <w:rsid w:val="00DF3B0E"/>
    <w:rsid w:val="00DF455F"/>
    <w:rsid w:val="00DF4964"/>
    <w:rsid w:val="00DF6D43"/>
    <w:rsid w:val="00DF6DE8"/>
    <w:rsid w:val="00DF7DF7"/>
    <w:rsid w:val="00E01346"/>
    <w:rsid w:val="00E027B6"/>
    <w:rsid w:val="00E06596"/>
    <w:rsid w:val="00E107E1"/>
    <w:rsid w:val="00E13592"/>
    <w:rsid w:val="00E13F09"/>
    <w:rsid w:val="00E16101"/>
    <w:rsid w:val="00E163C4"/>
    <w:rsid w:val="00E176CF"/>
    <w:rsid w:val="00E17DD1"/>
    <w:rsid w:val="00E20FEF"/>
    <w:rsid w:val="00E24AD8"/>
    <w:rsid w:val="00E2630A"/>
    <w:rsid w:val="00E26ED4"/>
    <w:rsid w:val="00E32867"/>
    <w:rsid w:val="00E3395E"/>
    <w:rsid w:val="00E358D1"/>
    <w:rsid w:val="00E36079"/>
    <w:rsid w:val="00E43565"/>
    <w:rsid w:val="00E43F36"/>
    <w:rsid w:val="00E454BE"/>
    <w:rsid w:val="00E4653F"/>
    <w:rsid w:val="00E46A5A"/>
    <w:rsid w:val="00E46F81"/>
    <w:rsid w:val="00E477F5"/>
    <w:rsid w:val="00E479E9"/>
    <w:rsid w:val="00E50468"/>
    <w:rsid w:val="00E5214A"/>
    <w:rsid w:val="00E53A05"/>
    <w:rsid w:val="00E5424F"/>
    <w:rsid w:val="00E55DA6"/>
    <w:rsid w:val="00E55FE1"/>
    <w:rsid w:val="00E5619F"/>
    <w:rsid w:val="00E6212E"/>
    <w:rsid w:val="00E64CF0"/>
    <w:rsid w:val="00E65F7E"/>
    <w:rsid w:val="00E6797A"/>
    <w:rsid w:val="00E67DA3"/>
    <w:rsid w:val="00E758D6"/>
    <w:rsid w:val="00E80649"/>
    <w:rsid w:val="00E81E44"/>
    <w:rsid w:val="00E83089"/>
    <w:rsid w:val="00E858E4"/>
    <w:rsid w:val="00E85EEC"/>
    <w:rsid w:val="00E86E13"/>
    <w:rsid w:val="00E90AA2"/>
    <w:rsid w:val="00E976C3"/>
    <w:rsid w:val="00EA3506"/>
    <w:rsid w:val="00EA36B9"/>
    <w:rsid w:val="00EA41A8"/>
    <w:rsid w:val="00EA4494"/>
    <w:rsid w:val="00EA4DF5"/>
    <w:rsid w:val="00EA6646"/>
    <w:rsid w:val="00EB1068"/>
    <w:rsid w:val="00EB3753"/>
    <w:rsid w:val="00EC060A"/>
    <w:rsid w:val="00EC1207"/>
    <w:rsid w:val="00EC204D"/>
    <w:rsid w:val="00EC2495"/>
    <w:rsid w:val="00EC2615"/>
    <w:rsid w:val="00EC2E73"/>
    <w:rsid w:val="00EC4188"/>
    <w:rsid w:val="00ED25C3"/>
    <w:rsid w:val="00ED4DC5"/>
    <w:rsid w:val="00ED5677"/>
    <w:rsid w:val="00ED685C"/>
    <w:rsid w:val="00ED792A"/>
    <w:rsid w:val="00ED7D10"/>
    <w:rsid w:val="00EE2DAF"/>
    <w:rsid w:val="00EE5263"/>
    <w:rsid w:val="00EE58AD"/>
    <w:rsid w:val="00EF18F8"/>
    <w:rsid w:val="00EF1E77"/>
    <w:rsid w:val="00EF5C17"/>
    <w:rsid w:val="00EF6057"/>
    <w:rsid w:val="00EF68C0"/>
    <w:rsid w:val="00F0049F"/>
    <w:rsid w:val="00F02CA7"/>
    <w:rsid w:val="00F05741"/>
    <w:rsid w:val="00F05EDD"/>
    <w:rsid w:val="00F06049"/>
    <w:rsid w:val="00F12660"/>
    <w:rsid w:val="00F131E7"/>
    <w:rsid w:val="00F1487B"/>
    <w:rsid w:val="00F14C3A"/>
    <w:rsid w:val="00F1760D"/>
    <w:rsid w:val="00F2131A"/>
    <w:rsid w:val="00F22EE7"/>
    <w:rsid w:val="00F23823"/>
    <w:rsid w:val="00F25451"/>
    <w:rsid w:val="00F255F7"/>
    <w:rsid w:val="00F26721"/>
    <w:rsid w:val="00F30AD3"/>
    <w:rsid w:val="00F3174C"/>
    <w:rsid w:val="00F332BD"/>
    <w:rsid w:val="00F337A3"/>
    <w:rsid w:val="00F33B61"/>
    <w:rsid w:val="00F40766"/>
    <w:rsid w:val="00F41CB6"/>
    <w:rsid w:val="00F42C66"/>
    <w:rsid w:val="00F45260"/>
    <w:rsid w:val="00F46B3A"/>
    <w:rsid w:val="00F50218"/>
    <w:rsid w:val="00F52B3B"/>
    <w:rsid w:val="00F53224"/>
    <w:rsid w:val="00F54970"/>
    <w:rsid w:val="00F54CB7"/>
    <w:rsid w:val="00F55BF2"/>
    <w:rsid w:val="00F5738E"/>
    <w:rsid w:val="00F60DC5"/>
    <w:rsid w:val="00F62D5C"/>
    <w:rsid w:val="00F6379F"/>
    <w:rsid w:val="00F6774F"/>
    <w:rsid w:val="00F719DA"/>
    <w:rsid w:val="00F734FA"/>
    <w:rsid w:val="00F74903"/>
    <w:rsid w:val="00F76E68"/>
    <w:rsid w:val="00F81FFE"/>
    <w:rsid w:val="00F82F66"/>
    <w:rsid w:val="00F85D89"/>
    <w:rsid w:val="00F876A3"/>
    <w:rsid w:val="00F87D73"/>
    <w:rsid w:val="00F92150"/>
    <w:rsid w:val="00F92EB6"/>
    <w:rsid w:val="00F94101"/>
    <w:rsid w:val="00F94B61"/>
    <w:rsid w:val="00F95563"/>
    <w:rsid w:val="00F96146"/>
    <w:rsid w:val="00FA0649"/>
    <w:rsid w:val="00FA16D4"/>
    <w:rsid w:val="00FA4FDD"/>
    <w:rsid w:val="00FA571B"/>
    <w:rsid w:val="00FA5D2D"/>
    <w:rsid w:val="00FB1AE2"/>
    <w:rsid w:val="00FB3C81"/>
    <w:rsid w:val="00FB6984"/>
    <w:rsid w:val="00FB6E70"/>
    <w:rsid w:val="00FB7557"/>
    <w:rsid w:val="00FC2B3B"/>
    <w:rsid w:val="00FD00B5"/>
    <w:rsid w:val="00FD036A"/>
    <w:rsid w:val="00FD5905"/>
    <w:rsid w:val="00FD5D38"/>
    <w:rsid w:val="00FD6F75"/>
    <w:rsid w:val="00FD7843"/>
    <w:rsid w:val="00FE0D10"/>
    <w:rsid w:val="00FE10F2"/>
    <w:rsid w:val="00FE160A"/>
    <w:rsid w:val="00FE28C8"/>
    <w:rsid w:val="00FE2B00"/>
    <w:rsid w:val="00FE2EEA"/>
    <w:rsid w:val="00FE5618"/>
    <w:rsid w:val="00FE59F9"/>
    <w:rsid w:val="00FE5A58"/>
    <w:rsid w:val="00FE5DAE"/>
    <w:rsid w:val="00FE7DA7"/>
    <w:rsid w:val="00FF2B9D"/>
    <w:rsid w:val="00FF640A"/>
    <w:rsid w:val="00FF6FAD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045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36266"/>
    <w:pPr>
      <w:keepNext/>
      <w:numPr>
        <w:numId w:val="2"/>
      </w:numPr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qFormat/>
    <w:rsid w:val="0098612E"/>
    <w:pPr>
      <w:keepNext/>
      <w:numPr>
        <w:ilvl w:val="1"/>
        <w:numId w:val="2"/>
      </w:numPr>
      <w:spacing w:before="120" w:after="12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98612E"/>
    <w:pPr>
      <w:keepNext/>
      <w:numPr>
        <w:ilvl w:val="2"/>
        <w:numId w:val="2"/>
      </w:num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305BA"/>
    <w:pPr>
      <w:keepNext/>
      <w:numPr>
        <w:ilvl w:val="3"/>
        <w:numId w:val="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0305BA"/>
    <w:pPr>
      <w:keepNext/>
      <w:numPr>
        <w:ilvl w:val="4"/>
        <w:numId w:val="2"/>
      </w:numPr>
      <w:outlineLvl w:val="4"/>
    </w:pPr>
  </w:style>
  <w:style w:type="paragraph" w:styleId="Heading6">
    <w:name w:val="heading 6"/>
    <w:basedOn w:val="Normal"/>
    <w:next w:val="Normal"/>
    <w:qFormat/>
    <w:rsid w:val="000305BA"/>
    <w:pPr>
      <w:keepNext/>
      <w:numPr>
        <w:ilvl w:val="5"/>
        <w:numId w:val="2"/>
      </w:num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0305BA"/>
    <w:pPr>
      <w:keepNext/>
      <w:numPr>
        <w:ilvl w:val="6"/>
        <w:numId w:val="2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305BA"/>
    <w:pPr>
      <w:keepNext/>
      <w:numPr>
        <w:ilvl w:val="7"/>
        <w:numId w:val="2"/>
      </w:numPr>
      <w:pBdr>
        <w:top w:val="single" w:sz="8" w:space="1" w:color="auto"/>
        <w:bottom w:val="single" w:sz="8" w:space="1" w:color="auto"/>
      </w:pBdr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0305BA"/>
    <w:pPr>
      <w:keepNext/>
      <w:numPr>
        <w:ilvl w:val="8"/>
        <w:numId w:val="2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0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305BA"/>
    <w:rPr>
      <w:sz w:val="16"/>
    </w:rPr>
  </w:style>
  <w:style w:type="paragraph" w:styleId="BodyText2">
    <w:name w:val="Body Text 2"/>
    <w:basedOn w:val="Normal"/>
    <w:link w:val="BodyText2Char"/>
    <w:rsid w:val="000305BA"/>
  </w:style>
  <w:style w:type="paragraph" w:styleId="TOC1">
    <w:name w:val="toc 1"/>
    <w:basedOn w:val="Normal"/>
    <w:next w:val="Normal"/>
    <w:autoRedefine/>
    <w:uiPriority w:val="39"/>
    <w:rsid w:val="0018359E"/>
    <w:pPr>
      <w:tabs>
        <w:tab w:val="left" w:pos="400"/>
        <w:tab w:val="right" w:leader="dot" w:pos="863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0305BA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rsid w:val="000305BA"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0305BA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0305BA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0305BA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0305BA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0305BA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0305BA"/>
    <w:pPr>
      <w:ind w:left="1600"/>
    </w:pPr>
    <w:rPr>
      <w:sz w:val="18"/>
    </w:rPr>
  </w:style>
  <w:style w:type="paragraph" w:styleId="BodyTextIndent">
    <w:name w:val="Body Text Indent"/>
    <w:basedOn w:val="Normal"/>
    <w:link w:val="BodyTextIndentChar"/>
    <w:rsid w:val="000305BA"/>
    <w:pPr>
      <w:ind w:left="450"/>
    </w:pPr>
  </w:style>
  <w:style w:type="character" w:styleId="PageNumber">
    <w:name w:val="page number"/>
    <w:basedOn w:val="DefaultParagraphFont"/>
    <w:rsid w:val="000305BA"/>
  </w:style>
  <w:style w:type="paragraph" w:styleId="FootnoteText">
    <w:name w:val="footnote text"/>
    <w:basedOn w:val="Normal"/>
    <w:semiHidden/>
    <w:rsid w:val="000305BA"/>
  </w:style>
  <w:style w:type="character" w:styleId="FootnoteReference">
    <w:name w:val="footnote reference"/>
    <w:basedOn w:val="DefaultParagraphFont"/>
    <w:semiHidden/>
    <w:rsid w:val="000305BA"/>
    <w:rPr>
      <w:vertAlign w:val="superscript"/>
    </w:rPr>
  </w:style>
  <w:style w:type="paragraph" w:styleId="Caption">
    <w:name w:val="caption"/>
    <w:basedOn w:val="Normal"/>
    <w:next w:val="Normal"/>
    <w:qFormat/>
    <w:rsid w:val="00452CB0"/>
    <w:rPr>
      <w:sz w:val="22"/>
    </w:rPr>
  </w:style>
  <w:style w:type="paragraph" w:styleId="BodyText3">
    <w:name w:val="Body Text 3"/>
    <w:basedOn w:val="Normal"/>
    <w:rsid w:val="000305BA"/>
  </w:style>
  <w:style w:type="character" w:styleId="CommentReference">
    <w:name w:val="annotation reference"/>
    <w:basedOn w:val="DefaultParagraphFont"/>
    <w:semiHidden/>
    <w:rsid w:val="000305BA"/>
    <w:rPr>
      <w:sz w:val="16"/>
    </w:rPr>
  </w:style>
  <w:style w:type="paragraph" w:styleId="CommentText">
    <w:name w:val="annotation text"/>
    <w:basedOn w:val="Normal"/>
    <w:semiHidden/>
    <w:rsid w:val="000305BA"/>
  </w:style>
  <w:style w:type="paragraph" w:styleId="BodyTextIndent2">
    <w:name w:val="Body Text Indent 2"/>
    <w:basedOn w:val="Normal"/>
    <w:rsid w:val="000305BA"/>
    <w:pPr>
      <w:ind w:left="180" w:hanging="180"/>
    </w:pPr>
  </w:style>
  <w:style w:type="character" w:customStyle="1" w:styleId="HeaderChar">
    <w:name w:val="Header Char"/>
    <w:basedOn w:val="DefaultParagraphFont"/>
    <w:link w:val="Header"/>
    <w:uiPriority w:val="99"/>
    <w:rsid w:val="00F52B3B"/>
    <w:rPr>
      <w:lang w:val="en-US" w:eastAsia="en-US" w:bidi="ar-SA"/>
    </w:rPr>
  </w:style>
  <w:style w:type="paragraph" w:customStyle="1" w:styleId="Level1">
    <w:name w:val="Level 1"/>
    <w:basedOn w:val="Normal"/>
    <w:rsid w:val="007C6A88"/>
    <w:pPr>
      <w:numPr>
        <w:numId w:val="1"/>
      </w:numPr>
    </w:pPr>
    <w:rPr>
      <w:b/>
      <w:szCs w:val="24"/>
    </w:rPr>
  </w:style>
  <w:style w:type="paragraph" w:styleId="List">
    <w:name w:val="List"/>
    <w:basedOn w:val="Normal"/>
    <w:rsid w:val="00254F4C"/>
    <w:pPr>
      <w:ind w:left="360" w:hanging="360"/>
    </w:pPr>
  </w:style>
  <w:style w:type="paragraph" w:styleId="List2">
    <w:name w:val="List 2"/>
    <w:basedOn w:val="Normal"/>
    <w:rsid w:val="00254F4C"/>
    <w:pPr>
      <w:ind w:left="720" w:hanging="360"/>
    </w:pPr>
  </w:style>
  <w:style w:type="character" w:styleId="LineNumber">
    <w:name w:val="line number"/>
    <w:basedOn w:val="DefaultParagraphFont"/>
    <w:rsid w:val="00254F4C"/>
  </w:style>
  <w:style w:type="paragraph" w:styleId="List3">
    <w:name w:val="List 3"/>
    <w:basedOn w:val="Normal"/>
    <w:rsid w:val="00254F4C"/>
    <w:pPr>
      <w:ind w:left="1080" w:hanging="360"/>
    </w:pPr>
  </w:style>
  <w:style w:type="paragraph" w:customStyle="1" w:styleId="Level2">
    <w:name w:val="Level 2"/>
    <w:basedOn w:val="Normal"/>
    <w:rsid w:val="007C6A88"/>
    <w:pPr>
      <w:numPr>
        <w:ilvl w:val="1"/>
        <w:numId w:val="1"/>
      </w:numPr>
    </w:pPr>
    <w:rPr>
      <w:szCs w:val="24"/>
    </w:rPr>
  </w:style>
  <w:style w:type="paragraph" w:customStyle="1" w:styleId="Level3">
    <w:name w:val="Level 3"/>
    <w:basedOn w:val="Level2"/>
    <w:rsid w:val="007C6A88"/>
    <w:pPr>
      <w:numPr>
        <w:ilvl w:val="2"/>
      </w:numPr>
    </w:pPr>
    <w:rPr>
      <w:b/>
    </w:rPr>
  </w:style>
  <w:style w:type="character" w:styleId="Hyperlink">
    <w:name w:val="Hyperlink"/>
    <w:basedOn w:val="DefaultParagraphFont"/>
    <w:uiPriority w:val="99"/>
    <w:rsid w:val="007225F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350BDE"/>
    <w:rPr>
      <w:rFonts w:eastAsia="SimSun"/>
      <w:b/>
      <w:bCs/>
    </w:rPr>
  </w:style>
  <w:style w:type="table" w:styleId="TableGrid">
    <w:name w:val="Table Grid"/>
    <w:basedOn w:val="TableNormal"/>
    <w:rsid w:val="00350A2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38A"/>
    <w:pPr>
      <w:ind w:left="720"/>
    </w:pPr>
  </w:style>
  <w:style w:type="paragraph" w:styleId="Title">
    <w:name w:val="Title"/>
    <w:basedOn w:val="Normal"/>
    <w:link w:val="TitleChar"/>
    <w:qFormat/>
    <w:rsid w:val="007C37E5"/>
    <w:pPr>
      <w:jc w:val="center"/>
    </w:pPr>
    <w:rPr>
      <w:rFonts w:eastAsia="Times"/>
      <w:b/>
      <w:sz w:val="28"/>
    </w:rPr>
  </w:style>
  <w:style w:type="character" w:customStyle="1" w:styleId="TitleChar">
    <w:name w:val="Title Char"/>
    <w:basedOn w:val="DefaultParagraphFont"/>
    <w:link w:val="Title"/>
    <w:rsid w:val="007C37E5"/>
    <w:rPr>
      <w:rFonts w:eastAsia="Times"/>
      <w:b/>
      <w:sz w:val="28"/>
    </w:rPr>
  </w:style>
  <w:style w:type="paragraph" w:styleId="Subtitle">
    <w:name w:val="Subtitle"/>
    <w:basedOn w:val="Normal"/>
    <w:link w:val="SubtitleChar"/>
    <w:qFormat/>
    <w:rsid w:val="007C37E5"/>
    <w:pPr>
      <w:jc w:val="center"/>
    </w:pPr>
    <w:rPr>
      <w:rFonts w:eastAsia="Times"/>
      <w:b/>
      <w:sz w:val="28"/>
    </w:rPr>
  </w:style>
  <w:style w:type="character" w:customStyle="1" w:styleId="SubtitleChar">
    <w:name w:val="Subtitle Char"/>
    <w:basedOn w:val="DefaultParagraphFont"/>
    <w:link w:val="Subtitle"/>
    <w:rsid w:val="007C37E5"/>
    <w:rPr>
      <w:rFonts w:eastAsia="Times"/>
      <w:b/>
      <w:sz w:val="28"/>
    </w:rPr>
  </w:style>
  <w:style w:type="paragraph" w:styleId="BalloonText">
    <w:name w:val="Balloon Text"/>
    <w:basedOn w:val="Normal"/>
    <w:link w:val="BalloonTextChar"/>
    <w:rsid w:val="00B2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5BB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35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949EF"/>
    <w:rPr>
      <w:sz w:val="24"/>
    </w:rPr>
  </w:style>
  <w:style w:type="table" w:customStyle="1" w:styleId="LightShading-Accent11">
    <w:name w:val="Light Shading - Accent 11"/>
    <w:basedOn w:val="TableNormal"/>
    <w:uiPriority w:val="60"/>
    <w:rsid w:val="00035932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0E4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484E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A3680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266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rsid w:val="00000909"/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000909"/>
    <w:rPr>
      <w:sz w:val="24"/>
    </w:rPr>
  </w:style>
  <w:style w:type="paragraph" w:styleId="Revision">
    <w:name w:val="Revision"/>
    <w:hidden/>
    <w:uiPriority w:val="99"/>
    <w:semiHidden/>
    <w:rsid w:val="00E32867"/>
  </w:style>
  <w:style w:type="character" w:customStyle="1" w:styleId="Heading2Char">
    <w:name w:val="Heading 2 Char"/>
    <w:basedOn w:val="DefaultParagraphFont"/>
    <w:link w:val="Heading2"/>
    <w:rsid w:val="00DF455F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5BA"/>
  </w:style>
  <w:style w:type="paragraph" w:styleId="Heading1">
    <w:name w:val="heading 1"/>
    <w:basedOn w:val="Normal"/>
    <w:next w:val="Normal"/>
    <w:qFormat/>
    <w:rsid w:val="00336266"/>
    <w:pPr>
      <w:keepNext/>
      <w:numPr>
        <w:numId w:val="3"/>
      </w:numPr>
      <w:ind w:left="36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rsid w:val="000305BA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0305BA"/>
    <w:pPr>
      <w:keepNext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0305BA"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0305BA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305BA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0305BA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305BA"/>
    <w:pPr>
      <w:keepNext/>
      <w:pBdr>
        <w:top w:val="single" w:sz="8" w:space="1" w:color="auto"/>
        <w:bottom w:val="single" w:sz="8" w:space="1" w:color="auto"/>
      </w:pBdr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0305BA"/>
    <w:pPr>
      <w:keepNext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0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305BA"/>
    <w:rPr>
      <w:sz w:val="16"/>
    </w:rPr>
  </w:style>
  <w:style w:type="paragraph" w:styleId="BodyText2">
    <w:name w:val="Body Text 2"/>
    <w:basedOn w:val="Normal"/>
    <w:link w:val="BodyText2Char"/>
    <w:rsid w:val="000305BA"/>
    <w:rPr>
      <w:sz w:val="24"/>
    </w:rPr>
  </w:style>
  <w:style w:type="paragraph" w:styleId="TOC1">
    <w:name w:val="toc 1"/>
    <w:basedOn w:val="Normal"/>
    <w:next w:val="Normal"/>
    <w:autoRedefine/>
    <w:uiPriority w:val="39"/>
    <w:rsid w:val="0018359E"/>
    <w:pPr>
      <w:tabs>
        <w:tab w:val="left" w:pos="400"/>
        <w:tab w:val="right" w:leader="dot" w:pos="863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0305BA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0305BA"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0305BA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0305BA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0305BA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0305BA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0305BA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0305BA"/>
    <w:pPr>
      <w:ind w:left="1600"/>
    </w:pPr>
    <w:rPr>
      <w:sz w:val="18"/>
    </w:rPr>
  </w:style>
  <w:style w:type="paragraph" w:styleId="BodyTextIndent">
    <w:name w:val="Body Text Indent"/>
    <w:basedOn w:val="Normal"/>
    <w:link w:val="BodyTextIndentChar"/>
    <w:rsid w:val="000305BA"/>
    <w:pPr>
      <w:ind w:left="450"/>
    </w:pPr>
    <w:rPr>
      <w:sz w:val="24"/>
    </w:rPr>
  </w:style>
  <w:style w:type="character" w:styleId="PageNumber">
    <w:name w:val="page number"/>
    <w:basedOn w:val="DefaultParagraphFont"/>
    <w:rsid w:val="000305BA"/>
  </w:style>
  <w:style w:type="paragraph" w:styleId="FootnoteText">
    <w:name w:val="footnote text"/>
    <w:basedOn w:val="Normal"/>
    <w:semiHidden/>
    <w:rsid w:val="000305BA"/>
  </w:style>
  <w:style w:type="character" w:styleId="FootnoteReference">
    <w:name w:val="footnote reference"/>
    <w:basedOn w:val="DefaultParagraphFont"/>
    <w:semiHidden/>
    <w:rsid w:val="000305BA"/>
    <w:rPr>
      <w:vertAlign w:val="superscript"/>
    </w:rPr>
  </w:style>
  <w:style w:type="paragraph" w:styleId="Caption">
    <w:name w:val="caption"/>
    <w:basedOn w:val="Normal"/>
    <w:next w:val="Normal"/>
    <w:qFormat/>
    <w:rsid w:val="000305BA"/>
    <w:pPr>
      <w:jc w:val="center"/>
    </w:pPr>
    <w:rPr>
      <w:sz w:val="24"/>
    </w:rPr>
  </w:style>
  <w:style w:type="paragraph" w:styleId="BodyText3">
    <w:name w:val="Body Text 3"/>
    <w:basedOn w:val="Normal"/>
    <w:rsid w:val="000305BA"/>
    <w:pPr>
      <w:jc w:val="both"/>
    </w:pPr>
  </w:style>
  <w:style w:type="character" w:styleId="CommentReference">
    <w:name w:val="annotation reference"/>
    <w:basedOn w:val="DefaultParagraphFont"/>
    <w:semiHidden/>
    <w:rsid w:val="000305BA"/>
    <w:rPr>
      <w:sz w:val="16"/>
    </w:rPr>
  </w:style>
  <w:style w:type="paragraph" w:styleId="CommentText">
    <w:name w:val="annotation text"/>
    <w:basedOn w:val="Normal"/>
    <w:semiHidden/>
    <w:rsid w:val="000305BA"/>
  </w:style>
  <w:style w:type="paragraph" w:styleId="BodyTextIndent2">
    <w:name w:val="Body Text Indent 2"/>
    <w:basedOn w:val="Normal"/>
    <w:rsid w:val="000305BA"/>
    <w:pPr>
      <w:ind w:left="180" w:hanging="18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52B3B"/>
    <w:rPr>
      <w:lang w:val="en-US" w:eastAsia="en-US" w:bidi="ar-SA"/>
    </w:rPr>
  </w:style>
  <w:style w:type="paragraph" w:customStyle="1" w:styleId="Level1">
    <w:name w:val="Level 1"/>
    <w:basedOn w:val="Normal"/>
    <w:rsid w:val="007C6A88"/>
    <w:pPr>
      <w:numPr>
        <w:numId w:val="1"/>
      </w:numPr>
    </w:pPr>
    <w:rPr>
      <w:b/>
      <w:sz w:val="24"/>
      <w:szCs w:val="24"/>
    </w:rPr>
  </w:style>
  <w:style w:type="paragraph" w:styleId="List">
    <w:name w:val="List"/>
    <w:basedOn w:val="Normal"/>
    <w:rsid w:val="00254F4C"/>
    <w:pPr>
      <w:ind w:left="360" w:hanging="360"/>
    </w:pPr>
  </w:style>
  <w:style w:type="paragraph" w:styleId="List2">
    <w:name w:val="List 2"/>
    <w:basedOn w:val="Normal"/>
    <w:rsid w:val="00254F4C"/>
    <w:pPr>
      <w:ind w:left="720" w:hanging="360"/>
    </w:pPr>
  </w:style>
  <w:style w:type="character" w:styleId="LineNumber">
    <w:name w:val="line number"/>
    <w:basedOn w:val="DefaultParagraphFont"/>
    <w:rsid w:val="00254F4C"/>
  </w:style>
  <w:style w:type="paragraph" w:styleId="List3">
    <w:name w:val="List 3"/>
    <w:basedOn w:val="Normal"/>
    <w:rsid w:val="00254F4C"/>
    <w:pPr>
      <w:ind w:left="1080" w:hanging="360"/>
    </w:pPr>
  </w:style>
  <w:style w:type="paragraph" w:customStyle="1" w:styleId="Level2">
    <w:name w:val="Level 2"/>
    <w:basedOn w:val="Normal"/>
    <w:rsid w:val="007C6A88"/>
    <w:pPr>
      <w:numPr>
        <w:ilvl w:val="1"/>
        <w:numId w:val="1"/>
      </w:numPr>
    </w:pPr>
    <w:rPr>
      <w:sz w:val="24"/>
      <w:szCs w:val="24"/>
    </w:rPr>
  </w:style>
  <w:style w:type="paragraph" w:customStyle="1" w:styleId="Level3">
    <w:name w:val="Level 3"/>
    <w:basedOn w:val="Level2"/>
    <w:rsid w:val="007C6A88"/>
    <w:pPr>
      <w:numPr>
        <w:ilvl w:val="2"/>
      </w:numPr>
    </w:pPr>
    <w:rPr>
      <w:b/>
    </w:rPr>
  </w:style>
  <w:style w:type="character" w:styleId="Hyperlink">
    <w:name w:val="Hyperlink"/>
    <w:basedOn w:val="DefaultParagraphFont"/>
    <w:uiPriority w:val="99"/>
    <w:rsid w:val="007225F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350BDE"/>
    <w:rPr>
      <w:rFonts w:eastAsia="SimSun"/>
      <w:b/>
      <w:bCs/>
    </w:rPr>
  </w:style>
  <w:style w:type="table" w:styleId="TableGrid">
    <w:name w:val="Table Grid"/>
    <w:basedOn w:val="TableNormal"/>
    <w:rsid w:val="00350A2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38A"/>
    <w:pPr>
      <w:ind w:left="720"/>
    </w:pPr>
  </w:style>
  <w:style w:type="paragraph" w:styleId="Title">
    <w:name w:val="Title"/>
    <w:basedOn w:val="Normal"/>
    <w:link w:val="TitleChar"/>
    <w:qFormat/>
    <w:rsid w:val="007C37E5"/>
    <w:pPr>
      <w:jc w:val="center"/>
    </w:pPr>
    <w:rPr>
      <w:rFonts w:eastAsia="Times"/>
      <w:b/>
      <w:sz w:val="28"/>
    </w:rPr>
  </w:style>
  <w:style w:type="character" w:customStyle="1" w:styleId="TitleChar">
    <w:name w:val="Title Char"/>
    <w:basedOn w:val="DefaultParagraphFont"/>
    <w:link w:val="Title"/>
    <w:rsid w:val="007C37E5"/>
    <w:rPr>
      <w:rFonts w:eastAsia="Times"/>
      <w:b/>
      <w:sz w:val="28"/>
    </w:rPr>
  </w:style>
  <w:style w:type="paragraph" w:styleId="Subtitle">
    <w:name w:val="Subtitle"/>
    <w:basedOn w:val="Normal"/>
    <w:link w:val="SubtitleChar"/>
    <w:qFormat/>
    <w:rsid w:val="007C37E5"/>
    <w:pPr>
      <w:jc w:val="center"/>
    </w:pPr>
    <w:rPr>
      <w:rFonts w:eastAsia="Times"/>
      <w:b/>
      <w:sz w:val="28"/>
    </w:rPr>
  </w:style>
  <w:style w:type="character" w:customStyle="1" w:styleId="SubtitleChar">
    <w:name w:val="Subtitle Char"/>
    <w:basedOn w:val="DefaultParagraphFont"/>
    <w:link w:val="Subtitle"/>
    <w:rsid w:val="007C37E5"/>
    <w:rPr>
      <w:rFonts w:eastAsia="Times"/>
      <w:b/>
      <w:sz w:val="28"/>
    </w:rPr>
  </w:style>
  <w:style w:type="paragraph" w:styleId="BalloonText">
    <w:name w:val="Balloon Text"/>
    <w:basedOn w:val="Normal"/>
    <w:link w:val="BalloonTextChar"/>
    <w:rsid w:val="00B2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5BB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35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949EF"/>
    <w:rPr>
      <w:sz w:val="24"/>
    </w:rPr>
  </w:style>
  <w:style w:type="table" w:customStyle="1" w:styleId="LightShading-Accent11">
    <w:name w:val="Light Shading - Accent 11"/>
    <w:basedOn w:val="TableNormal"/>
    <w:uiPriority w:val="60"/>
    <w:rsid w:val="00035932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0E4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484E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A3680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266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rsid w:val="00000909"/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000909"/>
    <w:rPr>
      <w:sz w:val="24"/>
    </w:rPr>
  </w:style>
  <w:style w:type="paragraph" w:styleId="Revision">
    <w:name w:val="Revision"/>
    <w:hidden/>
    <w:uiPriority w:val="99"/>
    <w:semiHidden/>
    <w:rsid w:val="00E3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329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7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8187">
              <w:marLeft w:val="0"/>
              <w:marRight w:val="0"/>
              <w:marTop w:val="125"/>
              <w:marBottom w:val="0"/>
              <w:divBdr>
                <w:top w:val="single" w:sz="4" w:space="1" w:color="ACACAC"/>
                <w:left w:val="single" w:sz="4" w:space="1" w:color="ACACAC"/>
                <w:bottom w:val="single" w:sz="4" w:space="1" w:color="ACACAC"/>
                <w:right w:val="single" w:sz="4" w:space="1" w:color="ACACAC"/>
              </w:divBdr>
              <w:divsChild>
                <w:div w:id="139416178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</w:div>
              </w:divsChild>
            </w:div>
          </w:divsChild>
        </w:div>
      </w:divsChild>
    </w:div>
    <w:div w:id="1950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hemyakin@fnal.gov" TargetMode="External"/><Relationship Id="rId14" Type="http://schemas.openxmlformats.org/officeDocument/2006/relationships/hyperlink" Target="http://www.fnal.gov/directorate/documents/FNAL_Engineering_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Veb57</b:Tag>
    <b:SourceType>ConferenceProceedings</b:SourceType>
    <b:Guid>{2963E277-347F-4F09-9E4B-FCB1234C6E63}</b:Guid>
    <b:Author>
      <b:Author>
        <b:NameList>
          <b:Person>
            <b:Last>Vebedev et al</b:Last>
            <b:First>V.</b:First>
          </b:Person>
        </b:NameList>
      </b:Author>
    </b:Author>
    <b:Title>PXIE Optics and Layout</b:Title>
    <b:Year>2012, THPPP057</b:Year>
    <b:ConferenceName>Proc. of  IPAC’12</b:ConferenceName>
    <b:City>New Orleans, USA</b:City>
    <b:RefOrder>2</b:RefOrder>
  </b:Source>
</b:Sources>
</file>

<file path=customXml/itemProps1.xml><?xml version="1.0" encoding="utf-8"?>
<ds:datastoreItem xmlns:ds="http://schemas.openxmlformats.org/officeDocument/2006/customXml" ds:itemID="{AE551D95-B872-4A3D-8E7D-CDF85FDB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Micron Electronics, Inc.</Company>
  <LinksUpToDate>false</LinksUpToDate>
  <CharactersWithSpaces>14813</CharactersWithSpaces>
  <SharedDoc>false</SharedDoc>
  <HLinks>
    <vt:vector size="12" baseType="variant">
      <vt:variant>
        <vt:i4>4391010</vt:i4>
      </vt:variant>
      <vt:variant>
        <vt:i4>3</vt:i4>
      </vt:variant>
      <vt:variant>
        <vt:i4>0</vt:i4>
      </vt:variant>
      <vt:variant>
        <vt:i4>5</vt:i4>
      </vt:variant>
      <vt:variant>
        <vt:lpwstr>http://www.fnal.gov/pub/projectx/pdfs/ICD2_Research_Program_Task_Force_v6.pdf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http://www.fnal.gov/pub/projectx/pdfs/ProjectX.sHolmes.v2.pdf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ruben</dc:creator>
  <dc:description>Rev. 2 updates the number of capacitive and resistive strain gauges.</dc:description>
  <cp:lastModifiedBy>AVS2013</cp:lastModifiedBy>
  <cp:revision>14</cp:revision>
  <cp:lastPrinted>2012-06-25T13:54:00Z</cp:lastPrinted>
  <dcterms:created xsi:type="dcterms:W3CDTF">2013-03-14T14:46:00Z</dcterms:created>
  <dcterms:modified xsi:type="dcterms:W3CDTF">2013-03-14T20:47:00Z</dcterms:modified>
</cp:coreProperties>
</file>