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10"/>
        <w:gridCol w:w="3411"/>
        <w:gridCol w:w="9"/>
        <w:gridCol w:w="3690"/>
      </w:tblGrid>
      <w:tr w:rsidR="00EC171F" w:rsidRPr="002E7136" w14:paraId="7BA2FB9E" w14:textId="77777777" w:rsidTr="00EC171F">
        <w:trPr>
          <w:cantSplit/>
          <w:trHeight w:val="520"/>
        </w:trPr>
        <w:tc>
          <w:tcPr>
            <w:tcW w:w="6921" w:type="dxa"/>
            <w:gridSpan w:val="2"/>
            <w:vMerge w:val="restart"/>
          </w:tcPr>
          <w:p w14:paraId="04156BC0" w14:textId="77777777" w:rsidR="00EC171F" w:rsidRPr="002E7136" w:rsidRDefault="00EC171F" w:rsidP="00F16CD9">
            <w:pPr>
              <w:tabs>
                <w:tab w:val="left" w:pos="1620"/>
              </w:tabs>
              <w:ind w:left="180"/>
              <w:jc w:val="center"/>
              <w:rPr>
                <w:b/>
                <w:sz w:val="32"/>
                <w:szCs w:val="28"/>
              </w:rPr>
            </w:pPr>
          </w:p>
          <w:p w14:paraId="44D34B57" w14:textId="77777777" w:rsidR="00EC171F" w:rsidRPr="00B778CD" w:rsidRDefault="00387C37" w:rsidP="00F16CD9">
            <w:pPr>
              <w:tabs>
                <w:tab w:val="left" w:pos="1620"/>
              </w:tabs>
              <w:ind w:left="180"/>
              <w:jc w:val="center"/>
              <w:rPr>
                <w:b/>
                <w:i/>
                <w:sz w:val="44"/>
                <w:szCs w:val="44"/>
              </w:rPr>
            </w:pPr>
            <w:r>
              <w:rPr>
                <w:b/>
                <w:i/>
                <w:sz w:val="44"/>
                <w:szCs w:val="44"/>
              </w:rPr>
              <w:t>PIP-II</w:t>
            </w:r>
          </w:p>
          <w:p w14:paraId="78FE10FC" w14:textId="77777777" w:rsidR="00EC171F" w:rsidRPr="00B778CD" w:rsidRDefault="00EC171F" w:rsidP="00F16CD9">
            <w:pPr>
              <w:tabs>
                <w:tab w:val="left" w:pos="1620"/>
              </w:tabs>
              <w:ind w:left="180"/>
              <w:jc w:val="center"/>
              <w:rPr>
                <w:b/>
                <w:sz w:val="32"/>
              </w:rPr>
            </w:pPr>
            <w:r w:rsidRPr="002E7136">
              <w:rPr>
                <w:b/>
                <w:sz w:val="32"/>
              </w:rPr>
              <w:t xml:space="preserve">   </w:t>
            </w:r>
            <w:r w:rsidRPr="00B778CD">
              <w:rPr>
                <w:b/>
                <w:sz w:val="32"/>
              </w:rPr>
              <w:t>BASIS of ESTIMATE (BoE)</w:t>
            </w:r>
          </w:p>
          <w:p w14:paraId="45DE7F38" w14:textId="77777777" w:rsidR="00B778CD" w:rsidRDefault="00B778CD" w:rsidP="00F16CD9">
            <w:pPr>
              <w:tabs>
                <w:tab w:val="left" w:pos="1620"/>
              </w:tabs>
              <w:ind w:left="180"/>
              <w:jc w:val="center"/>
              <w:rPr>
                <w:b/>
                <w:sz w:val="32"/>
              </w:rPr>
            </w:pPr>
            <w:r>
              <w:rPr>
                <w:b/>
                <w:sz w:val="32"/>
              </w:rPr>
              <w:t>for</w:t>
            </w:r>
          </w:p>
          <w:p w14:paraId="481AE79B" w14:textId="77777777" w:rsidR="007E1355" w:rsidRDefault="007E1355" w:rsidP="007E1355">
            <w:pPr>
              <w:tabs>
                <w:tab w:val="left" w:pos="1620"/>
              </w:tabs>
              <w:ind w:left="180"/>
              <w:jc w:val="center"/>
              <w:rPr>
                <w:b/>
                <w:i/>
                <w:sz w:val="32"/>
              </w:rPr>
            </w:pPr>
            <w:r>
              <w:rPr>
                <w:b/>
                <w:i/>
                <w:sz w:val="32"/>
              </w:rPr>
              <w:t xml:space="preserve">121.06.05.01 </w:t>
            </w:r>
            <w:proofErr w:type="spellStart"/>
            <w:r>
              <w:rPr>
                <w:b/>
                <w:i/>
                <w:sz w:val="32"/>
              </w:rPr>
              <w:t>CnvF</w:t>
            </w:r>
            <w:proofErr w:type="spellEnd"/>
            <w:r>
              <w:rPr>
                <w:b/>
                <w:i/>
                <w:sz w:val="32"/>
              </w:rPr>
              <w:t xml:space="preserve"> - </w:t>
            </w:r>
            <w:proofErr w:type="spellStart"/>
            <w:r>
              <w:rPr>
                <w:b/>
                <w:i/>
                <w:sz w:val="32"/>
              </w:rPr>
              <w:t>Cmplx</w:t>
            </w:r>
            <w:proofErr w:type="spellEnd"/>
            <w:r>
              <w:rPr>
                <w:b/>
                <w:i/>
                <w:sz w:val="32"/>
              </w:rPr>
              <w:t xml:space="preserve"> - Project Management and Coordination (PM)</w:t>
            </w:r>
          </w:p>
          <w:p w14:paraId="1AC72BAE" w14:textId="3E4715C4" w:rsidR="00654585" w:rsidRDefault="00654585" w:rsidP="00654585">
            <w:pPr>
              <w:tabs>
                <w:tab w:val="left" w:pos="1620"/>
              </w:tabs>
              <w:ind w:left="180"/>
              <w:jc w:val="center"/>
              <w:rPr>
                <w:b/>
                <w:i/>
                <w:sz w:val="32"/>
              </w:rPr>
            </w:pPr>
          </w:p>
          <w:p w14:paraId="7990D873" w14:textId="77777777" w:rsidR="00EC171F" w:rsidRPr="002E7136" w:rsidRDefault="00EC171F" w:rsidP="00F16CD9">
            <w:pPr>
              <w:tabs>
                <w:tab w:val="left" w:pos="1620"/>
              </w:tabs>
              <w:ind w:left="180"/>
              <w:jc w:val="center"/>
              <w:rPr>
                <w:b/>
                <w:sz w:val="32"/>
              </w:rPr>
            </w:pPr>
          </w:p>
        </w:tc>
        <w:tc>
          <w:tcPr>
            <w:tcW w:w="3699" w:type="dxa"/>
            <w:gridSpan w:val="2"/>
            <w:vAlign w:val="center"/>
          </w:tcPr>
          <w:p w14:paraId="44CCB0AF" w14:textId="4D5B0510" w:rsidR="00EC171F" w:rsidRPr="00D66A86" w:rsidRDefault="00EC171F" w:rsidP="00933FF2">
            <w:pPr>
              <w:ind w:left="180"/>
              <w:jc w:val="center"/>
              <w:rPr>
                <w:b/>
              </w:rPr>
            </w:pPr>
            <w:r w:rsidRPr="00D66A86">
              <w:rPr>
                <w:b/>
                <w:sz w:val="20"/>
              </w:rPr>
              <w:t>Date of Est</w:t>
            </w:r>
            <w:r>
              <w:rPr>
                <w:b/>
                <w:sz w:val="20"/>
              </w:rPr>
              <w:t>imate</w:t>
            </w:r>
            <w:r w:rsidRPr="006B6640">
              <w:rPr>
                <w:b/>
                <w:sz w:val="20"/>
                <w:szCs w:val="20"/>
              </w:rPr>
              <w:t>:</w:t>
            </w:r>
            <w:r w:rsidR="007D2D94">
              <w:rPr>
                <w:b/>
                <w:sz w:val="20"/>
                <w:szCs w:val="20"/>
              </w:rPr>
              <w:t xml:space="preserve"> </w:t>
            </w:r>
            <w:r w:rsidR="007D2D94" w:rsidRPr="007D2D94">
              <w:rPr>
                <w:sz w:val="20"/>
                <w:szCs w:val="20"/>
              </w:rPr>
              <w:t xml:space="preserve"> </w:t>
            </w:r>
            <w:r w:rsidR="00794B82">
              <w:rPr>
                <w:sz w:val="20"/>
                <w:szCs w:val="20"/>
              </w:rPr>
              <w:t xml:space="preserve">February </w:t>
            </w:r>
            <w:r w:rsidR="00AB73A5">
              <w:rPr>
                <w:sz w:val="20"/>
                <w:szCs w:val="20"/>
              </w:rPr>
              <w:t>27</w:t>
            </w:r>
            <w:r w:rsidR="00794B82">
              <w:rPr>
                <w:sz w:val="20"/>
                <w:szCs w:val="20"/>
              </w:rPr>
              <w:t>, 2019</w:t>
            </w:r>
          </w:p>
        </w:tc>
      </w:tr>
      <w:tr w:rsidR="00EC171F" w14:paraId="2AA5F795" w14:textId="77777777" w:rsidTr="00EC171F">
        <w:trPr>
          <w:cantSplit/>
          <w:trHeight w:val="530"/>
        </w:trPr>
        <w:tc>
          <w:tcPr>
            <w:tcW w:w="6921" w:type="dxa"/>
            <w:gridSpan w:val="2"/>
            <w:vMerge/>
          </w:tcPr>
          <w:p w14:paraId="369BD8A1" w14:textId="77777777" w:rsidR="00EC171F" w:rsidRDefault="00EC171F" w:rsidP="00F16CD9">
            <w:pPr>
              <w:ind w:left="180"/>
            </w:pPr>
          </w:p>
        </w:tc>
        <w:tc>
          <w:tcPr>
            <w:tcW w:w="3699" w:type="dxa"/>
            <w:gridSpan w:val="2"/>
            <w:tcBorders>
              <w:top w:val="single" w:sz="4" w:space="0" w:color="auto"/>
            </w:tcBorders>
            <w:vAlign w:val="center"/>
          </w:tcPr>
          <w:p w14:paraId="13D278A0" w14:textId="77777777" w:rsidR="00A6089B" w:rsidRDefault="00A6089B" w:rsidP="000560BB">
            <w:pPr>
              <w:ind w:left="180"/>
              <w:jc w:val="center"/>
              <w:rPr>
                <w:b/>
                <w:sz w:val="20"/>
              </w:rPr>
            </w:pPr>
          </w:p>
          <w:p w14:paraId="0C6A4754" w14:textId="0A82E37F" w:rsidR="00EC171F" w:rsidRDefault="00EC171F" w:rsidP="000560BB">
            <w:pPr>
              <w:ind w:left="180"/>
              <w:jc w:val="center"/>
              <w:rPr>
                <w:sz w:val="20"/>
              </w:rPr>
            </w:pPr>
            <w:r>
              <w:rPr>
                <w:b/>
                <w:sz w:val="20"/>
              </w:rPr>
              <w:t xml:space="preserve">Prepared by: </w:t>
            </w:r>
            <w:r w:rsidR="00D54FD4">
              <w:rPr>
                <w:sz w:val="20"/>
              </w:rPr>
              <w:t>S. Dixon</w:t>
            </w:r>
          </w:p>
          <w:p w14:paraId="643F13A4" w14:textId="77777777" w:rsidR="00A6089B" w:rsidRDefault="00A6089B" w:rsidP="000560BB">
            <w:pPr>
              <w:ind w:left="180"/>
              <w:jc w:val="center"/>
              <w:rPr>
                <w:b/>
                <w:sz w:val="20"/>
              </w:rPr>
            </w:pPr>
          </w:p>
          <w:p w14:paraId="62E16845" w14:textId="4F765D7D" w:rsidR="00A6089B" w:rsidRDefault="00A6089B" w:rsidP="000560BB">
            <w:pPr>
              <w:ind w:left="180"/>
              <w:jc w:val="center"/>
              <w:rPr>
                <w:sz w:val="20"/>
              </w:rPr>
            </w:pPr>
            <w:r w:rsidRPr="00C11928">
              <w:rPr>
                <w:sz w:val="20"/>
              </w:rPr>
              <w:t xml:space="preserve">Contributing </w:t>
            </w:r>
            <w:r w:rsidR="00012ABA" w:rsidRPr="00C11928">
              <w:rPr>
                <w:sz w:val="20"/>
              </w:rPr>
              <w:t>Authors: _</w:t>
            </w:r>
            <w:r w:rsidRPr="00C11928">
              <w:rPr>
                <w:sz w:val="20"/>
              </w:rPr>
              <w:t>_______</w:t>
            </w:r>
          </w:p>
          <w:p w14:paraId="7C6A1C45" w14:textId="77777777" w:rsidR="008A3D2B" w:rsidRDefault="008A3D2B" w:rsidP="000560BB">
            <w:pPr>
              <w:ind w:left="180"/>
              <w:jc w:val="center"/>
              <w:rPr>
                <w:sz w:val="20"/>
              </w:rPr>
            </w:pPr>
          </w:p>
          <w:p w14:paraId="0DCB70EA" w14:textId="1DBAE0B3" w:rsidR="008A3D2B" w:rsidRPr="00C11928" w:rsidRDefault="008A3D2B" w:rsidP="000560BB">
            <w:pPr>
              <w:ind w:left="180"/>
              <w:jc w:val="center"/>
              <w:rPr>
                <w:sz w:val="20"/>
              </w:rPr>
            </w:pPr>
            <w:r>
              <w:rPr>
                <w:sz w:val="20"/>
              </w:rPr>
              <w:t xml:space="preserve">Reviewed </w:t>
            </w:r>
            <w:r w:rsidR="00012ABA">
              <w:rPr>
                <w:sz w:val="20"/>
              </w:rPr>
              <w:t xml:space="preserve">by: </w:t>
            </w:r>
            <w:r w:rsidR="00AB73A5">
              <w:rPr>
                <w:sz w:val="20"/>
              </w:rPr>
              <w:t>E. Huedem, R. Wielgos</w:t>
            </w:r>
          </w:p>
          <w:p w14:paraId="50B77F92" w14:textId="77777777" w:rsidR="00A6089B" w:rsidRDefault="00A6089B" w:rsidP="000560BB">
            <w:pPr>
              <w:ind w:left="180"/>
              <w:jc w:val="center"/>
              <w:rPr>
                <w:b/>
                <w:sz w:val="20"/>
              </w:rPr>
            </w:pPr>
          </w:p>
        </w:tc>
      </w:tr>
      <w:tr w:rsidR="00EC171F" w14:paraId="1874CE8C" w14:textId="77777777" w:rsidTr="008C35F9">
        <w:trPr>
          <w:cantSplit/>
          <w:trHeight w:val="530"/>
        </w:trPr>
        <w:tc>
          <w:tcPr>
            <w:tcW w:w="6921" w:type="dxa"/>
            <w:gridSpan w:val="2"/>
            <w:vMerge/>
            <w:tcBorders>
              <w:bottom w:val="single" w:sz="4" w:space="0" w:color="auto"/>
            </w:tcBorders>
          </w:tcPr>
          <w:p w14:paraId="3C17C60D" w14:textId="77777777" w:rsidR="00EC171F" w:rsidRDefault="00EC171F" w:rsidP="00F16CD9">
            <w:pPr>
              <w:ind w:left="180"/>
            </w:pPr>
          </w:p>
        </w:tc>
        <w:tc>
          <w:tcPr>
            <w:tcW w:w="3699" w:type="dxa"/>
            <w:gridSpan w:val="2"/>
            <w:tcBorders>
              <w:top w:val="single" w:sz="4" w:space="0" w:color="auto"/>
            </w:tcBorders>
            <w:vAlign w:val="center"/>
          </w:tcPr>
          <w:p w14:paraId="7715C007" w14:textId="18FE1F47" w:rsidR="00EC171F" w:rsidRDefault="00EC171F" w:rsidP="00012ABA">
            <w:pPr>
              <w:ind w:left="180"/>
              <w:jc w:val="center"/>
              <w:rPr>
                <w:b/>
                <w:sz w:val="20"/>
              </w:rPr>
            </w:pPr>
            <w:proofErr w:type="spellStart"/>
            <w:r>
              <w:rPr>
                <w:b/>
                <w:sz w:val="20"/>
              </w:rPr>
              <w:t>Docdb</w:t>
            </w:r>
            <w:proofErr w:type="spellEnd"/>
            <w:r>
              <w:rPr>
                <w:b/>
                <w:sz w:val="20"/>
              </w:rPr>
              <w:t xml:space="preserve"> #: </w:t>
            </w:r>
            <w:r w:rsidR="0021393E">
              <w:rPr>
                <w:sz w:val="20"/>
              </w:rPr>
              <w:t>2</w:t>
            </w:r>
            <w:r w:rsidR="00C255C9">
              <w:rPr>
                <w:sz w:val="20"/>
              </w:rPr>
              <w:t>1</w:t>
            </w:r>
            <w:r w:rsidR="007E1355">
              <w:rPr>
                <w:sz w:val="20"/>
              </w:rPr>
              <w:t>18</w:t>
            </w:r>
          </w:p>
        </w:tc>
      </w:tr>
      <w:tr w:rsidR="008C35F9" w14:paraId="17D0D0B1" w14:textId="77777777" w:rsidTr="008C35F9">
        <w:trPr>
          <w:trHeight w:val="465"/>
        </w:trPr>
        <w:tc>
          <w:tcPr>
            <w:tcW w:w="3510" w:type="dxa"/>
            <w:tcBorders>
              <w:top w:val="single" w:sz="4" w:space="0" w:color="auto"/>
            </w:tcBorders>
            <w:vAlign w:val="center"/>
          </w:tcPr>
          <w:p w14:paraId="54248A07" w14:textId="3CECFB14" w:rsidR="008C35F9" w:rsidRDefault="008C35F9" w:rsidP="00D676C7">
            <w:pPr>
              <w:ind w:left="180"/>
              <w:jc w:val="center"/>
            </w:pPr>
            <w:r>
              <w:rPr>
                <w:b/>
                <w:sz w:val="20"/>
              </w:rPr>
              <w:t xml:space="preserve">WBS number:   </w:t>
            </w:r>
            <w:r w:rsidR="00075089">
              <w:rPr>
                <w:b/>
                <w:sz w:val="20"/>
              </w:rPr>
              <w:t>121.</w:t>
            </w:r>
            <w:r w:rsidR="001849A2">
              <w:rPr>
                <w:b/>
                <w:sz w:val="20"/>
              </w:rPr>
              <w:t>06.0</w:t>
            </w:r>
            <w:r w:rsidR="007E1355">
              <w:rPr>
                <w:b/>
                <w:sz w:val="20"/>
              </w:rPr>
              <w:t>5</w:t>
            </w:r>
            <w:r w:rsidR="001849A2">
              <w:rPr>
                <w:b/>
                <w:sz w:val="20"/>
              </w:rPr>
              <w:t>.</w:t>
            </w:r>
            <w:r w:rsidR="003C4927">
              <w:rPr>
                <w:b/>
                <w:sz w:val="20"/>
              </w:rPr>
              <w:t>01</w:t>
            </w:r>
          </w:p>
        </w:tc>
        <w:tc>
          <w:tcPr>
            <w:tcW w:w="3420" w:type="dxa"/>
            <w:gridSpan w:val="2"/>
            <w:vAlign w:val="center"/>
          </w:tcPr>
          <w:p w14:paraId="18D01F17" w14:textId="0A7B8EDB" w:rsidR="008C35F9" w:rsidRPr="007F7A02" w:rsidRDefault="008C35F9" w:rsidP="00C64F19">
            <w:pPr>
              <w:ind w:left="180"/>
              <w:jc w:val="center"/>
              <w:rPr>
                <w:sz w:val="20"/>
                <w:szCs w:val="20"/>
              </w:rPr>
            </w:pPr>
            <w:r>
              <w:rPr>
                <w:b/>
                <w:sz w:val="20"/>
                <w:szCs w:val="20"/>
              </w:rPr>
              <w:t xml:space="preserve">Control </w:t>
            </w:r>
            <w:r w:rsidR="00737A0A">
              <w:rPr>
                <w:b/>
                <w:sz w:val="20"/>
                <w:szCs w:val="20"/>
              </w:rPr>
              <w:t>Account:</w:t>
            </w:r>
            <w:r w:rsidRPr="00636B96">
              <w:rPr>
                <w:sz w:val="20"/>
                <w:szCs w:val="20"/>
              </w:rPr>
              <w:t xml:space="preserve">  </w:t>
            </w:r>
            <w:r w:rsidR="00C255C9">
              <w:rPr>
                <w:sz w:val="20"/>
                <w:szCs w:val="20"/>
              </w:rPr>
              <w:t>121.06.0</w:t>
            </w:r>
            <w:r w:rsidR="007E1355">
              <w:rPr>
                <w:sz w:val="20"/>
                <w:szCs w:val="20"/>
              </w:rPr>
              <w:t>5</w:t>
            </w:r>
            <w:r w:rsidR="001849A2">
              <w:rPr>
                <w:sz w:val="20"/>
                <w:szCs w:val="20"/>
              </w:rPr>
              <w:t>.01</w:t>
            </w:r>
          </w:p>
        </w:tc>
        <w:tc>
          <w:tcPr>
            <w:tcW w:w="3690" w:type="dxa"/>
            <w:vAlign w:val="center"/>
          </w:tcPr>
          <w:p w14:paraId="03456217" w14:textId="59DDC6F2" w:rsidR="008C35F9" w:rsidRPr="007F7A02" w:rsidRDefault="008C35F9" w:rsidP="00D6224A">
            <w:pPr>
              <w:ind w:left="180"/>
              <w:jc w:val="center"/>
              <w:rPr>
                <w:sz w:val="20"/>
                <w:szCs w:val="20"/>
              </w:rPr>
            </w:pPr>
            <w:r w:rsidRPr="007F7A02">
              <w:rPr>
                <w:b/>
                <w:sz w:val="20"/>
                <w:szCs w:val="20"/>
              </w:rPr>
              <w:t>WBS Title:</w:t>
            </w:r>
            <w:r w:rsidR="00C255C9">
              <w:rPr>
                <w:sz w:val="20"/>
                <w:szCs w:val="20"/>
              </w:rPr>
              <w:t xml:space="preserve"> </w:t>
            </w:r>
            <w:proofErr w:type="spellStart"/>
            <w:r w:rsidR="007E1355">
              <w:rPr>
                <w:sz w:val="20"/>
                <w:szCs w:val="20"/>
              </w:rPr>
              <w:t>CnvF</w:t>
            </w:r>
            <w:proofErr w:type="spellEnd"/>
            <w:r w:rsidR="007E1355">
              <w:rPr>
                <w:sz w:val="20"/>
                <w:szCs w:val="20"/>
              </w:rPr>
              <w:t xml:space="preserve"> - </w:t>
            </w:r>
            <w:proofErr w:type="spellStart"/>
            <w:r w:rsidR="007E1355">
              <w:rPr>
                <w:sz w:val="20"/>
                <w:szCs w:val="20"/>
              </w:rPr>
              <w:t>Cmplx</w:t>
            </w:r>
            <w:proofErr w:type="spellEnd"/>
            <w:r w:rsidR="007E1355">
              <w:rPr>
                <w:sz w:val="20"/>
                <w:szCs w:val="20"/>
              </w:rPr>
              <w:t xml:space="preserve"> - Project Management and Coordination (PM)</w:t>
            </w:r>
          </w:p>
        </w:tc>
      </w:tr>
      <w:tr w:rsidR="00C47CD8" w14:paraId="653358AE" w14:textId="77777777" w:rsidTr="00F73A7E">
        <w:trPr>
          <w:trHeight w:val="565"/>
        </w:trPr>
        <w:tc>
          <w:tcPr>
            <w:tcW w:w="10620" w:type="dxa"/>
            <w:gridSpan w:val="4"/>
          </w:tcPr>
          <w:p w14:paraId="40E2E2F4" w14:textId="77777777" w:rsidR="007F7A02" w:rsidRDefault="00136233" w:rsidP="00F801E9">
            <w:pPr>
              <w:ind w:left="180"/>
              <w:rPr>
                <w:b/>
                <w:sz w:val="20"/>
              </w:rPr>
            </w:pPr>
            <w:r>
              <w:rPr>
                <w:b/>
                <w:sz w:val="20"/>
              </w:rPr>
              <w:t>WBS Dictionary</w:t>
            </w:r>
            <w:r w:rsidR="008814E1">
              <w:rPr>
                <w:b/>
                <w:sz w:val="20"/>
              </w:rPr>
              <w:t xml:space="preserve"> Definition</w:t>
            </w:r>
            <w:r>
              <w:rPr>
                <w:b/>
                <w:sz w:val="20"/>
              </w:rPr>
              <w:t xml:space="preserve">: </w:t>
            </w:r>
          </w:p>
          <w:p w14:paraId="5B299483" w14:textId="18A34103" w:rsidR="00015DEA" w:rsidRDefault="00F7480D" w:rsidP="00F7480D">
            <w:pPr>
              <w:ind w:left="259"/>
              <w:jc w:val="both"/>
              <w:rPr>
                <w:sz w:val="20"/>
              </w:rPr>
            </w:pPr>
            <w:r w:rsidRPr="00F7480D">
              <w:rPr>
                <w:sz w:val="20"/>
              </w:rPr>
              <w:t>Project management for the Linac Complex including the oversight and coordination of the technical effort, project planning and scheduling, cost estimating, risk and contingency analysis, and reporting.  Includes travel costs for management, technical coordination, and vendor visits.</w:t>
            </w:r>
            <w:bookmarkStart w:id="0" w:name="_GoBack"/>
            <w:bookmarkEnd w:id="0"/>
          </w:p>
        </w:tc>
      </w:tr>
      <w:tr w:rsidR="00C47CD8" w:rsidRPr="0059641B" w14:paraId="7A8949E8" w14:textId="77777777" w:rsidTr="0023620D">
        <w:trPr>
          <w:trHeight w:val="438"/>
        </w:trPr>
        <w:tc>
          <w:tcPr>
            <w:tcW w:w="10620" w:type="dxa"/>
            <w:gridSpan w:val="4"/>
          </w:tcPr>
          <w:p w14:paraId="7DDDE50C" w14:textId="77777777" w:rsidR="00000FE3" w:rsidRPr="0023620D" w:rsidRDefault="00826AE4" w:rsidP="00F16CD9">
            <w:pPr>
              <w:ind w:left="180"/>
              <w:rPr>
                <w:b/>
                <w:color w:val="FF0000"/>
                <w:sz w:val="20"/>
              </w:rPr>
            </w:pPr>
            <w:r w:rsidRPr="0059641B">
              <w:rPr>
                <w:b/>
                <w:sz w:val="20"/>
              </w:rPr>
              <w:t>Supporting</w:t>
            </w:r>
            <w:r w:rsidR="00C47CD8" w:rsidRPr="0059641B">
              <w:rPr>
                <w:b/>
                <w:sz w:val="20"/>
              </w:rPr>
              <w:t xml:space="preserve"> Documents (including but not limited to):</w:t>
            </w:r>
            <w:r w:rsidR="002E7136" w:rsidRPr="0059641B">
              <w:rPr>
                <w:b/>
                <w:sz w:val="20"/>
              </w:rPr>
              <w:t xml:space="preserve"> </w:t>
            </w:r>
          </w:p>
          <w:p w14:paraId="1FE563AC" w14:textId="27BCC2BC" w:rsidR="00933FF2" w:rsidRPr="00933FF2" w:rsidRDefault="00933FF2" w:rsidP="00933FF2">
            <w:pPr>
              <w:pStyle w:val="ListParagraph"/>
              <w:numPr>
                <w:ilvl w:val="0"/>
                <w:numId w:val="8"/>
              </w:numPr>
              <w:rPr>
                <w:sz w:val="20"/>
              </w:rPr>
            </w:pPr>
            <w:r>
              <w:rPr>
                <w:sz w:val="20"/>
              </w:rPr>
              <w:t>PIP-II-doc-144 for PIP-II Project Assumptions Document;</w:t>
            </w:r>
          </w:p>
          <w:p w14:paraId="2B10AF6B" w14:textId="77777777" w:rsidR="00933FF2" w:rsidRDefault="00933FF2" w:rsidP="00933FF2">
            <w:pPr>
              <w:pStyle w:val="ListParagraph"/>
              <w:numPr>
                <w:ilvl w:val="0"/>
                <w:numId w:val="8"/>
              </w:numPr>
              <w:rPr>
                <w:sz w:val="20"/>
              </w:rPr>
            </w:pPr>
            <w:r>
              <w:rPr>
                <w:sz w:val="20"/>
              </w:rPr>
              <w:t>PIP-II-doc-345 Contingency Rules for Basis of Estimates;</w:t>
            </w:r>
          </w:p>
          <w:p w14:paraId="6FD7E04A" w14:textId="454FC42E" w:rsidR="00933FF2" w:rsidRDefault="00933FF2" w:rsidP="00933FF2">
            <w:pPr>
              <w:pStyle w:val="ListParagraph"/>
              <w:numPr>
                <w:ilvl w:val="0"/>
                <w:numId w:val="8"/>
              </w:numPr>
              <w:rPr>
                <w:sz w:val="20"/>
              </w:rPr>
            </w:pPr>
            <w:r>
              <w:rPr>
                <w:sz w:val="20"/>
              </w:rPr>
              <w:t xml:space="preserve">PIP-II-doc-528 PIP-II Fermilab </w:t>
            </w:r>
            <w:r w:rsidR="00F137BC">
              <w:rPr>
                <w:sz w:val="20"/>
              </w:rPr>
              <w:t>Interface Document</w:t>
            </w:r>
            <w:r>
              <w:rPr>
                <w:sz w:val="20"/>
              </w:rPr>
              <w:t>;</w:t>
            </w:r>
          </w:p>
          <w:p w14:paraId="2025F866" w14:textId="05E2EEC4" w:rsidR="00F5335E" w:rsidRDefault="00F5335E" w:rsidP="00933FF2">
            <w:pPr>
              <w:pStyle w:val="ListParagraph"/>
              <w:numPr>
                <w:ilvl w:val="0"/>
                <w:numId w:val="8"/>
              </w:numPr>
              <w:rPr>
                <w:sz w:val="20"/>
              </w:rPr>
            </w:pPr>
            <w:r>
              <w:rPr>
                <w:sz w:val="20"/>
              </w:rPr>
              <w:t>PIP-II-doc-327 EDIA Calculation</w:t>
            </w:r>
          </w:p>
          <w:p w14:paraId="531F8049" w14:textId="1CA49D8F" w:rsidR="00D54FD4" w:rsidRPr="0059641B" w:rsidRDefault="00D54FD4" w:rsidP="00933FF2">
            <w:pPr>
              <w:pStyle w:val="ListParagraph"/>
              <w:ind w:left="900"/>
              <w:rPr>
                <w:b/>
                <w:sz w:val="20"/>
              </w:rPr>
            </w:pPr>
          </w:p>
        </w:tc>
      </w:tr>
      <w:tr w:rsidR="0023620D" w:rsidRPr="0023620D" w14:paraId="02FDAE42" w14:textId="77777777" w:rsidTr="00EC171F">
        <w:trPr>
          <w:trHeight w:val="438"/>
        </w:trPr>
        <w:tc>
          <w:tcPr>
            <w:tcW w:w="10620" w:type="dxa"/>
            <w:gridSpan w:val="4"/>
            <w:tcBorders>
              <w:bottom w:val="single" w:sz="8" w:space="0" w:color="auto"/>
            </w:tcBorders>
          </w:tcPr>
          <w:p w14:paraId="7FE53DDE" w14:textId="7B5265F6" w:rsidR="0023620D" w:rsidRDefault="00F76298" w:rsidP="0023620D">
            <w:pPr>
              <w:ind w:left="180"/>
              <w:rPr>
                <w:i/>
                <w:color w:val="FF0000"/>
                <w:sz w:val="20"/>
              </w:rPr>
            </w:pPr>
            <w:r w:rsidRPr="00520937">
              <w:rPr>
                <w:b/>
                <w:sz w:val="20"/>
              </w:rPr>
              <w:t>Assumptions:</w:t>
            </w:r>
            <w:r w:rsidR="00D90B5E">
              <w:rPr>
                <w:b/>
                <w:sz w:val="20"/>
              </w:rPr>
              <w:t xml:space="preserve"> </w:t>
            </w:r>
          </w:p>
          <w:p w14:paraId="1CADC352" w14:textId="139B92C2" w:rsidR="00933FF2" w:rsidRPr="00717386" w:rsidRDefault="00933FF2" w:rsidP="00933FF2">
            <w:pPr>
              <w:pStyle w:val="ListParagraph"/>
              <w:numPr>
                <w:ilvl w:val="0"/>
                <w:numId w:val="9"/>
              </w:numPr>
              <w:rPr>
                <w:sz w:val="20"/>
              </w:rPr>
            </w:pPr>
            <w:r>
              <w:rPr>
                <w:sz w:val="20"/>
              </w:rPr>
              <w:t xml:space="preserve">This Basis of Estimate covers activities after </w:t>
            </w:r>
            <w:r w:rsidR="00AB73A5">
              <w:rPr>
                <w:sz w:val="20"/>
              </w:rPr>
              <w:t>February 1, 2019</w:t>
            </w:r>
            <w:r>
              <w:rPr>
                <w:sz w:val="20"/>
              </w:rPr>
              <w:t>;</w:t>
            </w:r>
          </w:p>
          <w:p w14:paraId="77F4EEA2" w14:textId="737E2DC1" w:rsidR="00933FF2" w:rsidRPr="00933FF2" w:rsidRDefault="00933FF2" w:rsidP="00933FF2">
            <w:pPr>
              <w:pStyle w:val="ListParagraph"/>
              <w:numPr>
                <w:ilvl w:val="0"/>
                <w:numId w:val="9"/>
              </w:numPr>
              <w:rPr>
                <w:sz w:val="20"/>
              </w:rPr>
            </w:pPr>
            <w:r>
              <w:rPr>
                <w:sz w:val="20"/>
              </w:rPr>
              <w:t>This</w:t>
            </w:r>
            <w:r w:rsidRPr="00C371EC">
              <w:rPr>
                <w:sz w:val="20"/>
              </w:rPr>
              <w:t xml:space="preserve"> WBS </w:t>
            </w:r>
            <w:r>
              <w:rPr>
                <w:sz w:val="20"/>
              </w:rPr>
              <w:t>does not include</w:t>
            </w:r>
            <w:r w:rsidRPr="00C371EC">
              <w:rPr>
                <w:sz w:val="20"/>
              </w:rPr>
              <w:t xml:space="preserve"> a</w:t>
            </w:r>
            <w:r>
              <w:rPr>
                <w:sz w:val="20"/>
              </w:rPr>
              <w:t>ny extraordinary technology requirements;</w:t>
            </w:r>
          </w:p>
          <w:p w14:paraId="0A73B125" w14:textId="2237E860" w:rsidR="00933FF2" w:rsidRDefault="00933FF2" w:rsidP="00933FF2">
            <w:pPr>
              <w:pStyle w:val="ListParagraph"/>
              <w:numPr>
                <w:ilvl w:val="0"/>
                <w:numId w:val="9"/>
              </w:numPr>
              <w:rPr>
                <w:sz w:val="20"/>
              </w:rPr>
            </w:pPr>
            <w:r>
              <w:rPr>
                <w:sz w:val="20"/>
              </w:rPr>
              <w:t>Costs listed are in 201</w:t>
            </w:r>
            <w:r w:rsidR="003C4927">
              <w:rPr>
                <w:sz w:val="20"/>
              </w:rPr>
              <w:t>8</w:t>
            </w:r>
            <w:r>
              <w:rPr>
                <w:sz w:val="20"/>
              </w:rPr>
              <w:t xml:space="preserve"> dollars and </w:t>
            </w:r>
            <w:r w:rsidRPr="006D38C6">
              <w:rPr>
                <w:sz w:val="20"/>
                <w:u w:val="single"/>
              </w:rPr>
              <w:t>do not</w:t>
            </w:r>
            <w:r>
              <w:rPr>
                <w:sz w:val="20"/>
              </w:rPr>
              <w:t xml:space="preserve"> include escalation;</w:t>
            </w:r>
          </w:p>
          <w:p w14:paraId="135F8853" w14:textId="77777777" w:rsidR="00933FF2" w:rsidRDefault="00933FF2" w:rsidP="00933FF2">
            <w:pPr>
              <w:pStyle w:val="ListParagraph"/>
              <w:numPr>
                <w:ilvl w:val="0"/>
                <w:numId w:val="9"/>
              </w:numPr>
              <w:rPr>
                <w:sz w:val="20"/>
              </w:rPr>
            </w:pPr>
            <w:r>
              <w:rPr>
                <w:sz w:val="20"/>
              </w:rPr>
              <w:t xml:space="preserve">Costs listed </w:t>
            </w:r>
            <w:r w:rsidRPr="006D38C6">
              <w:rPr>
                <w:sz w:val="20"/>
                <w:u w:val="single"/>
              </w:rPr>
              <w:t>do not</w:t>
            </w:r>
            <w:r>
              <w:rPr>
                <w:sz w:val="20"/>
              </w:rPr>
              <w:t xml:space="preserve"> include Indirect multipliers;</w:t>
            </w:r>
          </w:p>
          <w:p w14:paraId="52FD8E40" w14:textId="3646ED2C" w:rsidR="00933FF2" w:rsidRDefault="00933FF2" w:rsidP="00933FF2">
            <w:pPr>
              <w:pStyle w:val="ListParagraph"/>
              <w:numPr>
                <w:ilvl w:val="0"/>
                <w:numId w:val="9"/>
              </w:numPr>
              <w:rPr>
                <w:sz w:val="20"/>
              </w:rPr>
            </w:pPr>
            <w:r>
              <w:rPr>
                <w:sz w:val="20"/>
              </w:rPr>
              <w:t xml:space="preserve">One (1) full time equivalent (FTE) is based on 1,768 hours worked per year; </w:t>
            </w:r>
          </w:p>
          <w:p w14:paraId="18835FC4" w14:textId="448AAD3A" w:rsidR="00933FF2" w:rsidRPr="00E36BA1" w:rsidRDefault="00933FF2" w:rsidP="00E36BA1">
            <w:pPr>
              <w:ind w:left="540"/>
              <w:rPr>
                <w:sz w:val="20"/>
              </w:rPr>
            </w:pPr>
          </w:p>
        </w:tc>
      </w:tr>
    </w:tbl>
    <w:p w14:paraId="5912DB76" w14:textId="77777777" w:rsidR="00144973" w:rsidRPr="0023620D" w:rsidRDefault="00144973" w:rsidP="00F16CD9">
      <w:pPr>
        <w:ind w:left="180" w:right="360"/>
        <w:rPr>
          <w:sz w:val="20"/>
          <w:szCs w:val="20"/>
        </w:rPr>
      </w:pPr>
    </w:p>
    <w:p w14:paraId="61EBE9E0" w14:textId="1FE97CAE" w:rsidR="00300A7F" w:rsidRPr="0059641B" w:rsidRDefault="00300A7F" w:rsidP="00F16CD9">
      <w:pPr>
        <w:ind w:right="-360"/>
        <w:rPr>
          <w:b/>
          <w:u w:val="single"/>
        </w:rPr>
      </w:pPr>
    </w:p>
    <w:p w14:paraId="4241F182" w14:textId="0E49FA5D" w:rsidR="007F44FD" w:rsidRPr="00387C37" w:rsidRDefault="00D66A86" w:rsidP="00D463A3">
      <w:pPr>
        <w:outlineLvl w:val="0"/>
        <w:rPr>
          <w:b/>
          <w:i/>
        </w:rPr>
      </w:pPr>
      <w:r w:rsidRPr="00933FF2">
        <w:rPr>
          <w:b/>
          <w:sz w:val="32"/>
          <w:szCs w:val="32"/>
        </w:rPr>
        <w:t>Details of the Base Estimate</w:t>
      </w:r>
      <w:r w:rsidR="00B778CD">
        <w:rPr>
          <w:b/>
        </w:rPr>
        <w:tab/>
      </w:r>
      <w:r w:rsidR="00B778CD">
        <w:rPr>
          <w:b/>
        </w:rPr>
        <w:tab/>
      </w:r>
      <w:r w:rsidR="008A3D2B">
        <w:rPr>
          <w:b/>
        </w:rPr>
        <w:t xml:space="preserve"> </w:t>
      </w:r>
    </w:p>
    <w:p w14:paraId="70A01A65" w14:textId="21DD23B1" w:rsidR="00C9632C" w:rsidRPr="00AF6770" w:rsidRDefault="00C9632C" w:rsidP="00D463A3">
      <w:pPr>
        <w:outlineLvl w:val="0"/>
        <w:rPr>
          <w:i/>
          <w:color w:val="FF0000"/>
          <w:sz w:val="16"/>
          <w:szCs w:val="16"/>
        </w:rPr>
      </w:pPr>
    </w:p>
    <w:p w14:paraId="6A11EB33" w14:textId="77777777" w:rsidR="00AF6770" w:rsidRPr="00C911CB" w:rsidRDefault="00AF6770" w:rsidP="00D463A3">
      <w:pPr>
        <w:outlineLvl w:val="0"/>
        <w:rPr>
          <w:b/>
          <w:u w:val="single"/>
        </w:rPr>
      </w:pPr>
      <w:r w:rsidRPr="00C911CB">
        <w:rPr>
          <w:b/>
          <w:u w:val="single"/>
        </w:rPr>
        <w:t>Description</w:t>
      </w:r>
    </w:p>
    <w:p w14:paraId="1261B766" w14:textId="0E0B3CE3" w:rsidR="008002D4" w:rsidRDefault="00933FF2" w:rsidP="00E36BA1">
      <w:pPr>
        <w:jc w:val="both"/>
        <w:outlineLvl w:val="0"/>
        <w:rPr>
          <w:sz w:val="22"/>
          <w:szCs w:val="22"/>
        </w:rPr>
      </w:pPr>
      <w:r>
        <w:rPr>
          <w:sz w:val="22"/>
          <w:szCs w:val="22"/>
        </w:rPr>
        <w:t>This WBS package</w:t>
      </w:r>
      <w:r w:rsidR="00AF6770" w:rsidRPr="005B4046">
        <w:rPr>
          <w:sz w:val="22"/>
          <w:szCs w:val="22"/>
        </w:rPr>
        <w:t xml:space="preserve"> consist</w:t>
      </w:r>
      <w:r w:rsidR="00AD795A">
        <w:rPr>
          <w:sz w:val="22"/>
          <w:szCs w:val="22"/>
        </w:rPr>
        <w:t>s</w:t>
      </w:r>
      <w:r w:rsidR="00AF6770" w:rsidRPr="005B4046">
        <w:rPr>
          <w:sz w:val="22"/>
          <w:szCs w:val="22"/>
        </w:rPr>
        <w:t xml:space="preserve"> </w:t>
      </w:r>
      <w:r w:rsidR="008239FA">
        <w:rPr>
          <w:sz w:val="22"/>
          <w:szCs w:val="22"/>
        </w:rPr>
        <w:t xml:space="preserve">of </w:t>
      </w:r>
      <w:r w:rsidR="00E36BA1">
        <w:rPr>
          <w:sz w:val="22"/>
          <w:szCs w:val="22"/>
        </w:rPr>
        <w:t xml:space="preserve">a portion of </w:t>
      </w:r>
      <w:r w:rsidR="00AD795A">
        <w:rPr>
          <w:sz w:val="22"/>
          <w:szCs w:val="22"/>
        </w:rPr>
        <w:t xml:space="preserve">the </w:t>
      </w:r>
      <w:r w:rsidR="00E36BA1">
        <w:rPr>
          <w:sz w:val="22"/>
          <w:szCs w:val="22"/>
        </w:rPr>
        <w:t xml:space="preserve">annual labor effort to manage and coordinate the conventional </w:t>
      </w:r>
      <w:r w:rsidR="00C255C9">
        <w:rPr>
          <w:sz w:val="22"/>
          <w:szCs w:val="22"/>
        </w:rPr>
        <w:t xml:space="preserve">facilities </w:t>
      </w:r>
      <w:r w:rsidR="007E1355">
        <w:rPr>
          <w:sz w:val="22"/>
          <w:szCs w:val="22"/>
        </w:rPr>
        <w:t>Linac Complex</w:t>
      </w:r>
      <w:r w:rsidR="001F38C1">
        <w:rPr>
          <w:sz w:val="22"/>
          <w:szCs w:val="22"/>
        </w:rPr>
        <w:t xml:space="preserve"> </w:t>
      </w:r>
      <w:r w:rsidR="00E36BA1">
        <w:rPr>
          <w:sz w:val="22"/>
          <w:szCs w:val="22"/>
        </w:rPr>
        <w:t>portion of the PIP-II project.</w:t>
      </w:r>
    </w:p>
    <w:p w14:paraId="36E644AB" w14:textId="3AE5141C" w:rsidR="001C65A6" w:rsidRDefault="001C65A6" w:rsidP="00E36BA1">
      <w:pPr>
        <w:jc w:val="both"/>
        <w:outlineLvl w:val="0"/>
        <w:rPr>
          <w:sz w:val="22"/>
          <w:szCs w:val="22"/>
        </w:rPr>
      </w:pPr>
    </w:p>
    <w:p w14:paraId="42598CBE" w14:textId="77777777" w:rsidR="001C65A6" w:rsidRPr="00C911CB" w:rsidRDefault="001C65A6" w:rsidP="001C65A6">
      <w:pPr>
        <w:ind w:right="-360"/>
        <w:outlineLvl w:val="0"/>
        <w:rPr>
          <w:b/>
          <w:u w:val="single"/>
        </w:rPr>
      </w:pPr>
      <w:r w:rsidRPr="00C911CB">
        <w:rPr>
          <w:b/>
          <w:u w:val="single"/>
        </w:rPr>
        <w:t>De</w:t>
      </w:r>
      <w:r>
        <w:rPr>
          <w:b/>
          <w:u w:val="single"/>
        </w:rPr>
        <w:t>liverables</w:t>
      </w:r>
    </w:p>
    <w:p w14:paraId="014154A9" w14:textId="5463CB3D" w:rsidR="001C65A6" w:rsidRPr="00E36BA1" w:rsidRDefault="001C65A6" w:rsidP="00E36BA1">
      <w:pPr>
        <w:jc w:val="both"/>
        <w:outlineLvl w:val="0"/>
        <w:rPr>
          <w:sz w:val="22"/>
          <w:szCs w:val="22"/>
        </w:rPr>
      </w:pPr>
      <w:r>
        <w:rPr>
          <w:sz w:val="22"/>
          <w:szCs w:val="22"/>
        </w:rPr>
        <w:t>There are no deliverables for this WBS.</w:t>
      </w:r>
    </w:p>
    <w:p w14:paraId="590471BD" w14:textId="77D42867" w:rsidR="00AF6770" w:rsidRDefault="00AF6770" w:rsidP="00D463A3">
      <w:pPr>
        <w:outlineLvl w:val="0"/>
        <w:rPr>
          <w:sz w:val="22"/>
          <w:szCs w:val="22"/>
        </w:rPr>
      </w:pPr>
    </w:p>
    <w:p w14:paraId="500840D3" w14:textId="6494DD3A" w:rsidR="00300A7F" w:rsidRPr="00E36BA1" w:rsidRDefault="00AF6770" w:rsidP="00D463A3">
      <w:pPr>
        <w:outlineLvl w:val="0"/>
        <w:rPr>
          <w:b/>
          <w:u w:val="single"/>
        </w:rPr>
      </w:pPr>
      <w:r>
        <w:rPr>
          <w:b/>
          <w:u w:val="single"/>
        </w:rPr>
        <w:t>Calculation</w:t>
      </w:r>
    </w:p>
    <w:tbl>
      <w:tblPr>
        <w:tblW w:w="10530" w:type="dxa"/>
        <w:tblLook w:val="04A0" w:firstRow="1" w:lastRow="0" w:firstColumn="1" w:lastColumn="0" w:noHBand="0" w:noVBand="1"/>
      </w:tblPr>
      <w:tblGrid>
        <w:gridCol w:w="1480"/>
        <w:gridCol w:w="1240"/>
        <w:gridCol w:w="1578"/>
        <w:gridCol w:w="272"/>
        <w:gridCol w:w="350"/>
        <w:gridCol w:w="1364"/>
        <w:gridCol w:w="1906"/>
        <w:gridCol w:w="1170"/>
        <w:gridCol w:w="1170"/>
      </w:tblGrid>
      <w:tr w:rsidR="007E1355" w14:paraId="7DA9275B" w14:textId="77777777" w:rsidTr="00531C24">
        <w:trPr>
          <w:trHeight w:val="288"/>
        </w:trPr>
        <w:tc>
          <w:tcPr>
            <w:tcW w:w="1480" w:type="dxa"/>
            <w:tcBorders>
              <w:top w:val="nil"/>
              <w:left w:val="nil"/>
              <w:bottom w:val="nil"/>
              <w:right w:val="nil"/>
            </w:tcBorders>
            <w:shd w:val="clear" w:color="auto" w:fill="auto"/>
            <w:noWrap/>
            <w:vAlign w:val="bottom"/>
            <w:hideMark/>
          </w:tcPr>
          <w:p w14:paraId="180DDCDE" w14:textId="77777777" w:rsidR="007E1355" w:rsidRDefault="007E1355">
            <w:pPr>
              <w:rPr>
                <w:sz w:val="20"/>
                <w:szCs w:val="20"/>
              </w:rPr>
            </w:pPr>
          </w:p>
        </w:tc>
        <w:tc>
          <w:tcPr>
            <w:tcW w:w="1240" w:type="dxa"/>
            <w:tcBorders>
              <w:top w:val="nil"/>
              <w:left w:val="nil"/>
              <w:bottom w:val="nil"/>
              <w:right w:val="nil"/>
            </w:tcBorders>
            <w:shd w:val="clear" w:color="auto" w:fill="auto"/>
            <w:noWrap/>
            <w:vAlign w:val="bottom"/>
            <w:hideMark/>
          </w:tcPr>
          <w:p w14:paraId="66DEF295" w14:textId="77777777" w:rsidR="007E1355" w:rsidRDefault="007E1355">
            <w:pPr>
              <w:rPr>
                <w:sz w:val="20"/>
                <w:szCs w:val="20"/>
              </w:rPr>
            </w:pPr>
          </w:p>
        </w:tc>
        <w:tc>
          <w:tcPr>
            <w:tcW w:w="5470" w:type="dxa"/>
            <w:gridSpan w:val="5"/>
            <w:tcBorders>
              <w:top w:val="single" w:sz="8" w:space="0" w:color="auto"/>
              <w:left w:val="single" w:sz="8" w:space="0" w:color="auto"/>
              <w:bottom w:val="nil"/>
              <w:right w:val="nil"/>
            </w:tcBorders>
            <w:shd w:val="clear" w:color="000000" w:fill="ED7D31"/>
            <w:noWrap/>
            <w:vAlign w:val="bottom"/>
            <w:hideMark/>
          </w:tcPr>
          <w:p w14:paraId="120D3857" w14:textId="77777777" w:rsidR="007E1355" w:rsidRDefault="007E1355">
            <w:pPr>
              <w:jc w:val="center"/>
              <w:rPr>
                <w:rFonts w:ascii="Arial" w:hAnsi="Arial" w:cs="Arial"/>
                <w:b/>
                <w:bCs/>
                <w:color w:val="000000"/>
                <w:sz w:val="20"/>
                <w:szCs w:val="20"/>
              </w:rPr>
            </w:pPr>
            <w:r>
              <w:rPr>
                <w:rFonts w:ascii="Arial" w:hAnsi="Arial" w:cs="Arial"/>
                <w:b/>
                <w:bCs/>
                <w:color w:val="000000"/>
                <w:sz w:val="20"/>
                <w:szCs w:val="20"/>
              </w:rPr>
              <w:t>M&amp;S</w:t>
            </w:r>
          </w:p>
        </w:tc>
        <w:tc>
          <w:tcPr>
            <w:tcW w:w="2340" w:type="dxa"/>
            <w:gridSpan w:val="2"/>
            <w:tcBorders>
              <w:top w:val="single" w:sz="8" w:space="0" w:color="auto"/>
              <w:left w:val="single" w:sz="8" w:space="0" w:color="auto"/>
              <w:bottom w:val="nil"/>
              <w:right w:val="single" w:sz="8" w:space="0" w:color="000000"/>
            </w:tcBorders>
            <w:shd w:val="clear" w:color="000000" w:fill="4472C4"/>
            <w:noWrap/>
            <w:vAlign w:val="center"/>
            <w:hideMark/>
          </w:tcPr>
          <w:p w14:paraId="20371EE6" w14:textId="77777777" w:rsidR="007E1355" w:rsidRDefault="007E1355">
            <w:pPr>
              <w:jc w:val="center"/>
              <w:rPr>
                <w:rFonts w:ascii="Arial" w:hAnsi="Arial" w:cs="Arial"/>
                <w:b/>
                <w:bCs/>
                <w:color w:val="FFFFFF"/>
                <w:sz w:val="20"/>
                <w:szCs w:val="20"/>
              </w:rPr>
            </w:pPr>
            <w:r>
              <w:rPr>
                <w:rFonts w:ascii="Arial" w:hAnsi="Arial" w:cs="Arial"/>
                <w:b/>
                <w:bCs/>
                <w:color w:val="FFFFFF"/>
                <w:sz w:val="20"/>
                <w:szCs w:val="20"/>
              </w:rPr>
              <w:t>Labor</w:t>
            </w:r>
          </w:p>
        </w:tc>
      </w:tr>
      <w:tr w:rsidR="007E1355" w14:paraId="5BA8BA35" w14:textId="77777777" w:rsidTr="00531C24">
        <w:trPr>
          <w:trHeight w:val="288"/>
        </w:trPr>
        <w:tc>
          <w:tcPr>
            <w:tcW w:w="1480" w:type="dxa"/>
            <w:tcBorders>
              <w:top w:val="nil"/>
              <w:left w:val="nil"/>
              <w:bottom w:val="nil"/>
              <w:right w:val="nil"/>
            </w:tcBorders>
            <w:shd w:val="clear" w:color="auto" w:fill="auto"/>
            <w:noWrap/>
            <w:vAlign w:val="bottom"/>
            <w:hideMark/>
          </w:tcPr>
          <w:p w14:paraId="5D57CB0A" w14:textId="77777777" w:rsidR="007E1355" w:rsidRDefault="007E1355">
            <w:pPr>
              <w:jc w:val="center"/>
              <w:rPr>
                <w:rFonts w:ascii="Arial" w:hAnsi="Arial" w:cs="Arial"/>
                <w:b/>
                <w:bCs/>
                <w:color w:val="FFFFFF"/>
                <w:sz w:val="20"/>
                <w:szCs w:val="20"/>
              </w:rPr>
            </w:pPr>
          </w:p>
        </w:tc>
        <w:tc>
          <w:tcPr>
            <w:tcW w:w="1240" w:type="dxa"/>
            <w:tcBorders>
              <w:top w:val="nil"/>
              <w:left w:val="nil"/>
              <w:bottom w:val="nil"/>
              <w:right w:val="nil"/>
            </w:tcBorders>
            <w:shd w:val="clear" w:color="auto" w:fill="auto"/>
            <w:noWrap/>
            <w:vAlign w:val="bottom"/>
            <w:hideMark/>
          </w:tcPr>
          <w:p w14:paraId="0C151794" w14:textId="77777777" w:rsidR="007E1355" w:rsidRDefault="007E1355">
            <w:pPr>
              <w:rPr>
                <w:sz w:val="20"/>
                <w:szCs w:val="20"/>
              </w:rPr>
            </w:pPr>
          </w:p>
        </w:tc>
        <w:tc>
          <w:tcPr>
            <w:tcW w:w="1850" w:type="dxa"/>
            <w:gridSpan w:val="2"/>
            <w:tcBorders>
              <w:top w:val="single" w:sz="4" w:space="0" w:color="auto"/>
              <w:left w:val="single" w:sz="8" w:space="0" w:color="auto"/>
              <w:bottom w:val="single" w:sz="4" w:space="0" w:color="auto"/>
              <w:right w:val="single" w:sz="4" w:space="0" w:color="auto"/>
            </w:tcBorders>
            <w:shd w:val="clear" w:color="000000" w:fill="F4B084"/>
            <w:noWrap/>
            <w:vAlign w:val="center"/>
            <w:hideMark/>
          </w:tcPr>
          <w:p w14:paraId="20362D2F" w14:textId="77777777" w:rsidR="007E1355" w:rsidRDefault="007E1355">
            <w:pPr>
              <w:jc w:val="center"/>
              <w:rPr>
                <w:rFonts w:ascii="Arial" w:hAnsi="Arial" w:cs="Arial"/>
                <w:color w:val="000000"/>
                <w:sz w:val="18"/>
                <w:szCs w:val="18"/>
              </w:rPr>
            </w:pPr>
            <w:r>
              <w:rPr>
                <w:rFonts w:ascii="Arial" w:hAnsi="Arial" w:cs="Arial"/>
                <w:color w:val="000000"/>
                <w:sz w:val="18"/>
                <w:szCs w:val="18"/>
              </w:rPr>
              <w:t>A/E</w:t>
            </w:r>
          </w:p>
        </w:tc>
        <w:tc>
          <w:tcPr>
            <w:tcW w:w="1714" w:type="dxa"/>
            <w:gridSpan w:val="2"/>
            <w:tcBorders>
              <w:top w:val="single" w:sz="4" w:space="0" w:color="auto"/>
              <w:left w:val="nil"/>
              <w:bottom w:val="single" w:sz="4" w:space="0" w:color="auto"/>
              <w:right w:val="single" w:sz="4" w:space="0" w:color="auto"/>
            </w:tcBorders>
            <w:shd w:val="clear" w:color="000000" w:fill="F4B084"/>
            <w:noWrap/>
            <w:vAlign w:val="center"/>
            <w:hideMark/>
          </w:tcPr>
          <w:p w14:paraId="59702230" w14:textId="77777777" w:rsidR="007E1355" w:rsidRDefault="007E1355">
            <w:pPr>
              <w:jc w:val="center"/>
              <w:rPr>
                <w:rFonts w:ascii="Arial" w:hAnsi="Arial" w:cs="Arial"/>
                <w:color w:val="000000"/>
                <w:sz w:val="18"/>
                <w:szCs w:val="18"/>
              </w:rPr>
            </w:pPr>
            <w:r>
              <w:rPr>
                <w:rFonts w:ascii="Arial" w:hAnsi="Arial" w:cs="Arial"/>
                <w:color w:val="000000"/>
                <w:sz w:val="18"/>
                <w:szCs w:val="18"/>
              </w:rPr>
              <w:t>FESS/E</w:t>
            </w:r>
          </w:p>
        </w:tc>
        <w:tc>
          <w:tcPr>
            <w:tcW w:w="1906" w:type="dxa"/>
            <w:vMerge w:val="restart"/>
            <w:tcBorders>
              <w:top w:val="single" w:sz="4" w:space="0" w:color="auto"/>
              <w:left w:val="single" w:sz="4" w:space="0" w:color="auto"/>
              <w:bottom w:val="single" w:sz="8" w:space="0" w:color="000000"/>
              <w:right w:val="nil"/>
            </w:tcBorders>
            <w:shd w:val="clear" w:color="000000" w:fill="F4B084"/>
            <w:noWrap/>
            <w:vAlign w:val="center"/>
            <w:hideMark/>
          </w:tcPr>
          <w:p w14:paraId="3DDC7B88" w14:textId="77777777" w:rsidR="007E1355" w:rsidRDefault="007E1355">
            <w:pPr>
              <w:jc w:val="center"/>
              <w:rPr>
                <w:rFonts w:ascii="Arial" w:hAnsi="Arial" w:cs="Arial"/>
                <w:color w:val="000000"/>
                <w:sz w:val="18"/>
                <w:szCs w:val="18"/>
              </w:rPr>
            </w:pPr>
            <w:r>
              <w:rPr>
                <w:rFonts w:ascii="Arial" w:hAnsi="Arial" w:cs="Arial"/>
                <w:color w:val="000000"/>
                <w:sz w:val="18"/>
                <w:szCs w:val="18"/>
              </w:rPr>
              <w:t>Construction</w:t>
            </w:r>
          </w:p>
        </w:tc>
        <w:tc>
          <w:tcPr>
            <w:tcW w:w="1170" w:type="dxa"/>
            <w:vMerge w:val="restart"/>
            <w:tcBorders>
              <w:top w:val="single" w:sz="4" w:space="0" w:color="auto"/>
              <w:left w:val="single" w:sz="8" w:space="0" w:color="auto"/>
              <w:bottom w:val="single" w:sz="8" w:space="0" w:color="000000"/>
              <w:right w:val="single" w:sz="4" w:space="0" w:color="auto"/>
            </w:tcBorders>
            <w:shd w:val="clear" w:color="000000" w:fill="BDD7EE"/>
            <w:noWrap/>
            <w:vAlign w:val="center"/>
            <w:hideMark/>
          </w:tcPr>
          <w:p w14:paraId="4E7BE00E" w14:textId="77777777" w:rsidR="007E1355" w:rsidRDefault="007E1355">
            <w:pPr>
              <w:jc w:val="center"/>
              <w:rPr>
                <w:rFonts w:ascii="Arial" w:hAnsi="Arial" w:cs="Arial"/>
                <w:color w:val="000000"/>
                <w:sz w:val="18"/>
                <w:szCs w:val="18"/>
              </w:rPr>
            </w:pPr>
            <w:r>
              <w:rPr>
                <w:rFonts w:ascii="Arial" w:hAnsi="Arial" w:cs="Arial"/>
                <w:color w:val="000000"/>
                <w:sz w:val="18"/>
                <w:szCs w:val="18"/>
              </w:rPr>
              <w:t>FTE</w:t>
            </w:r>
          </w:p>
        </w:tc>
        <w:tc>
          <w:tcPr>
            <w:tcW w:w="1170" w:type="dxa"/>
            <w:vMerge w:val="restart"/>
            <w:tcBorders>
              <w:top w:val="single" w:sz="4" w:space="0" w:color="auto"/>
              <w:left w:val="single" w:sz="4" w:space="0" w:color="auto"/>
              <w:bottom w:val="single" w:sz="8" w:space="0" w:color="000000"/>
              <w:right w:val="single" w:sz="8" w:space="0" w:color="auto"/>
            </w:tcBorders>
            <w:shd w:val="clear" w:color="000000" w:fill="BDD7EE"/>
            <w:noWrap/>
            <w:vAlign w:val="center"/>
            <w:hideMark/>
          </w:tcPr>
          <w:p w14:paraId="014F5627" w14:textId="77777777" w:rsidR="007E1355" w:rsidRDefault="007E1355">
            <w:pPr>
              <w:jc w:val="center"/>
              <w:rPr>
                <w:rFonts w:ascii="Arial" w:hAnsi="Arial" w:cs="Arial"/>
                <w:color w:val="000000"/>
                <w:sz w:val="18"/>
                <w:szCs w:val="18"/>
              </w:rPr>
            </w:pPr>
            <w:r>
              <w:rPr>
                <w:rFonts w:ascii="Arial" w:hAnsi="Arial" w:cs="Arial"/>
                <w:color w:val="000000"/>
                <w:sz w:val="18"/>
                <w:szCs w:val="18"/>
              </w:rPr>
              <w:t>Hours</w:t>
            </w:r>
          </w:p>
        </w:tc>
      </w:tr>
      <w:tr w:rsidR="007E1355" w14:paraId="64122DD5" w14:textId="77777777" w:rsidTr="00531C24">
        <w:trPr>
          <w:trHeight w:val="300"/>
        </w:trPr>
        <w:tc>
          <w:tcPr>
            <w:tcW w:w="1480" w:type="dxa"/>
            <w:tcBorders>
              <w:top w:val="nil"/>
              <w:left w:val="nil"/>
              <w:bottom w:val="nil"/>
              <w:right w:val="nil"/>
            </w:tcBorders>
            <w:shd w:val="clear" w:color="auto" w:fill="auto"/>
            <w:noWrap/>
            <w:vAlign w:val="bottom"/>
            <w:hideMark/>
          </w:tcPr>
          <w:p w14:paraId="72FC6B41" w14:textId="77777777" w:rsidR="007E1355" w:rsidRDefault="007E1355">
            <w:pPr>
              <w:jc w:val="center"/>
              <w:rPr>
                <w:rFonts w:ascii="Arial" w:hAnsi="Arial" w:cs="Arial"/>
                <w:color w:val="000000"/>
                <w:sz w:val="18"/>
                <w:szCs w:val="18"/>
              </w:rPr>
            </w:pPr>
          </w:p>
        </w:tc>
        <w:tc>
          <w:tcPr>
            <w:tcW w:w="1240" w:type="dxa"/>
            <w:tcBorders>
              <w:top w:val="nil"/>
              <w:left w:val="nil"/>
              <w:bottom w:val="nil"/>
              <w:right w:val="nil"/>
            </w:tcBorders>
            <w:shd w:val="clear" w:color="auto" w:fill="auto"/>
            <w:noWrap/>
            <w:vAlign w:val="bottom"/>
            <w:hideMark/>
          </w:tcPr>
          <w:p w14:paraId="58AB8669" w14:textId="77777777" w:rsidR="007E1355" w:rsidRDefault="007E1355">
            <w:pPr>
              <w:rPr>
                <w:sz w:val="20"/>
                <w:szCs w:val="20"/>
              </w:rPr>
            </w:pPr>
          </w:p>
        </w:tc>
        <w:tc>
          <w:tcPr>
            <w:tcW w:w="1578" w:type="dxa"/>
            <w:tcBorders>
              <w:top w:val="nil"/>
              <w:left w:val="single" w:sz="8" w:space="0" w:color="auto"/>
              <w:bottom w:val="single" w:sz="8" w:space="0" w:color="auto"/>
              <w:right w:val="single" w:sz="4" w:space="0" w:color="auto"/>
            </w:tcBorders>
            <w:shd w:val="clear" w:color="000000" w:fill="F8CBAD"/>
            <w:noWrap/>
            <w:vAlign w:val="center"/>
            <w:hideMark/>
          </w:tcPr>
          <w:p w14:paraId="47505644" w14:textId="77777777" w:rsidR="007E1355" w:rsidRDefault="007E1355">
            <w:pPr>
              <w:jc w:val="center"/>
              <w:rPr>
                <w:rFonts w:ascii="Arial" w:hAnsi="Arial" w:cs="Arial"/>
                <w:color w:val="000000"/>
                <w:sz w:val="18"/>
                <w:szCs w:val="18"/>
              </w:rPr>
            </w:pPr>
            <w:r>
              <w:rPr>
                <w:rFonts w:ascii="Arial" w:hAnsi="Arial" w:cs="Arial"/>
                <w:color w:val="000000"/>
                <w:sz w:val="18"/>
                <w:szCs w:val="18"/>
              </w:rPr>
              <w:t>Design</w:t>
            </w:r>
          </w:p>
        </w:tc>
        <w:tc>
          <w:tcPr>
            <w:tcW w:w="272" w:type="dxa"/>
            <w:tcBorders>
              <w:top w:val="nil"/>
              <w:left w:val="nil"/>
              <w:bottom w:val="single" w:sz="8" w:space="0" w:color="auto"/>
              <w:right w:val="single" w:sz="4" w:space="0" w:color="auto"/>
            </w:tcBorders>
            <w:shd w:val="clear" w:color="000000" w:fill="F8CBAD"/>
            <w:noWrap/>
            <w:vAlign w:val="center"/>
            <w:hideMark/>
          </w:tcPr>
          <w:p w14:paraId="700A4CA9" w14:textId="77777777" w:rsidR="007E1355" w:rsidRDefault="007E1355">
            <w:pPr>
              <w:jc w:val="center"/>
              <w:rPr>
                <w:rFonts w:ascii="Arial" w:hAnsi="Arial" w:cs="Arial"/>
                <w:color w:val="000000"/>
                <w:sz w:val="18"/>
                <w:szCs w:val="18"/>
              </w:rPr>
            </w:pPr>
            <w:r>
              <w:rPr>
                <w:rFonts w:ascii="Arial" w:hAnsi="Arial" w:cs="Arial"/>
                <w:color w:val="000000"/>
                <w:sz w:val="18"/>
                <w:szCs w:val="18"/>
              </w:rPr>
              <w:t> </w:t>
            </w:r>
          </w:p>
        </w:tc>
        <w:tc>
          <w:tcPr>
            <w:tcW w:w="350" w:type="dxa"/>
            <w:tcBorders>
              <w:top w:val="nil"/>
              <w:left w:val="nil"/>
              <w:bottom w:val="single" w:sz="8" w:space="0" w:color="auto"/>
              <w:right w:val="single" w:sz="4" w:space="0" w:color="auto"/>
            </w:tcBorders>
            <w:shd w:val="clear" w:color="000000" w:fill="F8CBAD"/>
            <w:noWrap/>
            <w:vAlign w:val="center"/>
            <w:hideMark/>
          </w:tcPr>
          <w:p w14:paraId="562BE70E" w14:textId="77777777" w:rsidR="007E1355" w:rsidRDefault="007E1355">
            <w:pPr>
              <w:jc w:val="center"/>
              <w:rPr>
                <w:rFonts w:ascii="Arial" w:hAnsi="Arial" w:cs="Arial"/>
                <w:color w:val="000000"/>
                <w:sz w:val="18"/>
                <w:szCs w:val="18"/>
              </w:rPr>
            </w:pPr>
            <w:r>
              <w:rPr>
                <w:rFonts w:ascii="Arial" w:hAnsi="Arial" w:cs="Arial"/>
                <w:color w:val="000000"/>
                <w:sz w:val="18"/>
                <w:szCs w:val="18"/>
              </w:rPr>
              <w:t>$</w:t>
            </w:r>
          </w:p>
        </w:tc>
        <w:tc>
          <w:tcPr>
            <w:tcW w:w="1364" w:type="dxa"/>
            <w:tcBorders>
              <w:top w:val="nil"/>
              <w:left w:val="nil"/>
              <w:bottom w:val="single" w:sz="8" w:space="0" w:color="auto"/>
              <w:right w:val="single" w:sz="4" w:space="0" w:color="auto"/>
            </w:tcBorders>
            <w:shd w:val="clear" w:color="000000" w:fill="F8CBAD"/>
            <w:noWrap/>
            <w:vAlign w:val="center"/>
            <w:hideMark/>
          </w:tcPr>
          <w:p w14:paraId="6D4BE112" w14:textId="77777777" w:rsidR="007E1355" w:rsidRDefault="007E1355">
            <w:pPr>
              <w:jc w:val="center"/>
              <w:rPr>
                <w:rFonts w:ascii="Arial" w:hAnsi="Arial" w:cs="Arial"/>
                <w:color w:val="000000"/>
                <w:sz w:val="18"/>
                <w:szCs w:val="18"/>
              </w:rPr>
            </w:pPr>
            <w:r>
              <w:rPr>
                <w:rFonts w:ascii="Arial" w:hAnsi="Arial" w:cs="Arial"/>
                <w:color w:val="000000"/>
                <w:sz w:val="18"/>
                <w:szCs w:val="18"/>
              </w:rPr>
              <w:t>Hours</w:t>
            </w:r>
          </w:p>
        </w:tc>
        <w:tc>
          <w:tcPr>
            <w:tcW w:w="1906" w:type="dxa"/>
            <w:vMerge/>
            <w:tcBorders>
              <w:top w:val="single" w:sz="4" w:space="0" w:color="auto"/>
              <w:left w:val="single" w:sz="4" w:space="0" w:color="auto"/>
              <w:bottom w:val="single" w:sz="8" w:space="0" w:color="000000"/>
              <w:right w:val="nil"/>
            </w:tcBorders>
            <w:vAlign w:val="center"/>
            <w:hideMark/>
          </w:tcPr>
          <w:p w14:paraId="13065957" w14:textId="77777777" w:rsidR="007E1355" w:rsidRDefault="007E1355">
            <w:pPr>
              <w:rPr>
                <w:rFonts w:ascii="Arial" w:hAnsi="Arial" w:cs="Arial"/>
                <w:color w:val="000000"/>
                <w:sz w:val="18"/>
                <w:szCs w:val="18"/>
              </w:rPr>
            </w:pPr>
          </w:p>
        </w:tc>
        <w:tc>
          <w:tcPr>
            <w:tcW w:w="1170" w:type="dxa"/>
            <w:vMerge/>
            <w:tcBorders>
              <w:top w:val="single" w:sz="4" w:space="0" w:color="auto"/>
              <w:left w:val="single" w:sz="8" w:space="0" w:color="auto"/>
              <w:bottom w:val="single" w:sz="8" w:space="0" w:color="000000"/>
              <w:right w:val="single" w:sz="4" w:space="0" w:color="auto"/>
            </w:tcBorders>
            <w:vAlign w:val="center"/>
            <w:hideMark/>
          </w:tcPr>
          <w:p w14:paraId="759E245C" w14:textId="77777777" w:rsidR="007E1355" w:rsidRDefault="007E1355">
            <w:pPr>
              <w:rPr>
                <w:rFonts w:ascii="Arial" w:hAnsi="Arial" w:cs="Arial"/>
                <w:color w:val="000000"/>
                <w:sz w:val="18"/>
                <w:szCs w:val="18"/>
              </w:rPr>
            </w:pPr>
          </w:p>
        </w:tc>
        <w:tc>
          <w:tcPr>
            <w:tcW w:w="1170" w:type="dxa"/>
            <w:vMerge/>
            <w:tcBorders>
              <w:top w:val="single" w:sz="4" w:space="0" w:color="auto"/>
              <w:left w:val="single" w:sz="4" w:space="0" w:color="auto"/>
              <w:bottom w:val="single" w:sz="8" w:space="0" w:color="000000"/>
              <w:right w:val="single" w:sz="8" w:space="0" w:color="auto"/>
            </w:tcBorders>
            <w:vAlign w:val="center"/>
            <w:hideMark/>
          </w:tcPr>
          <w:p w14:paraId="4EE5E1BF" w14:textId="77777777" w:rsidR="007E1355" w:rsidRDefault="007E1355">
            <w:pPr>
              <w:rPr>
                <w:rFonts w:ascii="Arial" w:hAnsi="Arial" w:cs="Arial"/>
                <w:color w:val="000000"/>
                <w:sz w:val="18"/>
                <w:szCs w:val="18"/>
              </w:rPr>
            </w:pPr>
          </w:p>
        </w:tc>
      </w:tr>
      <w:tr w:rsidR="007E1355" w14:paraId="1BAAA11F" w14:textId="77777777" w:rsidTr="00531C24">
        <w:trPr>
          <w:trHeight w:val="288"/>
        </w:trPr>
        <w:tc>
          <w:tcPr>
            <w:tcW w:w="2720" w:type="dxa"/>
            <w:gridSpan w:val="2"/>
            <w:tcBorders>
              <w:top w:val="nil"/>
              <w:left w:val="nil"/>
              <w:bottom w:val="nil"/>
              <w:right w:val="nil"/>
            </w:tcBorders>
            <w:shd w:val="clear" w:color="auto" w:fill="auto"/>
            <w:noWrap/>
            <w:vAlign w:val="bottom"/>
            <w:hideMark/>
          </w:tcPr>
          <w:p w14:paraId="28752F3A" w14:textId="77777777" w:rsidR="007E1355" w:rsidRDefault="007E1355">
            <w:pPr>
              <w:rPr>
                <w:rFonts w:ascii="Arial" w:hAnsi="Arial" w:cs="Arial"/>
                <w:color w:val="000000"/>
                <w:sz w:val="20"/>
                <w:szCs w:val="20"/>
              </w:rPr>
            </w:pPr>
            <w:r>
              <w:rPr>
                <w:rFonts w:ascii="Arial" w:hAnsi="Arial" w:cs="Arial"/>
                <w:color w:val="000000"/>
                <w:sz w:val="20"/>
                <w:szCs w:val="20"/>
              </w:rPr>
              <w:t>PM &amp; Coordination</w:t>
            </w:r>
          </w:p>
        </w:tc>
        <w:tc>
          <w:tcPr>
            <w:tcW w:w="1578" w:type="dxa"/>
            <w:tcBorders>
              <w:top w:val="nil"/>
              <w:left w:val="nil"/>
              <w:bottom w:val="nil"/>
              <w:right w:val="nil"/>
            </w:tcBorders>
            <w:shd w:val="clear" w:color="000000" w:fill="E7E6E6"/>
            <w:noWrap/>
            <w:vAlign w:val="bottom"/>
            <w:hideMark/>
          </w:tcPr>
          <w:p w14:paraId="32A19EA9" w14:textId="77777777" w:rsidR="007E1355" w:rsidRDefault="007E1355">
            <w:pPr>
              <w:rPr>
                <w:rFonts w:ascii="Arial" w:hAnsi="Arial" w:cs="Arial"/>
                <w:color w:val="000000"/>
                <w:sz w:val="20"/>
                <w:szCs w:val="20"/>
              </w:rPr>
            </w:pPr>
            <w:r>
              <w:rPr>
                <w:rFonts w:ascii="Arial" w:hAnsi="Arial" w:cs="Arial"/>
                <w:color w:val="000000"/>
                <w:sz w:val="20"/>
                <w:szCs w:val="20"/>
              </w:rPr>
              <w:t> </w:t>
            </w:r>
          </w:p>
        </w:tc>
        <w:tc>
          <w:tcPr>
            <w:tcW w:w="272" w:type="dxa"/>
            <w:tcBorders>
              <w:top w:val="nil"/>
              <w:left w:val="nil"/>
              <w:bottom w:val="nil"/>
              <w:right w:val="nil"/>
            </w:tcBorders>
            <w:shd w:val="clear" w:color="000000" w:fill="E7E6E6"/>
            <w:noWrap/>
            <w:vAlign w:val="bottom"/>
            <w:hideMark/>
          </w:tcPr>
          <w:p w14:paraId="7D508405" w14:textId="77777777" w:rsidR="007E1355" w:rsidRDefault="007E1355">
            <w:pPr>
              <w:rPr>
                <w:rFonts w:ascii="Arial" w:hAnsi="Arial" w:cs="Arial"/>
                <w:color w:val="000000"/>
                <w:sz w:val="20"/>
                <w:szCs w:val="20"/>
              </w:rPr>
            </w:pPr>
            <w:r>
              <w:rPr>
                <w:rFonts w:ascii="Arial" w:hAnsi="Arial" w:cs="Arial"/>
                <w:color w:val="000000"/>
                <w:sz w:val="20"/>
                <w:szCs w:val="20"/>
              </w:rPr>
              <w:t> </w:t>
            </w:r>
          </w:p>
        </w:tc>
        <w:tc>
          <w:tcPr>
            <w:tcW w:w="350" w:type="dxa"/>
            <w:tcBorders>
              <w:top w:val="nil"/>
              <w:left w:val="nil"/>
              <w:bottom w:val="nil"/>
              <w:right w:val="nil"/>
            </w:tcBorders>
            <w:shd w:val="clear" w:color="000000" w:fill="E7E6E6"/>
            <w:noWrap/>
            <w:vAlign w:val="bottom"/>
            <w:hideMark/>
          </w:tcPr>
          <w:p w14:paraId="14E5B0BA" w14:textId="77777777" w:rsidR="007E1355" w:rsidRDefault="007E1355">
            <w:pPr>
              <w:rPr>
                <w:rFonts w:ascii="Arial" w:hAnsi="Arial" w:cs="Arial"/>
                <w:color w:val="000000"/>
                <w:sz w:val="20"/>
                <w:szCs w:val="20"/>
              </w:rPr>
            </w:pPr>
            <w:r>
              <w:rPr>
                <w:rFonts w:ascii="Arial" w:hAnsi="Arial" w:cs="Arial"/>
                <w:color w:val="000000"/>
                <w:sz w:val="20"/>
                <w:szCs w:val="20"/>
              </w:rPr>
              <w:t> </w:t>
            </w:r>
          </w:p>
        </w:tc>
        <w:tc>
          <w:tcPr>
            <w:tcW w:w="1364" w:type="dxa"/>
            <w:tcBorders>
              <w:top w:val="nil"/>
              <w:left w:val="nil"/>
              <w:bottom w:val="nil"/>
              <w:right w:val="nil"/>
            </w:tcBorders>
            <w:shd w:val="clear" w:color="000000" w:fill="E7E6E6"/>
            <w:noWrap/>
            <w:vAlign w:val="bottom"/>
            <w:hideMark/>
          </w:tcPr>
          <w:p w14:paraId="4AB97B41" w14:textId="77777777" w:rsidR="007E1355" w:rsidRDefault="007E1355">
            <w:pPr>
              <w:rPr>
                <w:rFonts w:ascii="Arial" w:hAnsi="Arial" w:cs="Arial"/>
                <w:color w:val="000000"/>
                <w:sz w:val="20"/>
                <w:szCs w:val="20"/>
              </w:rPr>
            </w:pPr>
            <w:r>
              <w:rPr>
                <w:rFonts w:ascii="Arial" w:hAnsi="Arial" w:cs="Arial"/>
                <w:color w:val="000000"/>
                <w:sz w:val="20"/>
                <w:szCs w:val="20"/>
              </w:rPr>
              <w:t> </w:t>
            </w:r>
          </w:p>
        </w:tc>
        <w:tc>
          <w:tcPr>
            <w:tcW w:w="1906" w:type="dxa"/>
            <w:tcBorders>
              <w:top w:val="nil"/>
              <w:left w:val="nil"/>
              <w:bottom w:val="nil"/>
              <w:right w:val="nil"/>
            </w:tcBorders>
            <w:shd w:val="clear" w:color="000000" w:fill="E7E6E6"/>
            <w:noWrap/>
            <w:vAlign w:val="bottom"/>
            <w:hideMark/>
          </w:tcPr>
          <w:p w14:paraId="48BA427B" w14:textId="77777777" w:rsidR="007E1355" w:rsidRDefault="007E1355">
            <w:pPr>
              <w:rPr>
                <w:rFonts w:ascii="Arial" w:hAnsi="Arial" w:cs="Arial"/>
                <w:color w:val="000000"/>
                <w:sz w:val="20"/>
                <w:szCs w:val="20"/>
              </w:rPr>
            </w:pPr>
            <w:r>
              <w:rPr>
                <w:rFonts w:ascii="Arial" w:hAnsi="Arial" w:cs="Arial"/>
                <w:color w:val="000000"/>
                <w:sz w:val="20"/>
                <w:szCs w:val="20"/>
              </w:rPr>
              <w:t> </w:t>
            </w:r>
          </w:p>
        </w:tc>
        <w:tc>
          <w:tcPr>
            <w:tcW w:w="1170" w:type="dxa"/>
            <w:tcBorders>
              <w:top w:val="nil"/>
              <w:left w:val="nil"/>
              <w:bottom w:val="nil"/>
              <w:right w:val="nil"/>
            </w:tcBorders>
            <w:shd w:val="clear" w:color="auto" w:fill="auto"/>
            <w:noWrap/>
            <w:vAlign w:val="bottom"/>
            <w:hideMark/>
          </w:tcPr>
          <w:p w14:paraId="2C9548AB" w14:textId="77777777" w:rsidR="007E1355" w:rsidRDefault="007E1355">
            <w:pPr>
              <w:jc w:val="right"/>
              <w:rPr>
                <w:rFonts w:ascii="Arial" w:hAnsi="Arial" w:cs="Arial"/>
                <w:color w:val="000000"/>
                <w:sz w:val="20"/>
                <w:szCs w:val="20"/>
              </w:rPr>
            </w:pPr>
            <w:r>
              <w:rPr>
                <w:rFonts w:ascii="Arial" w:hAnsi="Arial" w:cs="Arial"/>
                <w:color w:val="000000"/>
                <w:sz w:val="20"/>
                <w:szCs w:val="20"/>
              </w:rPr>
              <w:t>0.41</w:t>
            </w:r>
          </w:p>
        </w:tc>
        <w:tc>
          <w:tcPr>
            <w:tcW w:w="1170" w:type="dxa"/>
            <w:tcBorders>
              <w:top w:val="nil"/>
              <w:left w:val="nil"/>
              <w:bottom w:val="nil"/>
              <w:right w:val="nil"/>
            </w:tcBorders>
            <w:shd w:val="clear" w:color="auto" w:fill="auto"/>
            <w:noWrap/>
            <w:vAlign w:val="bottom"/>
            <w:hideMark/>
          </w:tcPr>
          <w:p w14:paraId="761195BE" w14:textId="77777777" w:rsidR="007E1355" w:rsidRDefault="007E1355">
            <w:pPr>
              <w:rPr>
                <w:rFonts w:ascii="Arial" w:hAnsi="Arial" w:cs="Arial"/>
                <w:color w:val="000000"/>
                <w:sz w:val="20"/>
                <w:szCs w:val="20"/>
              </w:rPr>
            </w:pPr>
            <w:r>
              <w:rPr>
                <w:rFonts w:ascii="Arial" w:hAnsi="Arial" w:cs="Arial"/>
                <w:color w:val="000000"/>
                <w:sz w:val="20"/>
                <w:szCs w:val="20"/>
              </w:rPr>
              <w:t xml:space="preserve">          727 </w:t>
            </w:r>
          </w:p>
        </w:tc>
      </w:tr>
    </w:tbl>
    <w:p w14:paraId="6898DE85" w14:textId="77777777" w:rsidR="00A94A76" w:rsidRDefault="00A94A76" w:rsidP="00D463A3">
      <w:pPr>
        <w:outlineLvl w:val="0"/>
        <w:rPr>
          <w:b/>
          <w:sz w:val="22"/>
          <w:szCs w:val="22"/>
        </w:rPr>
      </w:pPr>
    </w:p>
    <w:p w14:paraId="747D64D6" w14:textId="77777777" w:rsidR="00A94A76" w:rsidRDefault="00A94A76" w:rsidP="00D463A3">
      <w:pPr>
        <w:outlineLvl w:val="0"/>
        <w:rPr>
          <w:b/>
          <w:sz w:val="22"/>
          <w:szCs w:val="22"/>
        </w:rPr>
      </w:pPr>
    </w:p>
    <w:p w14:paraId="4C3076C5" w14:textId="77777777" w:rsidR="00A94A76" w:rsidRDefault="00A94A76" w:rsidP="00D463A3">
      <w:pPr>
        <w:outlineLvl w:val="0"/>
        <w:rPr>
          <w:b/>
          <w:sz w:val="22"/>
          <w:szCs w:val="22"/>
        </w:rPr>
      </w:pPr>
    </w:p>
    <w:p w14:paraId="678627C9" w14:textId="77777777" w:rsidR="00A94A76" w:rsidRDefault="00A94A76" w:rsidP="00D463A3">
      <w:pPr>
        <w:outlineLvl w:val="0"/>
        <w:rPr>
          <w:b/>
          <w:sz w:val="22"/>
          <w:szCs w:val="22"/>
        </w:rPr>
      </w:pPr>
    </w:p>
    <w:p w14:paraId="4B488C16" w14:textId="77777777" w:rsidR="00A94A76" w:rsidRDefault="00A94A76" w:rsidP="00D463A3">
      <w:pPr>
        <w:outlineLvl w:val="0"/>
        <w:rPr>
          <w:b/>
          <w:sz w:val="22"/>
          <w:szCs w:val="22"/>
        </w:rPr>
      </w:pPr>
    </w:p>
    <w:p w14:paraId="0C76F734" w14:textId="20B14248" w:rsidR="00AF6770" w:rsidRDefault="00AF6770" w:rsidP="00D463A3">
      <w:pPr>
        <w:outlineLvl w:val="0"/>
        <w:rPr>
          <w:b/>
          <w:sz w:val="22"/>
          <w:szCs w:val="22"/>
        </w:rPr>
      </w:pPr>
      <w:r w:rsidRPr="00933FF2">
        <w:rPr>
          <w:b/>
          <w:sz w:val="22"/>
          <w:szCs w:val="22"/>
        </w:rPr>
        <w:t>Materials and Supplies (M&amp;S)</w:t>
      </w:r>
      <w:r w:rsidR="00933FF2">
        <w:rPr>
          <w:b/>
          <w:sz w:val="22"/>
          <w:szCs w:val="22"/>
        </w:rPr>
        <w:t xml:space="preserve"> Notes:</w:t>
      </w:r>
    </w:p>
    <w:p w14:paraId="7E3F6AA7" w14:textId="0107A919" w:rsidR="001849A2" w:rsidRPr="001849A2" w:rsidRDefault="001849A2" w:rsidP="00D463A3">
      <w:pPr>
        <w:outlineLvl w:val="0"/>
        <w:rPr>
          <w:sz w:val="22"/>
          <w:szCs w:val="22"/>
        </w:rPr>
      </w:pPr>
      <w:r w:rsidRPr="001849A2">
        <w:rPr>
          <w:sz w:val="22"/>
          <w:szCs w:val="22"/>
        </w:rPr>
        <w:t xml:space="preserve">This is no materials and supplies </w:t>
      </w:r>
      <w:r w:rsidR="00015DEA">
        <w:rPr>
          <w:sz w:val="22"/>
          <w:szCs w:val="22"/>
        </w:rPr>
        <w:t xml:space="preserve">(M&amp;S) </w:t>
      </w:r>
      <w:r w:rsidRPr="001849A2">
        <w:rPr>
          <w:sz w:val="22"/>
          <w:szCs w:val="22"/>
        </w:rPr>
        <w:t>associated with this WBS</w:t>
      </w:r>
      <w:r>
        <w:rPr>
          <w:sz w:val="22"/>
          <w:szCs w:val="22"/>
        </w:rPr>
        <w:t>.</w:t>
      </w:r>
    </w:p>
    <w:p w14:paraId="4460C056" w14:textId="29E37D03" w:rsidR="00096620" w:rsidRPr="00A67248" w:rsidRDefault="003C4927" w:rsidP="001849A2">
      <w:pPr>
        <w:jc w:val="both"/>
        <w:outlineLvl w:val="0"/>
        <w:rPr>
          <w:sz w:val="22"/>
          <w:szCs w:val="22"/>
        </w:rPr>
      </w:pPr>
      <w:r>
        <w:rPr>
          <w:sz w:val="22"/>
          <w:szCs w:val="22"/>
        </w:rPr>
        <w:t xml:space="preserve"> </w:t>
      </w:r>
    </w:p>
    <w:p w14:paraId="32C877BD" w14:textId="77777777" w:rsidR="00933FF2" w:rsidRPr="00717386" w:rsidRDefault="00933FF2" w:rsidP="00933FF2">
      <w:pPr>
        <w:outlineLvl w:val="0"/>
        <w:rPr>
          <w:b/>
          <w:sz w:val="22"/>
          <w:szCs w:val="22"/>
        </w:rPr>
      </w:pPr>
      <w:r w:rsidRPr="00717386">
        <w:rPr>
          <w:b/>
          <w:sz w:val="22"/>
          <w:szCs w:val="22"/>
        </w:rPr>
        <w:t>Labor Notes:</w:t>
      </w:r>
    </w:p>
    <w:p w14:paraId="06DEE51B" w14:textId="7BF3E8EA" w:rsidR="00E36BA1" w:rsidRDefault="00933FF2" w:rsidP="00E36BA1">
      <w:pPr>
        <w:ind w:right="-360"/>
        <w:outlineLvl w:val="0"/>
        <w:rPr>
          <w:sz w:val="22"/>
          <w:szCs w:val="22"/>
        </w:rPr>
      </w:pPr>
      <w:r>
        <w:rPr>
          <w:sz w:val="22"/>
          <w:szCs w:val="22"/>
        </w:rPr>
        <w:t xml:space="preserve">The Labor </w:t>
      </w:r>
      <w:r w:rsidR="00E36BA1">
        <w:rPr>
          <w:sz w:val="22"/>
          <w:szCs w:val="22"/>
        </w:rPr>
        <w:t>for this WBS</w:t>
      </w:r>
      <w:r>
        <w:rPr>
          <w:sz w:val="22"/>
          <w:szCs w:val="22"/>
        </w:rPr>
        <w:t xml:space="preserve"> </w:t>
      </w:r>
      <w:r w:rsidR="00E36BA1">
        <w:rPr>
          <w:sz w:val="22"/>
          <w:szCs w:val="22"/>
        </w:rPr>
        <w:t xml:space="preserve">includes </w:t>
      </w:r>
      <w:r w:rsidR="001849A2">
        <w:rPr>
          <w:sz w:val="22"/>
          <w:szCs w:val="22"/>
        </w:rPr>
        <w:t xml:space="preserve">the annual labor cost for the </w:t>
      </w:r>
      <w:r w:rsidR="00E36BA1" w:rsidRPr="00E36BA1">
        <w:rPr>
          <w:sz w:val="22"/>
          <w:szCs w:val="22"/>
        </w:rPr>
        <w:t>Conventional Facilities (</w:t>
      </w:r>
      <w:r w:rsidR="008977BF">
        <w:rPr>
          <w:sz w:val="22"/>
          <w:szCs w:val="22"/>
        </w:rPr>
        <w:t>L2-CF) management efforts</w:t>
      </w:r>
      <w:r w:rsidR="00E36BA1">
        <w:rPr>
          <w:sz w:val="22"/>
          <w:szCs w:val="22"/>
        </w:rPr>
        <w:t>.</w:t>
      </w:r>
    </w:p>
    <w:p w14:paraId="0F43A2E7" w14:textId="6EC7A8A6" w:rsidR="00F137BC" w:rsidRDefault="00F137BC" w:rsidP="00E36BA1">
      <w:pPr>
        <w:ind w:right="-360"/>
        <w:outlineLvl w:val="0"/>
        <w:rPr>
          <w:sz w:val="22"/>
          <w:szCs w:val="22"/>
        </w:rPr>
      </w:pPr>
    </w:p>
    <w:p w14:paraId="4F10FF09" w14:textId="44153567" w:rsidR="00E36BA1" w:rsidRDefault="00E36BA1" w:rsidP="00D463A3">
      <w:pPr>
        <w:outlineLvl w:val="0"/>
        <w:rPr>
          <w:sz w:val="22"/>
          <w:szCs w:val="22"/>
        </w:rPr>
      </w:pPr>
    </w:p>
    <w:p w14:paraId="1499128C" w14:textId="77777777" w:rsidR="00AF6770" w:rsidRPr="00C911CB" w:rsidRDefault="00AF6770" w:rsidP="00D463A3">
      <w:pPr>
        <w:outlineLvl w:val="0"/>
        <w:rPr>
          <w:b/>
          <w:u w:val="single"/>
        </w:rPr>
      </w:pPr>
      <w:r>
        <w:rPr>
          <w:b/>
          <w:u w:val="single"/>
        </w:rPr>
        <w:t>Uncertainty/Contingency Rules</w:t>
      </w:r>
    </w:p>
    <w:p w14:paraId="766B9379" w14:textId="7D7FB039" w:rsidR="00D463A3" w:rsidRDefault="00C255C9" w:rsidP="00D463A3">
      <w:pPr>
        <w:outlineLvl w:val="0"/>
        <w:rPr>
          <w:sz w:val="22"/>
          <w:szCs w:val="22"/>
        </w:rPr>
      </w:pPr>
      <w:r>
        <w:rPr>
          <w:sz w:val="22"/>
          <w:szCs w:val="22"/>
        </w:rPr>
        <w:t xml:space="preserve">The estimate </w:t>
      </w:r>
      <w:r w:rsidR="00D463A3">
        <w:rPr>
          <w:sz w:val="22"/>
          <w:szCs w:val="22"/>
        </w:rPr>
        <w:t>uncertainty for this WBS is based on the standard PIP-II guidance (PIP-II-doc-345) and is assumed to be:</w:t>
      </w:r>
    </w:p>
    <w:p w14:paraId="18058B2F" w14:textId="77777777" w:rsidR="00D463A3" w:rsidRDefault="00D463A3" w:rsidP="00D463A3">
      <w:pPr>
        <w:outlineLvl w:val="0"/>
        <w:rPr>
          <w:sz w:val="22"/>
          <w:szCs w:val="22"/>
        </w:rPr>
      </w:pPr>
    </w:p>
    <w:tbl>
      <w:tblPr>
        <w:tblStyle w:val="TableGrid"/>
        <w:tblW w:w="0" w:type="auto"/>
        <w:tblLook w:val="04A0" w:firstRow="1" w:lastRow="0" w:firstColumn="1" w:lastColumn="0" w:noHBand="0" w:noVBand="1"/>
      </w:tblPr>
      <w:tblGrid>
        <w:gridCol w:w="742"/>
        <w:gridCol w:w="2080"/>
        <w:gridCol w:w="3336"/>
        <w:gridCol w:w="1166"/>
        <w:gridCol w:w="740"/>
        <w:gridCol w:w="2366"/>
      </w:tblGrid>
      <w:tr w:rsidR="00BD7705" w:rsidRPr="00D838EB" w14:paraId="37946591" w14:textId="77777777" w:rsidTr="00BD7705">
        <w:trPr>
          <w:trHeight w:val="1992"/>
        </w:trPr>
        <w:tc>
          <w:tcPr>
            <w:tcW w:w="742" w:type="dxa"/>
            <w:noWrap/>
            <w:hideMark/>
          </w:tcPr>
          <w:p w14:paraId="501C0F22" w14:textId="30C30A17" w:rsidR="00BD7705" w:rsidRPr="00D838EB" w:rsidRDefault="00027C43" w:rsidP="00000D78">
            <w:pPr>
              <w:jc w:val="both"/>
              <w:outlineLvl w:val="0"/>
              <w:rPr>
                <w:sz w:val="22"/>
                <w:szCs w:val="22"/>
              </w:rPr>
            </w:pPr>
            <w:r>
              <w:rPr>
                <w:sz w:val="22"/>
                <w:szCs w:val="22"/>
              </w:rPr>
              <w:t>L2</w:t>
            </w:r>
          </w:p>
        </w:tc>
        <w:tc>
          <w:tcPr>
            <w:tcW w:w="2080" w:type="dxa"/>
            <w:noWrap/>
            <w:hideMark/>
          </w:tcPr>
          <w:p w14:paraId="5F7D7B5E" w14:textId="77777777" w:rsidR="00BD7705" w:rsidRPr="00D838EB" w:rsidRDefault="00BD7705" w:rsidP="00000D78">
            <w:pPr>
              <w:jc w:val="both"/>
              <w:outlineLvl w:val="0"/>
              <w:rPr>
                <w:sz w:val="22"/>
                <w:szCs w:val="22"/>
              </w:rPr>
            </w:pPr>
            <w:r w:rsidRPr="00D838EB">
              <w:rPr>
                <w:sz w:val="22"/>
                <w:szCs w:val="22"/>
              </w:rPr>
              <w:t>Level of Effort Tasks</w:t>
            </w:r>
          </w:p>
        </w:tc>
        <w:tc>
          <w:tcPr>
            <w:tcW w:w="3336" w:type="dxa"/>
            <w:hideMark/>
          </w:tcPr>
          <w:p w14:paraId="6BF2B431" w14:textId="77777777" w:rsidR="00BD7705" w:rsidRPr="00D838EB" w:rsidRDefault="00BD7705" w:rsidP="00000D78">
            <w:pPr>
              <w:jc w:val="both"/>
              <w:outlineLvl w:val="0"/>
              <w:rPr>
                <w:sz w:val="22"/>
                <w:szCs w:val="22"/>
              </w:rPr>
            </w:pPr>
            <w:r w:rsidRPr="00D838EB">
              <w:rPr>
                <w:sz w:val="22"/>
                <w:szCs w:val="22"/>
              </w:rPr>
              <w:t>Support type activities that must be done to support other work activities or the entire project effort, where estimated effort is based on the duration of the activities it is supporting.</w:t>
            </w:r>
          </w:p>
        </w:tc>
        <w:tc>
          <w:tcPr>
            <w:tcW w:w="1166" w:type="dxa"/>
            <w:hideMark/>
          </w:tcPr>
          <w:p w14:paraId="58F79CFB" w14:textId="77777777" w:rsidR="00BD7705" w:rsidRPr="00D838EB" w:rsidRDefault="00BD7705" w:rsidP="00000D78">
            <w:pPr>
              <w:jc w:val="both"/>
              <w:outlineLvl w:val="0"/>
              <w:rPr>
                <w:sz w:val="22"/>
                <w:szCs w:val="22"/>
              </w:rPr>
            </w:pPr>
            <w:r w:rsidRPr="00D838EB">
              <w:rPr>
                <w:sz w:val="22"/>
                <w:szCs w:val="22"/>
              </w:rPr>
              <w:t>0%-20%</w:t>
            </w:r>
          </w:p>
        </w:tc>
        <w:tc>
          <w:tcPr>
            <w:tcW w:w="740" w:type="dxa"/>
            <w:noWrap/>
            <w:hideMark/>
          </w:tcPr>
          <w:p w14:paraId="2E4E39A7" w14:textId="4566EBF2" w:rsidR="00BD7705" w:rsidRPr="00027C43" w:rsidRDefault="00BD7705" w:rsidP="00000D78">
            <w:pPr>
              <w:jc w:val="both"/>
              <w:outlineLvl w:val="0"/>
              <w:rPr>
                <w:b/>
                <w:sz w:val="22"/>
                <w:szCs w:val="22"/>
              </w:rPr>
            </w:pPr>
            <w:r w:rsidRPr="00027C43">
              <w:rPr>
                <w:b/>
                <w:sz w:val="22"/>
                <w:szCs w:val="22"/>
              </w:rPr>
              <w:t>10</w:t>
            </w:r>
            <w:r w:rsidR="00027C43" w:rsidRPr="00027C43">
              <w:rPr>
                <w:b/>
                <w:sz w:val="22"/>
                <w:szCs w:val="22"/>
              </w:rPr>
              <w:t>%</w:t>
            </w:r>
          </w:p>
        </w:tc>
        <w:tc>
          <w:tcPr>
            <w:tcW w:w="2366" w:type="dxa"/>
            <w:hideMark/>
          </w:tcPr>
          <w:p w14:paraId="0A0687CC" w14:textId="3FF4667F" w:rsidR="00BD7705" w:rsidRPr="00D838EB" w:rsidRDefault="00BD7705" w:rsidP="00027C43">
            <w:pPr>
              <w:outlineLvl w:val="0"/>
              <w:rPr>
                <w:sz w:val="22"/>
                <w:szCs w:val="22"/>
              </w:rPr>
            </w:pPr>
            <w:r w:rsidRPr="001A5742">
              <w:rPr>
                <w:sz w:val="22"/>
                <w:szCs w:val="22"/>
              </w:rPr>
              <w:t xml:space="preserve">Based on </w:t>
            </w:r>
            <w:r w:rsidR="00027C43">
              <w:rPr>
                <w:sz w:val="22"/>
                <w:szCs w:val="22"/>
              </w:rPr>
              <w:t xml:space="preserve">level of effort required for </w:t>
            </w:r>
            <w:r>
              <w:rPr>
                <w:sz w:val="22"/>
                <w:szCs w:val="22"/>
              </w:rPr>
              <w:t>management tasks.</w:t>
            </w:r>
          </w:p>
        </w:tc>
      </w:tr>
    </w:tbl>
    <w:p w14:paraId="39D5BFF4" w14:textId="24BEEA4C" w:rsidR="00AF6770" w:rsidRDefault="00AF6770" w:rsidP="00075089">
      <w:pPr>
        <w:jc w:val="both"/>
        <w:outlineLvl w:val="0"/>
        <w:rPr>
          <w:sz w:val="22"/>
          <w:szCs w:val="22"/>
        </w:rPr>
      </w:pPr>
    </w:p>
    <w:p w14:paraId="7DB52BAD" w14:textId="77777777" w:rsidR="007F6094" w:rsidRPr="00C911CB" w:rsidRDefault="007F6094" w:rsidP="007F6094">
      <w:pPr>
        <w:ind w:right="-360"/>
        <w:outlineLvl w:val="0"/>
        <w:rPr>
          <w:b/>
          <w:u w:val="single"/>
        </w:rPr>
      </w:pPr>
      <w:r>
        <w:rPr>
          <w:b/>
          <w:u w:val="single"/>
        </w:rPr>
        <w:t>Durations</w:t>
      </w:r>
    </w:p>
    <w:p w14:paraId="479E090F" w14:textId="34B0C4E9" w:rsidR="007F6094" w:rsidRDefault="007F6094" w:rsidP="007F6094">
      <w:pPr>
        <w:ind w:right="-360"/>
        <w:outlineLvl w:val="0"/>
        <w:rPr>
          <w:sz w:val="22"/>
          <w:szCs w:val="22"/>
        </w:rPr>
      </w:pPr>
      <w:bookmarkStart w:id="1" w:name="_Hlk528145220"/>
      <w:r>
        <w:rPr>
          <w:sz w:val="22"/>
          <w:szCs w:val="22"/>
        </w:rPr>
        <w:t>Listed below are the basis of the durations for this work scope:</w:t>
      </w:r>
    </w:p>
    <w:p w14:paraId="72DB5357" w14:textId="6F3FD3EF" w:rsidR="007F6094" w:rsidRPr="00E36BA1" w:rsidRDefault="00E36BA1" w:rsidP="00E36BA1">
      <w:pPr>
        <w:pStyle w:val="ListParagraph"/>
        <w:numPr>
          <w:ilvl w:val="0"/>
          <w:numId w:val="19"/>
        </w:numPr>
        <w:jc w:val="both"/>
        <w:outlineLvl w:val="0"/>
        <w:rPr>
          <w:sz w:val="22"/>
          <w:szCs w:val="22"/>
        </w:rPr>
      </w:pPr>
      <w:r w:rsidRPr="00E36BA1">
        <w:rPr>
          <w:sz w:val="22"/>
          <w:szCs w:val="22"/>
        </w:rPr>
        <w:t xml:space="preserve">Start: </w:t>
      </w:r>
      <w:r w:rsidR="00027C43">
        <w:rPr>
          <w:sz w:val="22"/>
          <w:szCs w:val="22"/>
        </w:rPr>
        <w:t>September</w:t>
      </w:r>
      <w:r w:rsidR="002F7D44">
        <w:rPr>
          <w:sz w:val="22"/>
          <w:szCs w:val="22"/>
        </w:rPr>
        <w:t xml:space="preserve"> 2018</w:t>
      </w:r>
    </w:p>
    <w:p w14:paraId="2619DD59" w14:textId="6D7EE880" w:rsidR="00E36BA1" w:rsidRPr="00E36BA1" w:rsidRDefault="00E36BA1" w:rsidP="00E36BA1">
      <w:pPr>
        <w:pStyle w:val="ListParagraph"/>
        <w:numPr>
          <w:ilvl w:val="0"/>
          <w:numId w:val="19"/>
        </w:numPr>
        <w:jc w:val="both"/>
        <w:outlineLvl w:val="0"/>
        <w:rPr>
          <w:sz w:val="22"/>
          <w:szCs w:val="22"/>
        </w:rPr>
      </w:pPr>
      <w:r w:rsidRPr="00E36BA1">
        <w:rPr>
          <w:sz w:val="22"/>
          <w:szCs w:val="22"/>
        </w:rPr>
        <w:t>Complete: CD-4 (approximately FY2</w:t>
      </w:r>
      <w:r w:rsidR="00F137BC">
        <w:rPr>
          <w:sz w:val="22"/>
          <w:szCs w:val="22"/>
        </w:rPr>
        <w:t>6</w:t>
      </w:r>
      <w:r w:rsidRPr="00E36BA1">
        <w:rPr>
          <w:sz w:val="22"/>
          <w:szCs w:val="22"/>
        </w:rPr>
        <w:t>)</w:t>
      </w:r>
    </w:p>
    <w:bookmarkEnd w:id="1"/>
    <w:p w14:paraId="7A79B5B1" w14:textId="34001249" w:rsidR="00AF6770" w:rsidRDefault="00AF6770" w:rsidP="00075089">
      <w:pPr>
        <w:jc w:val="both"/>
        <w:outlineLvl w:val="0"/>
        <w:rPr>
          <w:sz w:val="22"/>
          <w:szCs w:val="22"/>
        </w:rPr>
      </w:pPr>
    </w:p>
    <w:p w14:paraId="2A3C4110" w14:textId="77777777" w:rsidR="00AF6770" w:rsidRPr="00C911CB" w:rsidRDefault="00AF6770" w:rsidP="00075089">
      <w:pPr>
        <w:jc w:val="both"/>
        <w:outlineLvl w:val="0"/>
        <w:rPr>
          <w:b/>
          <w:u w:val="single"/>
        </w:rPr>
      </w:pPr>
      <w:r>
        <w:rPr>
          <w:b/>
          <w:u w:val="single"/>
        </w:rPr>
        <w:t>Relationships</w:t>
      </w:r>
    </w:p>
    <w:p w14:paraId="6498BCBB" w14:textId="3017056E" w:rsidR="00AF6770" w:rsidRDefault="00AF6770" w:rsidP="00075089">
      <w:pPr>
        <w:jc w:val="both"/>
        <w:outlineLvl w:val="0"/>
        <w:rPr>
          <w:sz w:val="22"/>
          <w:szCs w:val="22"/>
        </w:rPr>
      </w:pPr>
      <w:r>
        <w:rPr>
          <w:sz w:val="22"/>
          <w:szCs w:val="22"/>
        </w:rPr>
        <w:t xml:space="preserve">Listed below are </w:t>
      </w:r>
      <w:r w:rsidR="00F5335E">
        <w:rPr>
          <w:sz w:val="22"/>
          <w:szCs w:val="22"/>
        </w:rPr>
        <w:t>associated WBS items</w:t>
      </w:r>
      <w:r>
        <w:rPr>
          <w:sz w:val="22"/>
          <w:szCs w:val="22"/>
        </w:rPr>
        <w:t>:</w:t>
      </w:r>
    </w:p>
    <w:p w14:paraId="32AFC51F" w14:textId="514C6AA4" w:rsidR="00410A7D" w:rsidRDefault="002F7D44" w:rsidP="00F5335E">
      <w:pPr>
        <w:pStyle w:val="ListParagraph"/>
        <w:numPr>
          <w:ilvl w:val="0"/>
          <w:numId w:val="12"/>
        </w:numPr>
        <w:ind w:right="-360"/>
        <w:outlineLvl w:val="0"/>
        <w:rPr>
          <w:sz w:val="22"/>
          <w:szCs w:val="22"/>
        </w:rPr>
      </w:pPr>
      <w:r>
        <w:rPr>
          <w:sz w:val="22"/>
          <w:szCs w:val="22"/>
        </w:rPr>
        <w:t>WBS 121.06.0</w:t>
      </w:r>
      <w:r w:rsidR="007E1355">
        <w:rPr>
          <w:sz w:val="22"/>
          <w:szCs w:val="22"/>
        </w:rPr>
        <w:t>5</w:t>
      </w:r>
      <w:r w:rsidR="00F5335E">
        <w:rPr>
          <w:sz w:val="22"/>
          <w:szCs w:val="22"/>
        </w:rPr>
        <w:t xml:space="preserve">.02 – </w:t>
      </w:r>
      <w:r w:rsidR="007E1355">
        <w:rPr>
          <w:sz w:val="22"/>
          <w:szCs w:val="22"/>
        </w:rPr>
        <w:t>Linac Complex</w:t>
      </w:r>
      <w:r w:rsidR="00F5335E">
        <w:rPr>
          <w:sz w:val="22"/>
          <w:szCs w:val="22"/>
        </w:rPr>
        <w:t xml:space="preserve"> Detaile</w:t>
      </w:r>
      <w:r w:rsidR="00C255C9">
        <w:rPr>
          <w:sz w:val="22"/>
          <w:szCs w:val="22"/>
        </w:rPr>
        <w:t>d a</w:t>
      </w:r>
      <w:r w:rsidR="001F38C1">
        <w:rPr>
          <w:sz w:val="22"/>
          <w:szCs w:val="22"/>
        </w:rPr>
        <w:t>nd Final Design (PIP-II-doc-21</w:t>
      </w:r>
      <w:r w:rsidR="007E1355">
        <w:rPr>
          <w:sz w:val="22"/>
          <w:szCs w:val="22"/>
        </w:rPr>
        <w:t>21</w:t>
      </w:r>
      <w:r w:rsidR="00F5335E">
        <w:rPr>
          <w:sz w:val="22"/>
          <w:szCs w:val="22"/>
        </w:rPr>
        <w:t>)</w:t>
      </w:r>
    </w:p>
    <w:p w14:paraId="1EB2A86C" w14:textId="2D37144A" w:rsidR="00F5335E" w:rsidRDefault="00F5335E" w:rsidP="00F5335E">
      <w:pPr>
        <w:pStyle w:val="ListParagraph"/>
        <w:numPr>
          <w:ilvl w:val="0"/>
          <w:numId w:val="12"/>
        </w:numPr>
        <w:ind w:right="-360"/>
        <w:outlineLvl w:val="0"/>
        <w:rPr>
          <w:sz w:val="22"/>
          <w:szCs w:val="22"/>
        </w:rPr>
      </w:pPr>
      <w:r>
        <w:rPr>
          <w:sz w:val="22"/>
          <w:szCs w:val="22"/>
        </w:rPr>
        <w:t>WBS 121.06.0</w:t>
      </w:r>
      <w:r w:rsidR="007E1355">
        <w:rPr>
          <w:sz w:val="22"/>
          <w:szCs w:val="22"/>
        </w:rPr>
        <w:t>5</w:t>
      </w:r>
      <w:r>
        <w:rPr>
          <w:sz w:val="22"/>
          <w:szCs w:val="22"/>
        </w:rPr>
        <w:t xml:space="preserve">.03 – </w:t>
      </w:r>
      <w:r w:rsidR="007E1355">
        <w:rPr>
          <w:sz w:val="22"/>
          <w:szCs w:val="22"/>
        </w:rPr>
        <w:t>Linac Complex</w:t>
      </w:r>
      <w:r w:rsidR="001F38C1">
        <w:rPr>
          <w:sz w:val="22"/>
          <w:szCs w:val="22"/>
        </w:rPr>
        <w:t xml:space="preserve"> </w:t>
      </w:r>
      <w:r w:rsidR="00C255C9">
        <w:rPr>
          <w:sz w:val="22"/>
          <w:szCs w:val="22"/>
        </w:rPr>
        <w:t>Const</w:t>
      </w:r>
      <w:r w:rsidR="001F38C1">
        <w:rPr>
          <w:sz w:val="22"/>
          <w:szCs w:val="22"/>
        </w:rPr>
        <w:t>ruction on Site (PIP-II-doc-21</w:t>
      </w:r>
      <w:r w:rsidR="007E1355">
        <w:rPr>
          <w:sz w:val="22"/>
          <w:szCs w:val="22"/>
        </w:rPr>
        <w:t>24</w:t>
      </w:r>
      <w:r>
        <w:rPr>
          <w:sz w:val="22"/>
          <w:szCs w:val="22"/>
        </w:rPr>
        <w:t>)</w:t>
      </w:r>
    </w:p>
    <w:p w14:paraId="394B741F" w14:textId="77777777" w:rsidR="00F5335E" w:rsidRPr="00410A7D" w:rsidRDefault="00F5335E" w:rsidP="00F5335E">
      <w:pPr>
        <w:pStyle w:val="ListParagraph"/>
        <w:ind w:right="-360"/>
        <w:outlineLvl w:val="0"/>
        <w:rPr>
          <w:sz w:val="22"/>
          <w:szCs w:val="22"/>
        </w:rPr>
      </w:pPr>
    </w:p>
    <w:p w14:paraId="66A5AE20" w14:textId="77777777" w:rsidR="00CA5A81" w:rsidRPr="008B64AF" w:rsidRDefault="00CA5A81" w:rsidP="00CA5A81">
      <w:pPr>
        <w:jc w:val="center"/>
        <w:rPr>
          <w:b/>
          <w:sz w:val="28"/>
          <w:szCs w:val="28"/>
        </w:rPr>
      </w:pPr>
      <w:r>
        <w:rPr>
          <w:b/>
          <w:sz w:val="28"/>
          <w:szCs w:val="28"/>
        </w:rPr>
        <w:t>C</w:t>
      </w:r>
      <w:r w:rsidRPr="008B64AF">
        <w:rPr>
          <w:b/>
          <w:sz w:val="28"/>
          <w:szCs w:val="28"/>
        </w:rPr>
        <w:t>hange Log</w:t>
      </w:r>
    </w:p>
    <w:tbl>
      <w:tblPr>
        <w:tblStyle w:val="TableGrid"/>
        <w:tblW w:w="0" w:type="auto"/>
        <w:jc w:val="center"/>
        <w:tblLook w:val="04A0" w:firstRow="1" w:lastRow="0" w:firstColumn="1" w:lastColumn="0" w:noHBand="0" w:noVBand="1"/>
      </w:tblPr>
      <w:tblGrid>
        <w:gridCol w:w="1042"/>
        <w:gridCol w:w="5850"/>
        <w:gridCol w:w="1563"/>
        <w:gridCol w:w="1563"/>
      </w:tblGrid>
      <w:tr w:rsidR="00CA5A81" w14:paraId="190AA596" w14:textId="77777777" w:rsidTr="005266E3">
        <w:trPr>
          <w:trHeight w:val="432"/>
          <w:jc w:val="center"/>
        </w:trPr>
        <w:tc>
          <w:tcPr>
            <w:tcW w:w="1042" w:type="dxa"/>
            <w:vAlign w:val="center"/>
          </w:tcPr>
          <w:p w14:paraId="7D15E221" w14:textId="77777777" w:rsidR="00CA5A81" w:rsidRPr="008B64AF" w:rsidRDefault="00CA5A81" w:rsidP="005266E3">
            <w:pPr>
              <w:jc w:val="center"/>
              <w:rPr>
                <w:b/>
                <w:sz w:val="22"/>
              </w:rPr>
            </w:pPr>
            <w:r w:rsidRPr="008B64AF">
              <w:rPr>
                <w:b/>
                <w:sz w:val="22"/>
              </w:rPr>
              <w:t>Revision No.</w:t>
            </w:r>
          </w:p>
        </w:tc>
        <w:tc>
          <w:tcPr>
            <w:tcW w:w="5850" w:type="dxa"/>
            <w:vAlign w:val="center"/>
          </w:tcPr>
          <w:p w14:paraId="4B910A64" w14:textId="77777777" w:rsidR="00CA5A81" w:rsidRPr="008B64AF" w:rsidRDefault="00CA5A81" w:rsidP="005266E3">
            <w:pPr>
              <w:jc w:val="center"/>
              <w:rPr>
                <w:b/>
                <w:sz w:val="22"/>
              </w:rPr>
            </w:pPr>
            <w:r>
              <w:rPr>
                <w:b/>
                <w:sz w:val="22"/>
              </w:rPr>
              <w:t>Description of Change</w:t>
            </w:r>
          </w:p>
        </w:tc>
        <w:tc>
          <w:tcPr>
            <w:tcW w:w="1563" w:type="dxa"/>
            <w:vAlign w:val="center"/>
          </w:tcPr>
          <w:p w14:paraId="164888A7" w14:textId="77777777" w:rsidR="00CA5A81" w:rsidRPr="008B64AF" w:rsidRDefault="00CA5A81" w:rsidP="005266E3">
            <w:pPr>
              <w:jc w:val="center"/>
              <w:rPr>
                <w:b/>
                <w:sz w:val="22"/>
              </w:rPr>
            </w:pPr>
            <w:r w:rsidRPr="008B64AF">
              <w:rPr>
                <w:b/>
                <w:sz w:val="22"/>
              </w:rPr>
              <w:t>Change Date</w:t>
            </w:r>
          </w:p>
        </w:tc>
        <w:tc>
          <w:tcPr>
            <w:tcW w:w="1563" w:type="dxa"/>
            <w:vAlign w:val="center"/>
          </w:tcPr>
          <w:p w14:paraId="77AF3ED7" w14:textId="77777777" w:rsidR="00CA5A81" w:rsidRPr="008B64AF" w:rsidRDefault="00CA5A81" w:rsidP="005266E3">
            <w:pPr>
              <w:jc w:val="center"/>
              <w:rPr>
                <w:b/>
                <w:sz w:val="22"/>
              </w:rPr>
            </w:pPr>
            <w:r>
              <w:rPr>
                <w:b/>
                <w:sz w:val="22"/>
              </w:rPr>
              <w:t>Modified By:</w:t>
            </w:r>
          </w:p>
        </w:tc>
      </w:tr>
      <w:tr w:rsidR="00CA5A81" w14:paraId="0B90C08A" w14:textId="77777777" w:rsidTr="005266E3">
        <w:trPr>
          <w:trHeight w:val="432"/>
          <w:jc w:val="center"/>
        </w:trPr>
        <w:tc>
          <w:tcPr>
            <w:tcW w:w="1042" w:type="dxa"/>
          </w:tcPr>
          <w:p w14:paraId="487F1920" w14:textId="77777777" w:rsidR="00CA5A81" w:rsidRDefault="00CA5A81" w:rsidP="005266E3">
            <w:pPr>
              <w:jc w:val="center"/>
              <w:rPr>
                <w:sz w:val="22"/>
              </w:rPr>
            </w:pPr>
            <w:r>
              <w:rPr>
                <w:sz w:val="22"/>
              </w:rPr>
              <w:t>Rev. 0</w:t>
            </w:r>
          </w:p>
        </w:tc>
        <w:tc>
          <w:tcPr>
            <w:tcW w:w="5850" w:type="dxa"/>
          </w:tcPr>
          <w:p w14:paraId="4EF3ABDA" w14:textId="77777777" w:rsidR="00CA5A81" w:rsidRDefault="00CA5A81" w:rsidP="005266E3">
            <w:pPr>
              <w:rPr>
                <w:sz w:val="22"/>
              </w:rPr>
            </w:pPr>
            <w:r>
              <w:rPr>
                <w:sz w:val="22"/>
              </w:rPr>
              <w:t>Revised format based on new WBS organization</w:t>
            </w:r>
          </w:p>
        </w:tc>
        <w:tc>
          <w:tcPr>
            <w:tcW w:w="1563" w:type="dxa"/>
          </w:tcPr>
          <w:p w14:paraId="7514B21E" w14:textId="77777777" w:rsidR="00CA5A81" w:rsidRDefault="00CA5A81" w:rsidP="005266E3">
            <w:pPr>
              <w:jc w:val="center"/>
              <w:rPr>
                <w:sz w:val="22"/>
              </w:rPr>
            </w:pPr>
            <w:r>
              <w:rPr>
                <w:sz w:val="22"/>
              </w:rPr>
              <w:t>12/27/18</w:t>
            </w:r>
          </w:p>
        </w:tc>
        <w:tc>
          <w:tcPr>
            <w:tcW w:w="1563" w:type="dxa"/>
          </w:tcPr>
          <w:p w14:paraId="360226A1" w14:textId="77777777" w:rsidR="00CA5A81" w:rsidRDefault="00CA5A81" w:rsidP="005266E3">
            <w:pPr>
              <w:jc w:val="center"/>
              <w:rPr>
                <w:sz w:val="22"/>
              </w:rPr>
            </w:pPr>
            <w:r>
              <w:rPr>
                <w:sz w:val="22"/>
              </w:rPr>
              <w:t>S. Dixon</w:t>
            </w:r>
          </w:p>
        </w:tc>
      </w:tr>
      <w:tr w:rsidR="00AB73A5" w14:paraId="790FEC7F" w14:textId="77777777" w:rsidTr="005266E3">
        <w:trPr>
          <w:trHeight w:val="432"/>
          <w:jc w:val="center"/>
        </w:trPr>
        <w:tc>
          <w:tcPr>
            <w:tcW w:w="1042" w:type="dxa"/>
          </w:tcPr>
          <w:p w14:paraId="4B371DA3" w14:textId="39F2DB14" w:rsidR="00AB73A5" w:rsidRDefault="00AB73A5" w:rsidP="00AB73A5">
            <w:pPr>
              <w:jc w:val="center"/>
              <w:rPr>
                <w:sz w:val="22"/>
              </w:rPr>
            </w:pPr>
            <w:r>
              <w:rPr>
                <w:sz w:val="22"/>
              </w:rPr>
              <w:t>Rev. 1</w:t>
            </w:r>
          </w:p>
        </w:tc>
        <w:tc>
          <w:tcPr>
            <w:tcW w:w="5850" w:type="dxa"/>
          </w:tcPr>
          <w:p w14:paraId="1C78D633" w14:textId="34CB6509" w:rsidR="00AB73A5" w:rsidRDefault="00AB73A5" w:rsidP="00AB73A5">
            <w:pPr>
              <w:rPr>
                <w:sz w:val="22"/>
              </w:rPr>
            </w:pPr>
            <w:r>
              <w:rPr>
                <w:sz w:val="22"/>
              </w:rPr>
              <w:t>Revised based peer review</w:t>
            </w:r>
          </w:p>
        </w:tc>
        <w:tc>
          <w:tcPr>
            <w:tcW w:w="1563" w:type="dxa"/>
          </w:tcPr>
          <w:p w14:paraId="62BE3027" w14:textId="79EFCAC8" w:rsidR="00AB73A5" w:rsidRDefault="00AB73A5" w:rsidP="00AB73A5">
            <w:pPr>
              <w:jc w:val="center"/>
              <w:rPr>
                <w:sz w:val="22"/>
              </w:rPr>
            </w:pPr>
            <w:r>
              <w:rPr>
                <w:sz w:val="22"/>
              </w:rPr>
              <w:t>02/27/19</w:t>
            </w:r>
          </w:p>
        </w:tc>
        <w:tc>
          <w:tcPr>
            <w:tcW w:w="1563" w:type="dxa"/>
          </w:tcPr>
          <w:p w14:paraId="354A28E7" w14:textId="7F43438D" w:rsidR="00AB73A5" w:rsidRDefault="00AB73A5" w:rsidP="00AB73A5">
            <w:pPr>
              <w:jc w:val="center"/>
              <w:rPr>
                <w:sz w:val="22"/>
              </w:rPr>
            </w:pPr>
            <w:r>
              <w:rPr>
                <w:sz w:val="22"/>
              </w:rPr>
              <w:t>S. Dixon</w:t>
            </w:r>
          </w:p>
        </w:tc>
      </w:tr>
      <w:tr w:rsidR="00AB73A5" w14:paraId="0BC3C2BF" w14:textId="77777777" w:rsidTr="005266E3">
        <w:trPr>
          <w:trHeight w:val="432"/>
          <w:jc w:val="center"/>
        </w:trPr>
        <w:tc>
          <w:tcPr>
            <w:tcW w:w="1042" w:type="dxa"/>
          </w:tcPr>
          <w:p w14:paraId="72F0C862" w14:textId="77777777" w:rsidR="00AB73A5" w:rsidRDefault="00AB73A5" w:rsidP="00AB73A5">
            <w:pPr>
              <w:jc w:val="center"/>
              <w:rPr>
                <w:sz w:val="22"/>
              </w:rPr>
            </w:pPr>
          </w:p>
        </w:tc>
        <w:tc>
          <w:tcPr>
            <w:tcW w:w="5850" w:type="dxa"/>
          </w:tcPr>
          <w:p w14:paraId="1A44485F" w14:textId="77777777" w:rsidR="00AB73A5" w:rsidRDefault="00AB73A5" w:rsidP="00AB73A5">
            <w:pPr>
              <w:rPr>
                <w:sz w:val="22"/>
              </w:rPr>
            </w:pPr>
          </w:p>
        </w:tc>
        <w:tc>
          <w:tcPr>
            <w:tcW w:w="1563" w:type="dxa"/>
          </w:tcPr>
          <w:p w14:paraId="48992639" w14:textId="77777777" w:rsidR="00AB73A5" w:rsidRDefault="00AB73A5" w:rsidP="00AB73A5">
            <w:pPr>
              <w:jc w:val="center"/>
              <w:rPr>
                <w:sz w:val="22"/>
              </w:rPr>
            </w:pPr>
          </w:p>
        </w:tc>
        <w:tc>
          <w:tcPr>
            <w:tcW w:w="1563" w:type="dxa"/>
          </w:tcPr>
          <w:p w14:paraId="365C3E03" w14:textId="77777777" w:rsidR="00AB73A5" w:rsidRDefault="00AB73A5" w:rsidP="00AB73A5">
            <w:pPr>
              <w:jc w:val="center"/>
              <w:rPr>
                <w:sz w:val="22"/>
              </w:rPr>
            </w:pPr>
          </w:p>
        </w:tc>
      </w:tr>
      <w:tr w:rsidR="00AB73A5" w14:paraId="344EF971" w14:textId="77777777" w:rsidTr="005266E3">
        <w:trPr>
          <w:trHeight w:val="432"/>
          <w:jc w:val="center"/>
        </w:trPr>
        <w:tc>
          <w:tcPr>
            <w:tcW w:w="1042" w:type="dxa"/>
          </w:tcPr>
          <w:p w14:paraId="7012E211" w14:textId="77777777" w:rsidR="00AB73A5" w:rsidRDefault="00AB73A5" w:rsidP="00AB73A5">
            <w:pPr>
              <w:jc w:val="center"/>
              <w:rPr>
                <w:sz w:val="22"/>
              </w:rPr>
            </w:pPr>
          </w:p>
        </w:tc>
        <w:tc>
          <w:tcPr>
            <w:tcW w:w="5850" w:type="dxa"/>
          </w:tcPr>
          <w:p w14:paraId="1F77875C" w14:textId="77777777" w:rsidR="00AB73A5" w:rsidRDefault="00AB73A5" w:rsidP="00AB73A5">
            <w:pPr>
              <w:rPr>
                <w:sz w:val="22"/>
              </w:rPr>
            </w:pPr>
          </w:p>
        </w:tc>
        <w:tc>
          <w:tcPr>
            <w:tcW w:w="1563" w:type="dxa"/>
          </w:tcPr>
          <w:p w14:paraId="47909E87" w14:textId="77777777" w:rsidR="00AB73A5" w:rsidRDefault="00AB73A5" w:rsidP="00AB73A5">
            <w:pPr>
              <w:jc w:val="center"/>
              <w:rPr>
                <w:sz w:val="22"/>
              </w:rPr>
            </w:pPr>
          </w:p>
        </w:tc>
        <w:tc>
          <w:tcPr>
            <w:tcW w:w="1563" w:type="dxa"/>
          </w:tcPr>
          <w:p w14:paraId="121E6D2C" w14:textId="77777777" w:rsidR="00AB73A5" w:rsidRDefault="00AB73A5" w:rsidP="00AB73A5">
            <w:pPr>
              <w:jc w:val="center"/>
              <w:rPr>
                <w:sz w:val="22"/>
              </w:rPr>
            </w:pPr>
          </w:p>
        </w:tc>
      </w:tr>
      <w:tr w:rsidR="00AB73A5" w14:paraId="28394C20" w14:textId="77777777" w:rsidTr="005266E3">
        <w:trPr>
          <w:trHeight w:val="432"/>
          <w:jc w:val="center"/>
        </w:trPr>
        <w:tc>
          <w:tcPr>
            <w:tcW w:w="1042" w:type="dxa"/>
          </w:tcPr>
          <w:p w14:paraId="54C43054" w14:textId="77777777" w:rsidR="00AB73A5" w:rsidRDefault="00AB73A5" w:rsidP="00AB73A5">
            <w:pPr>
              <w:jc w:val="center"/>
              <w:rPr>
                <w:sz w:val="22"/>
              </w:rPr>
            </w:pPr>
          </w:p>
        </w:tc>
        <w:tc>
          <w:tcPr>
            <w:tcW w:w="5850" w:type="dxa"/>
          </w:tcPr>
          <w:p w14:paraId="057EDCE9" w14:textId="77777777" w:rsidR="00AB73A5" w:rsidRDefault="00AB73A5" w:rsidP="00AB73A5">
            <w:pPr>
              <w:rPr>
                <w:sz w:val="22"/>
              </w:rPr>
            </w:pPr>
          </w:p>
        </w:tc>
        <w:tc>
          <w:tcPr>
            <w:tcW w:w="1563" w:type="dxa"/>
          </w:tcPr>
          <w:p w14:paraId="6EED9AAD" w14:textId="77777777" w:rsidR="00AB73A5" w:rsidRDefault="00AB73A5" w:rsidP="00AB73A5">
            <w:pPr>
              <w:jc w:val="center"/>
              <w:rPr>
                <w:sz w:val="22"/>
              </w:rPr>
            </w:pPr>
          </w:p>
        </w:tc>
        <w:tc>
          <w:tcPr>
            <w:tcW w:w="1563" w:type="dxa"/>
          </w:tcPr>
          <w:p w14:paraId="2C53DC5B" w14:textId="77777777" w:rsidR="00AB73A5" w:rsidRDefault="00AB73A5" w:rsidP="00AB73A5">
            <w:pPr>
              <w:jc w:val="center"/>
              <w:rPr>
                <w:sz w:val="22"/>
              </w:rPr>
            </w:pPr>
          </w:p>
        </w:tc>
      </w:tr>
      <w:tr w:rsidR="00AB73A5" w14:paraId="5C7A9DDC" w14:textId="77777777" w:rsidTr="005266E3">
        <w:trPr>
          <w:trHeight w:val="432"/>
          <w:jc w:val="center"/>
        </w:trPr>
        <w:tc>
          <w:tcPr>
            <w:tcW w:w="1042" w:type="dxa"/>
          </w:tcPr>
          <w:p w14:paraId="392A42E3" w14:textId="77777777" w:rsidR="00AB73A5" w:rsidRDefault="00AB73A5" w:rsidP="00AB73A5">
            <w:pPr>
              <w:jc w:val="center"/>
              <w:rPr>
                <w:sz w:val="22"/>
              </w:rPr>
            </w:pPr>
          </w:p>
        </w:tc>
        <w:tc>
          <w:tcPr>
            <w:tcW w:w="5850" w:type="dxa"/>
          </w:tcPr>
          <w:p w14:paraId="2554E172" w14:textId="77777777" w:rsidR="00AB73A5" w:rsidRDefault="00AB73A5" w:rsidP="00AB73A5">
            <w:pPr>
              <w:jc w:val="center"/>
              <w:rPr>
                <w:sz w:val="22"/>
              </w:rPr>
            </w:pPr>
          </w:p>
        </w:tc>
        <w:tc>
          <w:tcPr>
            <w:tcW w:w="1563" w:type="dxa"/>
          </w:tcPr>
          <w:p w14:paraId="4459AA3B" w14:textId="77777777" w:rsidR="00AB73A5" w:rsidRDefault="00AB73A5" w:rsidP="00AB73A5">
            <w:pPr>
              <w:jc w:val="center"/>
              <w:rPr>
                <w:sz w:val="22"/>
              </w:rPr>
            </w:pPr>
          </w:p>
        </w:tc>
        <w:tc>
          <w:tcPr>
            <w:tcW w:w="1563" w:type="dxa"/>
          </w:tcPr>
          <w:p w14:paraId="3EE46EC7" w14:textId="77777777" w:rsidR="00AB73A5" w:rsidRDefault="00AB73A5" w:rsidP="00AB73A5">
            <w:pPr>
              <w:jc w:val="center"/>
              <w:rPr>
                <w:sz w:val="22"/>
              </w:rPr>
            </w:pPr>
          </w:p>
        </w:tc>
      </w:tr>
    </w:tbl>
    <w:p w14:paraId="6706EB65" w14:textId="77777777" w:rsidR="00CA5A81" w:rsidRDefault="00CA5A81" w:rsidP="00CA5A81">
      <w:pPr>
        <w:ind w:right="-360"/>
        <w:rPr>
          <w:b/>
        </w:rPr>
      </w:pPr>
    </w:p>
    <w:p w14:paraId="0F815FCE" w14:textId="77777777" w:rsidR="00CA5A81" w:rsidRDefault="00CA5A81" w:rsidP="00CA5A81">
      <w:pPr>
        <w:ind w:right="-360"/>
        <w:rPr>
          <w:b/>
        </w:rPr>
      </w:pPr>
      <w:r>
        <w:rPr>
          <w:b/>
        </w:rPr>
        <w:t xml:space="preserve">Approval of the Revision Change of the BOE is by electronic approval in PIP-II </w:t>
      </w:r>
      <w:proofErr w:type="spellStart"/>
      <w:r>
        <w:rPr>
          <w:b/>
        </w:rPr>
        <w:t>DocDB</w:t>
      </w:r>
      <w:proofErr w:type="spellEnd"/>
      <w:r>
        <w:rPr>
          <w:b/>
        </w:rPr>
        <w:t xml:space="preserve"> by the Level 2 Manager responsible for this WBS work scope.  </w:t>
      </w:r>
    </w:p>
    <w:p w14:paraId="3209F363" w14:textId="7EB25CD3" w:rsidR="002F7D44" w:rsidRDefault="002F7D44" w:rsidP="007B7EC2">
      <w:pPr>
        <w:rPr>
          <w:b/>
          <w:sz w:val="28"/>
          <w:szCs w:val="28"/>
        </w:rPr>
      </w:pPr>
    </w:p>
    <w:p w14:paraId="133558BC" w14:textId="77777777" w:rsidR="00A370D1" w:rsidRPr="00842216" w:rsidRDefault="00842216" w:rsidP="00F16CD9">
      <w:pPr>
        <w:ind w:right="-360"/>
        <w:rPr>
          <w:b/>
        </w:rPr>
      </w:pPr>
      <w:r w:rsidRPr="00842216">
        <w:rPr>
          <w:b/>
        </w:rPr>
        <w:t>{end of document}</w:t>
      </w:r>
    </w:p>
    <w:sectPr w:rsidR="00A370D1" w:rsidRPr="00842216" w:rsidSect="00077950">
      <w:footerReference w:type="default" r:id="rId7"/>
      <w:pgSz w:w="12240" w:h="15840" w:code="1"/>
      <w:pgMar w:top="1440" w:right="72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C08B1" w14:textId="77777777" w:rsidR="008E4E09" w:rsidRDefault="008E4E09">
      <w:r>
        <w:separator/>
      </w:r>
    </w:p>
  </w:endnote>
  <w:endnote w:type="continuationSeparator" w:id="0">
    <w:p w14:paraId="1B477294" w14:textId="77777777" w:rsidR="008E4E09" w:rsidRDefault="008E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65354" w14:textId="087E7276" w:rsidR="0047574B" w:rsidRDefault="0047574B" w:rsidP="004C39F7">
    <w:r>
      <w:tab/>
    </w:r>
    <w:r>
      <w:tab/>
    </w:r>
    <w:r>
      <w:tab/>
    </w:r>
    <w:r>
      <w:tab/>
    </w:r>
    <w:r>
      <w:tab/>
    </w:r>
    <w:r>
      <w:tab/>
    </w:r>
    <w:r>
      <w:tab/>
    </w:r>
    <w:r>
      <w:tab/>
    </w:r>
    <w:r>
      <w:tab/>
    </w:r>
    <w:r>
      <w:tab/>
    </w:r>
    <w:r>
      <w:tab/>
    </w:r>
    <w:r>
      <w:tab/>
      <w:t xml:space="preserve">Page </w:t>
    </w:r>
    <w:r w:rsidR="00E9775A">
      <w:rPr>
        <w:rStyle w:val="PageNumber"/>
      </w:rPr>
      <w:fldChar w:fldCharType="begin"/>
    </w:r>
    <w:r>
      <w:rPr>
        <w:rStyle w:val="PageNumber"/>
      </w:rPr>
      <w:instrText xml:space="preserve"> PAGE </w:instrText>
    </w:r>
    <w:r w:rsidR="00E9775A">
      <w:rPr>
        <w:rStyle w:val="PageNumber"/>
      </w:rPr>
      <w:fldChar w:fldCharType="separate"/>
    </w:r>
    <w:r w:rsidR="002F7D44">
      <w:rPr>
        <w:rStyle w:val="PageNumber"/>
        <w:noProof/>
      </w:rPr>
      <w:t>2</w:t>
    </w:r>
    <w:r w:rsidR="00E9775A">
      <w:rPr>
        <w:rStyle w:val="PageNumber"/>
      </w:rPr>
      <w:fldChar w:fldCharType="end"/>
    </w:r>
    <w:r>
      <w:rPr>
        <w:rStyle w:val="PageNumber"/>
      </w:rPr>
      <w:t xml:space="preserve"> of </w:t>
    </w:r>
    <w:r w:rsidR="00E9775A">
      <w:rPr>
        <w:rStyle w:val="PageNumber"/>
      </w:rPr>
      <w:fldChar w:fldCharType="begin"/>
    </w:r>
    <w:r>
      <w:rPr>
        <w:rStyle w:val="PageNumber"/>
      </w:rPr>
      <w:instrText xml:space="preserve"> NUMPAGES </w:instrText>
    </w:r>
    <w:r w:rsidR="00E9775A">
      <w:rPr>
        <w:rStyle w:val="PageNumber"/>
      </w:rPr>
      <w:fldChar w:fldCharType="separate"/>
    </w:r>
    <w:r w:rsidR="002F7D44">
      <w:rPr>
        <w:rStyle w:val="PageNumber"/>
        <w:noProof/>
      </w:rPr>
      <w:t>3</w:t>
    </w:r>
    <w:r w:rsidR="00E9775A">
      <w:rPr>
        <w:rStyle w:val="PageNumber"/>
      </w:rPr>
      <w:fldChar w:fldCharType="end"/>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5FB5A" w14:textId="77777777" w:rsidR="008E4E09" w:rsidRDefault="008E4E09">
      <w:r>
        <w:separator/>
      </w:r>
    </w:p>
  </w:footnote>
  <w:footnote w:type="continuationSeparator" w:id="0">
    <w:p w14:paraId="379B5169" w14:textId="77777777" w:rsidR="008E4E09" w:rsidRDefault="008E4E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37DD"/>
    <w:multiLevelType w:val="hybridMultilevel"/>
    <w:tmpl w:val="C1487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186EE9"/>
    <w:multiLevelType w:val="hybridMultilevel"/>
    <w:tmpl w:val="7F24E93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B986E28"/>
    <w:multiLevelType w:val="hybridMultilevel"/>
    <w:tmpl w:val="77E89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D177A6"/>
    <w:multiLevelType w:val="hybridMultilevel"/>
    <w:tmpl w:val="C2B29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704A7"/>
    <w:multiLevelType w:val="hybridMultilevel"/>
    <w:tmpl w:val="5B32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A6466"/>
    <w:multiLevelType w:val="hybridMultilevel"/>
    <w:tmpl w:val="3FC860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B76410C"/>
    <w:multiLevelType w:val="hybridMultilevel"/>
    <w:tmpl w:val="84AADE8E"/>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DCE11C3"/>
    <w:multiLevelType w:val="hybridMultilevel"/>
    <w:tmpl w:val="4F3889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18B07A1"/>
    <w:multiLevelType w:val="hybridMultilevel"/>
    <w:tmpl w:val="A1C447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920E93"/>
    <w:multiLevelType w:val="hybridMultilevel"/>
    <w:tmpl w:val="FDA6614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4C07CB"/>
    <w:multiLevelType w:val="hybridMultilevel"/>
    <w:tmpl w:val="67083E9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6924329"/>
    <w:multiLevelType w:val="hybridMultilevel"/>
    <w:tmpl w:val="6CC68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15EAB"/>
    <w:multiLevelType w:val="hybridMultilevel"/>
    <w:tmpl w:val="3EEAE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3B3CAD"/>
    <w:multiLevelType w:val="hybridMultilevel"/>
    <w:tmpl w:val="0994F60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E4B76FD"/>
    <w:multiLevelType w:val="hybridMultilevel"/>
    <w:tmpl w:val="AF34D8C8"/>
    <w:lvl w:ilvl="0" w:tplc="427277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FE0175"/>
    <w:multiLevelType w:val="hybridMultilevel"/>
    <w:tmpl w:val="09AA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2569A6"/>
    <w:multiLevelType w:val="hybridMultilevel"/>
    <w:tmpl w:val="8626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56342E"/>
    <w:multiLevelType w:val="hybridMultilevel"/>
    <w:tmpl w:val="23DE6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0A15F9"/>
    <w:multiLevelType w:val="hybridMultilevel"/>
    <w:tmpl w:val="3FDC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9"/>
  </w:num>
  <w:num w:numId="4">
    <w:abstractNumId w:val="6"/>
  </w:num>
  <w:num w:numId="5">
    <w:abstractNumId w:val="13"/>
  </w:num>
  <w:num w:numId="6">
    <w:abstractNumId w:val="10"/>
  </w:num>
  <w:num w:numId="7">
    <w:abstractNumId w:val="12"/>
  </w:num>
  <w:num w:numId="8">
    <w:abstractNumId w:val="5"/>
  </w:num>
  <w:num w:numId="9">
    <w:abstractNumId w:val="1"/>
  </w:num>
  <w:num w:numId="10">
    <w:abstractNumId w:val="0"/>
  </w:num>
  <w:num w:numId="11">
    <w:abstractNumId w:val="17"/>
  </w:num>
  <w:num w:numId="12">
    <w:abstractNumId w:val="4"/>
  </w:num>
  <w:num w:numId="13">
    <w:abstractNumId w:val="16"/>
  </w:num>
  <w:num w:numId="14">
    <w:abstractNumId w:val="11"/>
  </w:num>
  <w:num w:numId="15">
    <w:abstractNumId w:val="2"/>
  </w:num>
  <w:num w:numId="16">
    <w:abstractNumId w:val="3"/>
  </w:num>
  <w:num w:numId="17">
    <w:abstractNumId w:val="7"/>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B10"/>
    <w:rsid w:val="00000FE3"/>
    <w:rsid w:val="0000341B"/>
    <w:rsid w:val="00012ABA"/>
    <w:rsid w:val="000143B8"/>
    <w:rsid w:val="00015AFB"/>
    <w:rsid w:val="00015DEA"/>
    <w:rsid w:val="00017D75"/>
    <w:rsid w:val="0002327D"/>
    <w:rsid w:val="00027C43"/>
    <w:rsid w:val="00030AE5"/>
    <w:rsid w:val="00030CE0"/>
    <w:rsid w:val="000332A5"/>
    <w:rsid w:val="000379C6"/>
    <w:rsid w:val="00043E20"/>
    <w:rsid w:val="00055206"/>
    <w:rsid w:val="00055E70"/>
    <w:rsid w:val="000560BB"/>
    <w:rsid w:val="000565ED"/>
    <w:rsid w:val="00057F5F"/>
    <w:rsid w:val="00062B61"/>
    <w:rsid w:val="00066239"/>
    <w:rsid w:val="00066AAF"/>
    <w:rsid w:val="00075089"/>
    <w:rsid w:val="00077950"/>
    <w:rsid w:val="000820A9"/>
    <w:rsid w:val="000859E6"/>
    <w:rsid w:val="00091BF9"/>
    <w:rsid w:val="00096620"/>
    <w:rsid w:val="000A3779"/>
    <w:rsid w:val="000B0D4A"/>
    <w:rsid w:val="000B1269"/>
    <w:rsid w:val="000B15B6"/>
    <w:rsid w:val="000B3861"/>
    <w:rsid w:val="000C28E1"/>
    <w:rsid w:val="000C36AE"/>
    <w:rsid w:val="000C5EB8"/>
    <w:rsid w:val="000E0F58"/>
    <w:rsid w:val="000E350A"/>
    <w:rsid w:val="000E57ED"/>
    <w:rsid w:val="000E710B"/>
    <w:rsid w:val="000F0024"/>
    <w:rsid w:val="000F328A"/>
    <w:rsid w:val="000F7D6B"/>
    <w:rsid w:val="00101EFE"/>
    <w:rsid w:val="00104E6B"/>
    <w:rsid w:val="00106621"/>
    <w:rsid w:val="00106792"/>
    <w:rsid w:val="0011578D"/>
    <w:rsid w:val="00121AEE"/>
    <w:rsid w:val="00126602"/>
    <w:rsid w:val="00133F69"/>
    <w:rsid w:val="00136233"/>
    <w:rsid w:val="00140412"/>
    <w:rsid w:val="0014225C"/>
    <w:rsid w:val="00144973"/>
    <w:rsid w:val="00145C07"/>
    <w:rsid w:val="00153420"/>
    <w:rsid w:val="001564F2"/>
    <w:rsid w:val="00164266"/>
    <w:rsid w:val="00170E21"/>
    <w:rsid w:val="00177CE1"/>
    <w:rsid w:val="00181EE3"/>
    <w:rsid w:val="00182EDD"/>
    <w:rsid w:val="0018423F"/>
    <w:rsid w:val="001849A2"/>
    <w:rsid w:val="00190876"/>
    <w:rsid w:val="00190E36"/>
    <w:rsid w:val="001974C6"/>
    <w:rsid w:val="001A04D9"/>
    <w:rsid w:val="001A5742"/>
    <w:rsid w:val="001A6C0C"/>
    <w:rsid w:val="001B4484"/>
    <w:rsid w:val="001C07FE"/>
    <w:rsid w:val="001C65A6"/>
    <w:rsid w:val="001C7271"/>
    <w:rsid w:val="001D104A"/>
    <w:rsid w:val="001D3C40"/>
    <w:rsid w:val="001F3654"/>
    <w:rsid w:val="001F38C1"/>
    <w:rsid w:val="001F39B9"/>
    <w:rsid w:val="001F572E"/>
    <w:rsid w:val="00202517"/>
    <w:rsid w:val="00205170"/>
    <w:rsid w:val="00211F2E"/>
    <w:rsid w:val="0021393E"/>
    <w:rsid w:val="00214041"/>
    <w:rsid w:val="002232E3"/>
    <w:rsid w:val="002274DA"/>
    <w:rsid w:val="00227AAD"/>
    <w:rsid w:val="00230738"/>
    <w:rsid w:val="0023088B"/>
    <w:rsid w:val="0023161F"/>
    <w:rsid w:val="00234B88"/>
    <w:rsid w:val="0023620D"/>
    <w:rsid w:val="0023791C"/>
    <w:rsid w:val="00240563"/>
    <w:rsid w:val="00241004"/>
    <w:rsid w:val="0026173C"/>
    <w:rsid w:val="002617D5"/>
    <w:rsid w:val="002767BE"/>
    <w:rsid w:val="0028049E"/>
    <w:rsid w:val="002820BC"/>
    <w:rsid w:val="00282B03"/>
    <w:rsid w:val="00283F36"/>
    <w:rsid w:val="00285774"/>
    <w:rsid w:val="00285948"/>
    <w:rsid w:val="002B5E1A"/>
    <w:rsid w:val="002B7865"/>
    <w:rsid w:val="002C13FA"/>
    <w:rsid w:val="002C18AA"/>
    <w:rsid w:val="002C1DF8"/>
    <w:rsid w:val="002C1F41"/>
    <w:rsid w:val="002C3757"/>
    <w:rsid w:val="002D730C"/>
    <w:rsid w:val="002E1D78"/>
    <w:rsid w:val="002E7136"/>
    <w:rsid w:val="002F26F6"/>
    <w:rsid w:val="002F7C9E"/>
    <w:rsid w:val="002F7D44"/>
    <w:rsid w:val="00300A7F"/>
    <w:rsid w:val="00304FCA"/>
    <w:rsid w:val="00311731"/>
    <w:rsid w:val="003131C3"/>
    <w:rsid w:val="00313B9B"/>
    <w:rsid w:val="00316C16"/>
    <w:rsid w:val="00317902"/>
    <w:rsid w:val="00322C28"/>
    <w:rsid w:val="00325A84"/>
    <w:rsid w:val="0032630E"/>
    <w:rsid w:val="00327F6F"/>
    <w:rsid w:val="0034184F"/>
    <w:rsid w:val="00344328"/>
    <w:rsid w:val="00345671"/>
    <w:rsid w:val="003474B9"/>
    <w:rsid w:val="003652CB"/>
    <w:rsid w:val="003717C5"/>
    <w:rsid w:val="00372DA1"/>
    <w:rsid w:val="00373870"/>
    <w:rsid w:val="00381EF0"/>
    <w:rsid w:val="00383043"/>
    <w:rsid w:val="003832F0"/>
    <w:rsid w:val="0038785A"/>
    <w:rsid w:val="00387C37"/>
    <w:rsid w:val="00395894"/>
    <w:rsid w:val="003A2B05"/>
    <w:rsid w:val="003B2BF2"/>
    <w:rsid w:val="003B58DC"/>
    <w:rsid w:val="003B6544"/>
    <w:rsid w:val="003C11A4"/>
    <w:rsid w:val="003C2D5E"/>
    <w:rsid w:val="003C4927"/>
    <w:rsid w:val="003D1EC6"/>
    <w:rsid w:val="003E6D40"/>
    <w:rsid w:val="003E7420"/>
    <w:rsid w:val="003F19EF"/>
    <w:rsid w:val="003F4019"/>
    <w:rsid w:val="003F4135"/>
    <w:rsid w:val="00406D3C"/>
    <w:rsid w:val="00407B03"/>
    <w:rsid w:val="00410A7D"/>
    <w:rsid w:val="004131C0"/>
    <w:rsid w:val="004145C3"/>
    <w:rsid w:val="00414780"/>
    <w:rsid w:val="00415457"/>
    <w:rsid w:val="00417763"/>
    <w:rsid w:val="00422D4D"/>
    <w:rsid w:val="00423919"/>
    <w:rsid w:val="00425008"/>
    <w:rsid w:val="0042528F"/>
    <w:rsid w:val="0043009B"/>
    <w:rsid w:val="00432D91"/>
    <w:rsid w:val="00435768"/>
    <w:rsid w:val="00436BCD"/>
    <w:rsid w:val="00436D94"/>
    <w:rsid w:val="004619D9"/>
    <w:rsid w:val="00462B0B"/>
    <w:rsid w:val="004667D4"/>
    <w:rsid w:val="0047574B"/>
    <w:rsid w:val="00480D4B"/>
    <w:rsid w:val="00483B6A"/>
    <w:rsid w:val="00484395"/>
    <w:rsid w:val="00487C2A"/>
    <w:rsid w:val="004A35D3"/>
    <w:rsid w:val="004B023F"/>
    <w:rsid w:val="004B34C1"/>
    <w:rsid w:val="004C1B37"/>
    <w:rsid w:val="004C1C24"/>
    <w:rsid w:val="004C259D"/>
    <w:rsid w:val="004C39F7"/>
    <w:rsid w:val="004C7159"/>
    <w:rsid w:val="004F0D01"/>
    <w:rsid w:val="004F1442"/>
    <w:rsid w:val="004F4CD3"/>
    <w:rsid w:val="00500031"/>
    <w:rsid w:val="00505B64"/>
    <w:rsid w:val="00506597"/>
    <w:rsid w:val="00511D1F"/>
    <w:rsid w:val="00512D71"/>
    <w:rsid w:val="00514355"/>
    <w:rsid w:val="0051515F"/>
    <w:rsid w:val="00517303"/>
    <w:rsid w:val="00520937"/>
    <w:rsid w:val="005212CE"/>
    <w:rsid w:val="0052199E"/>
    <w:rsid w:val="00521D12"/>
    <w:rsid w:val="00523774"/>
    <w:rsid w:val="00531C24"/>
    <w:rsid w:val="00532DEC"/>
    <w:rsid w:val="0055145C"/>
    <w:rsid w:val="00555FA8"/>
    <w:rsid w:val="00566265"/>
    <w:rsid w:val="005718A5"/>
    <w:rsid w:val="0057242E"/>
    <w:rsid w:val="00573C42"/>
    <w:rsid w:val="00580E5B"/>
    <w:rsid w:val="00582B99"/>
    <w:rsid w:val="00586447"/>
    <w:rsid w:val="005925C0"/>
    <w:rsid w:val="005963C4"/>
    <w:rsid w:val="0059641B"/>
    <w:rsid w:val="005C3B29"/>
    <w:rsid w:val="005C5E70"/>
    <w:rsid w:val="005C6A17"/>
    <w:rsid w:val="005D13B7"/>
    <w:rsid w:val="005D13F3"/>
    <w:rsid w:val="005D20C4"/>
    <w:rsid w:val="005E043E"/>
    <w:rsid w:val="005F7400"/>
    <w:rsid w:val="00607174"/>
    <w:rsid w:val="00607269"/>
    <w:rsid w:val="00613325"/>
    <w:rsid w:val="00616520"/>
    <w:rsid w:val="0062420F"/>
    <w:rsid w:val="00631FE1"/>
    <w:rsid w:val="006355FB"/>
    <w:rsid w:val="00636B96"/>
    <w:rsid w:val="00641590"/>
    <w:rsid w:val="006424A8"/>
    <w:rsid w:val="006433D0"/>
    <w:rsid w:val="00647948"/>
    <w:rsid w:val="00650668"/>
    <w:rsid w:val="006541F4"/>
    <w:rsid w:val="00654585"/>
    <w:rsid w:val="00660898"/>
    <w:rsid w:val="00664ED3"/>
    <w:rsid w:val="0066790D"/>
    <w:rsid w:val="006724DC"/>
    <w:rsid w:val="006728EE"/>
    <w:rsid w:val="00675B31"/>
    <w:rsid w:val="00675ECE"/>
    <w:rsid w:val="00677E7B"/>
    <w:rsid w:val="00683092"/>
    <w:rsid w:val="006837DF"/>
    <w:rsid w:val="00686D3A"/>
    <w:rsid w:val="006946BD"/>
    <w:rsid w:val="0069761A"/>
    <w:rsid w:val="006A0E8A"/>
    <w:rsid w:val="006A2320"/>
    <w:rsid w:val="006A4AFA"/>
    <w:rsid w:val="006A66B8"/>
    <w:rsid w:val="006A6D11"/>
    <w:rsid w:val="006A6FF5"/>
    <w:rsid w:val="006B121F"/>
    <w:rsid w:val="006B274B"/>
    <w:rsid w:val="006B32A6"/>
    <w:rsid w:val="006B39E7"/>
    <w:rsid w:val="006B6640"/>
    <w:rsid w:val="006C5955"/>
    <w:rsid w:val="006D1C2B"/>
    <w:rsid w:val="006D44A6"/>
    <w:rsid w:val="006D4CE6"/>
    <w:rsid w:val="006E0BB1"/>
    <w:rsid w:val="006E5B54"/>
    <w:rsid w:val="006F02D4"/>
    <w:rsid w:val="006F6128"/>
    <w:rsid w:val="007038C9"/>
    <w:rsid w:val="00705767"/>
    <w:rsid w:val="00710762"/>
    <w:rsid w:val="00714E22"/>
    <w:rsid w:val="00716F08"/>
    <w:rsid w:val="0072185A"/>
    <w:rsid w:val="00723253"/>
    <w:rsid w:val="00723BB8"/>
    <w:rsid w:val="007257B3"/>
    <w:rsid w:val="0073748C"/>
    <w:rsid w:val="00737A0A"/>
    <w:rsid w:val="00740DFD"/>
    <w:rsid w:val="0074545C"/>
    <w:rsid w:val="00753958"/>
    <w:rsid w:val="00755C25"/>
    <w:rsid w:val="007605B0"/>
    <w:rsid w:val="00760BD6"/>
    <w:rsid w:val="007633DB"/>
    <w:rsid w:val="00773525"/>
    <w:rsid w:val="007737EB"/>
    <w:rsid w:val="0077676A"/>
    <w:rsid w:val="007860C1"/>
    <w:rsid w:val="0078635F"/>
    <w:rsid w:val="00791000"/>
    <w:rsid w:val="00794B82"/>
    <w:rsid w:val="00796B69"/>
    <w:rsid w:val="007B2345"/>
    <w:rsid w:val="007B59B6"/>
    <w:rsid w:val="007B7EC2"/>
    <w:rsid w:val="007C3070"/>
    <w:rsid w:val="007D2D94"/>
    <w:rsid w:val="007D565E"/>
    <w:rsid w:val="007E1355"/>
    <w:rsid w:val="007F24A8"/>
    <w:rsid w:val="007F44FD"/>
    <w:rsid w:val="007F6094"/>
    <w:rsid w:val="007F7A02"/>
    <w:rsid w:val="008002D4"/>
    <w:rsid w:val="0080505B"/>
    <w:rsid w:val="00806653"/>
    <w:rsid w:val="0081288B"/>
    <w:rsid w:val="0081711F"/>
    <w:rsid w:val="008239FA"/>
    <w:rsid w:val="00826AE4"/>
    <w:rsid w:val="00834357"/>
    <w:rsid w:val="00835EEB"/>
    <w:rsid w:val="00842216"/>
    <w:rsid w:val="00854792"/>
    <w:rsid w:val="00860EE8"/>
    <w:rsid w:val="008617EC"/>
    <w:rsid w:val="00862A03"/>
    <w:rsid w:val="00864037"/>
    <w:rsid w:val="008674A1"/>
    <w:rsid w:val="00867C63"/>
    <w:rsid w:val="00873A4E"/>
    <w:rsid w:val="008814E1"/>
    <w:rsid w:val="00883F27"/>
    <w:rsid w:val="00890E71"/>
    <w:rsid w:val="0089417F"/>
    <w:rsid w:val="0089740B"/>
    <w:rsid w:val="0089774A"/>
    <w:rsid w:val="008977BF"/>
    <w:rsid w:val="008A0C09"/>
    <w:rsid w:val="008A2E51"/>
    <w:rsid w:val="008A3D2B"/>
    <w:rsid w:val="008A5FE3"/>
    <w:rsid w:val="008A6F06"/>
    <w:rsid w:val="008B3B4B"/>
    <w:rsid w:val="008C10D8"/>
    <w:rsid w:val="008C35F9"/>
    <w:rsid w:val="008C6C6D"/>
    <w:rsid w:val="008C759B"/>
    <w:rsid w:val="008D1E73"/>
    <w:rsid w:val="008D4637"/>
    <w:rsid w:val="008E2E17"/>
    <w:rsid w:val="008E4E09"/>
    <w:rsid w:val="008E6FB8"/>
    <w:rsid w:val="008F586E"/>
    <w:rsid w:val="00904195"/>
    <w:rsid w:val="0090557F"/>
    <w:rsid w:val="00914B19"/>
    <w:rsid w:val="00915AC3"/>
    <w:rsid w:val="00923BAF"/>
    <w:rsid w:val="00927041"/>
    <w:rsid w:val="00933FF2"/>
    <w:rsid w:val="00950381"/>
    <w:rsid w:val="00954BEB"/>
    <w:rsid w:val="00955D87"/>
    <w:rsid w:val="009568A5"/>
    <w:rsid w:val="00957743"/>
    <w:rsid w:val="009713C8"/>
    <w:rsid w:val="0097355B"/>
    <w:rsid w:val="0097388D"/>
    <w:rsid w:val="00980577"/>
    <w:rsid w:val="009929D8"/>
    <w:rsid w:val="00994C82"/>
    <w:rsid w:val="00997BCB"/>
    <w:rsid w:val="009B45D6"/>
    <w:rsid w:val="009B6684"/>
    <w:rsid w:val="009C0336"/>
    <w:rsid w:val="009C148D"/>
    <w:rsid w:val="009C33DA"/>
    <w:rsid w:val="009C3CDE"/>
    <w:rsid w:val="009C7A12"/>
    <w:rsid w:val="009D0D27"/>
    <w:rsid w:val="009E1612"/>
    <w:rsid w:val="009E1A06"/>
    <w:rsid w:val="009F4632"/>
    <w:rsid w:val="009F73F2"/>
    <w:rsid w:val="00A032CF"/>
    <w:rsid w:val="00A05943"/>
    <w:rsid w:val="00A113B6"/>
    <w:rsid w:val="00A155C5"/>
    <w:rsid w:val="00A21EB2"/>
    <w:rsid w:val="00A30188"/>
    <w:rsid w:val="00A309AF"/>
    <w:rsid w:val="00A370D1"/>
    <w:rsid w:val="00A5045D"/>
    <w:rsid w:val="00A56D87"/>
    <w:rsid w:val="00A6089B"/>
    <w:rsid w:val="00A67248"/>
    <w:rsid w:val="00A75EBE"/>
    <w:rsid w:val="00A76DF1"/>
    <w:rsid w:val="00A83DD1"/>
    <w:rsid w:val="00A84931"/>
    <w:rsid w:val="00A909B4"/>
    <w:rsid w:val="00A91696"/>
    <w:rsid w:val="00A93D12"/>
    <w:rsid w:val="00A94A76"/>
    <w:rsid w:val="00A94EC1"/>
    <w:rsid w:val="00AA03DD"/>
    <w:rsid w:val="00AA08C5"/>
    <w:rsid w:val="00AA38B6"/>
    <w:rsid w:val="00AA4B47"/>
    <w:rsid w:val="00AA580E"/>
    <w:rsid w:val="00AB1CCB"/>
    <w:rsid w:val="00AB73A5"/>
    <w:rsid w:val="00AC13DC"/>
    <w:rsid w:val="00AC25F0"/>
    <w:rsid w:val="00AC6C9A"/>
    <w:rsid w:val="00AD0C90"/>
    <w:rsid w:val="00AD6271"/>
    <w:rsid w:val="00AD795A"/>
    <w:rsid w:val="00AE69FA"/>
    <w:rsid w:val="00AF258D"/>
    <w:rsid w:val="00AF431F"/>
    <w:rsid w:val="00AF6770"/>
    <w:rsid w:val="00AF74AE"/>
    <w:rsid w:val="00B00702"/>
    <w:rsid w:val="00B041B1"/>
    <w:rsid w:val="00B050E6"/>
    <w:rsid w:val="00B10135"/>
    <w:rsid w:val="00B14305"/>
    <w:rsid w:val="00B1789D"/>
    <w:rsid w:val="00B22964"/>
    <w:rsid w:val="00B32615"/>
    <w:rsid w:val="00B32819"/>
    <w:rsid w:val="00B339B9"/>
    <w:rsid w:val="00B42788"/>
    <w:rsid w:val="00B432E6"/>
    <w:rsid w:val="00B47993"/>
    <w:rsid w:val="00B53C53"/>
    <w:rsid w:val="00B63319"/>
    <w:rsid w:val="00B727B1"/>
    <w:rsid w:val="00B7424F"/>
    <w:rsid w:val="00B778CD"/>
    <w:rsid w:val="00B84755"/>
    <w:rsid w:val="00B90FFB"/>
    <w:rsid w:val="00B93219"/>
    <w:rsid w:val="00B95825"/>
    <w:rsid w:val="00B97446"/>
    <w:rsid w:val="00BA3F47"/>
    <w:rsid w:val="00BA5E71"/>
    <w:rsid w:val="00BA6D79"/>
    <w:rsid w:val="00BB404B"/>
    <w:rsid w:val="00BB7445"/>
    <w:rsid w:val="00BC468D"/>
    <w:rsid w:val="00BD3F63"/>
    <w:rsid w:val="00BD7705"/>
    <w:rsid w:val="00BE2B70"/>
    <w:rsid w:val="00BE70FA"/>
    <w:rsid w:val="00BE770E"/>
    <w:rsid w:val="00BE7E95"/>
    <w:rsid w:val="00BF0109"/>
    <w:rsid w:val="00BF210E"/>
    <w:rsid w:val="00BF3C4D"/>
    <w:rsid w:val="00BF4F4F"/>
    <w:rsid w:val="00BF6238"/>
    <w:rsid w:val="00BF6A6B"/>
    <w:rsid w:val="00C11928"/>
    <w:rsid w:val="00C15EC2"/>
    <w:rsid w:val="00C2236C"/>
    <w:rsid w:val="00C255C9"/>
    <w:rsid w:val="00C261A5"/>
    <w:rsid w:val="00C27790"/>
    <w:rsid w:val="00C339B1"/>
    <w:rsid w:val="00C36327"/>
    <w:rsid w:val="00C36520"/>
    <w:rsid w:val="00C36BB5"/>
    <w:rsid w:val="00C40867"/>
    <w:rsid w:val="00C44E44"/>
    <w:rsid w:val="00C45534"/>
    <w:rsid w:val="00C463E5"/>
    <w:rsid w:val="00C47CD8"/>
    <w:rsid w:val="00C56E8D"/>
    <w:rsid w:val="00C64F01"/>
    <w:rsid w:val="00C64F19"/>
    <w:rsid w:val="00C713EC"/>
    <w:rsid w:val="00C742C0"/>
    <w:rsid w:val="00C77423"/>
    <w:rsid w:val="00C81ED8"/>
    <w:rsid w:val="00C84B61"/>
    <w:rsid w:val="00C86DC9"/>
    <w:rsid w:val="00C916A0"/>
    <w:rsid w:val="00C92F7B"/>
    <w:rsid w:val="00C9632C"/>
    <w:rsid w:val="00C96F39"/>
    <w:rsid w:val="00CA3141"/>
    <w:rsid w:val="00CA3309"/>
    <w:rsid w:val="00CA5A81"/>
    <w:rsid w:val="00CB603A"/>
    <w:rsid w:val="00CC1F04"/>
    <w:rsid w:val="00CC6F86"/>
    <w:rsid w:val="00CC7004"/>
    <w:rsid w:val="00CD36F2"/>
    <w:rsid w:val="00CD652E"/>
    <w:rsid w:val="00CD6950"/>
    <w:rsid w:val="00CE637C"/>
    <w:rsid w:val="00CF4149"/>
    <w:rsid w:val="00CF4841"/>
    <w:rsid w:val="00CF517F"/>
    <w:rsid w:val="00D001B3"/>
    <w:rsid w:val="00D06746"/>
    <w:rsid w:val="00D1340A"/>
    <w:rsid w:val="00D14D17"/>
    <w:rsid w:val="00D20CDD"/>
    <w:rsid w:val="00D25CD3"/>
    <w:rsid w:val="00D34631"/>
    <w:rsid w:val="00D348D1"/>
    <w:rsid w:val="00D35CDE"/>
    <w:rsid w:val="00D44060"/>
    <w:rsid w:val="00D44C04"/>
    <w:rsid w:val="00D463A3"/>
    <w:rsid w:val="00D47D58"/>
    <w:rsid w:val="00D54C36"/>
    <w:rsid w:val="00D54FD4"/>
    <w:rsid w:val="00D5589B"/>
    <w:rsid w:val="00D6224A"/>
    <w:rsid w:val="00D631F6"/>
    <w:rsid w:val="00D6422E"/>
    <w:rsid w:val="00D64F9E"/>
    <w:rsid w:val="00D66A86"/>
    <w:rsid w:val="00D6766A"/>
    <w:rsid w:val="00D676C7"/>
    <w:rsid w:val="00D67711"/>
    <w:rsid w:val="00D70EEE"/>
    <w:rsid w:val="00D8337D"/>
    <w:rsid w:val="00D86CA4"/>
    <w:rsid w:val="00D90B5E"/>
    <w:rsid w:val="00D92324"/>
    <w:rsid w:val="00D93B7A"/>
    <w:rsid w:val="00D949E0"/>
    <w:rsid w:val="00D95FEC"/>
    <w:rsid w:val="00D969F7"/>
    <w:rsid w:val="00D9723B"/>
    <w:rsid w:val="00DA14AC"/>
    <w:rsid w:val="00DA4693"/>
    <w:rsid w:val="00DC793B"/>
    <w:rsid w:val="00DD38F2"/>
    <w:rsid w:val="00DD695E"/>
    <w:rsid w:val="00DE0C62"/>
    <w:rsid w:val="00DE3534"/>
    <w:rsid w:val="00DE35C7"/>
    <w:rsid w:val="00DE3B10"/>
    <w:rsid w:val="00DF32E3"/>
    <w:rsid w:val="00DF66B3"/>
    <w:rsid w:val="00E04937"/>
    <w:rsid w:val="00E061AC"/>
    <w:rsid w:val="00E062FF"/>
    <w:rsid w:val="00E06BDA"/>
    <w:rsid w:val="00E07208"/>
    <w:rsid w:val="00E11284"/>
    <w:rsid w:val="00E15437"/>
    <w:rsid w:val="00E22480"/>
    <w:rsid w:val="00E26C21"/>
    <w:rsid w:val="00E32E35"/>
    <w:rsid w:val="00E330F4"/>
    <w:rsid w:val="00E36BA1"/>
    <w:rsid w:val="00E508EE"/>
    <w:rsid w:val="00E54727"/>
    <w:rsid w:val="00E61614"/>
    <w:rsid w:val="00E6344F"/>
    <w:rsid w:val="00E76A4B"/>
    <w:rsid w:val="00E76C1A"/>
    <w:rsid w:val="00E813B4"/>
    <w:rsid w:val="00E92E8A"/>
    <w:rsid w:val="00E96710"/>
    <w:rsid w:val="00E9775A"/>
    <w:rsid w:val="00EA53B2"/>
    <w:rsid w:val="00EC1024"/>
    <w:rsid w:val="00EC171F"/>
    <w:rsid w:val="00EC440D"/>
    <w:rsid w:val="00ED157A"/>
    <w:rsid w:val="00ED1C7F"/>
    <w:rsid w:val="00ED4F43"/>
    <w:rsid w:val="00EE2F8B"/>
    <w:rsid w:val="00F02A2B"/>
    <w:rsid w:val="00F03391"/>
    <w:rsid w:val="00F12BAC"/>
    <w:rsid w:val="00F137BC"/>
    <w:rsid w:val="00F144F4"/>
    <w:rsid w:val="00F16CD9"/>
    <w:rsid w:val="00F20B9A"/>
    <w:rsid w:val="00F25F65"/>
    <w:rsid w:val="00F30521"/>
    <w:rsid w:val="00F34C12"/>
    <w:rsid w:val="00F407A9"/>
    <w:rsid w:val="00F40B78"/>
    <w:rsid w:val="00F42889"/>
    <w:rsid w:val="00F42955"/>
    <w:rsid w:val="00F45B3F"/>
    <w:rsid w:val="00F50E69"/>
    <w:rsid w:val="00F5335E"/>
    <w:rsid w:val="00F54E54"/>
    <w:rsid w:val="00F5746D"/>
    <w:rsid w:val="00F57C9B"/>
    <w:rsid w:val="00F709D3"/>
    <w:rsid w:val="00F733A4"/>
    <w:rsid w:val="00F73A7E"/>
    <w:rsid w:val="00F744CC"/>
    <w:rsid w:val="00F7480D"/>
    <w:rsid w:val="00F75953"/>
    <w:rsid w:val="00F75FD5"/>
    <w:rsid w:val="00F76298"/>
    <w:rsid w:val="00F801E9"/>
    <w:rsid w:val="00F8214B"/>
    <w:rsid w:val="00F86142"/>
    <w:rsid w:val="00F91121"/>
    <w:rsid w:val="00FA3088"/>
    <w:rsid w:val="00FB0F21"/>
    <w:rsid w:val="00FB25CC"/>
    <w:rsid w:val="00FB3259"/>
    <w:rsid w:val="00FB4B70"/>
    <w:rsid w:val="00FC48DC"/>
    <w:rsid w:val="00FD17DC"/>
    <w:rsid w:val="00FD4B4C"/>
    <w:rsid w:val="00FD4EBF"/>
    <w:rsid w:val="00FE3EED"/>
    <w:rsid w:val="00FE7881"/>
    <w:rsid w:val="00FF16CE"/>
    <w:rsid w:val="00FF5BCB"/>
    <w:rsid w:val="00FF64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6D7535"/>
  <w15:docId w15:val="{6FEB819E-AC8F-4C58-ADD9-06B0D4077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74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1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rsid w:val="00436D94"/>
    <w:pPr>
      <w:tabs>
        <w:tab w:val="center" w:pos="4320"/>
        <w:tab w:val="right" w:pos="8640"/>
      </w:tabs>
    </w:pPr>
  </w:style>
  <w:style w:type="character" w:styleId="PageNumber">
    <w:name w:val="page number"/>
    <w:basedOn w:val="DefaultParagraphFont"/>
    <w:rsid w:val="00436D94"/>
  </w:style>
  <w:style w:type="paragraph" w:styleId="Header">
    <w:name w:val="header"/>
    <w:basedOn w:val="Normal"/>
    <w:rsid w:val="00436D94"/>
    <w:pPr>
      <w:tabs>
        <w:tab w:val="center" w:pos="4320"/>
        <w:tab w:val="right" w:pos="8640"/>
      </w:tabs>
    </w:pPr>
  </w:style>
  <w:style w:type="paragraph" w:styleId="BalloonText">
    <w:name w:val="Balloon Text"/>
    <w:basedOn w:val="Normal"/>
    <w:semiHidden/>
    <w:rsid w:val="00436D94"/>
    <w:rPr>
      <w:rFonts w:ascii="Tahoma" w:hAnsi="Tahoma" w:cs="Tahoma"/>
      <w:sz w:val="16"/>
      <w:szCs w:val="16"/>
    </w:rPr>
  </w:style>
  <w:style w:type="character" w:styleId="Hyperlink">
    <w:name w:val="Hyperlink"/>
    <w:basedOn w:val="DefaultParagraphFont"/>
    <w:uiPriority w:val="99"/>
    <w:unhideWhenUsed/>
    <w:rsid w:val="00E26C21"/>
    <w:rPr>
      <w:color w:val="0000FF" w:themeColor="hyperlink"/>
      <w:u w:val="single"/>
    </w:rPr>
  </w:style>
  <w:style w:type="paragraph" w:styleId="DocumentMap">
    <w:name w:val="Document Map"/>
    <w:basedOn w:val="Normal"/>
    <w:link w:val="DocumentMapChar"/>
    <w:uiPriority w:val="99"/>
    <w:semiHidden/>
    <w:unhideWhenUsed/>
    <w:rsid w:val="00F76298"/>
    <w:rPr>
      <w:rFonts w:ascii="Tahoma" w:hAnsi="Tahoma" w:cs="Tahoma"/>
      <w:sz w:val="16"/>
      <w:szCs w:val="16"/>
    </w:rPr>
  </w:style>
  <w:style w:type="character" w:customStyle="1" w:styleId="DocumentMapChar">
    <w:name w:val="Document Map Char"/>
    <w:basedOn w:val="DefaultParagraphFont"/>
    <w:link w:val="DocumentMap"/>
    <w:uiPriority w:val="99"/>
    <w:semiHidden/>
    <w:rsid w:val="00F76298"/>
    <w:rPr>
      <w:rFonts w:ascii="Tahoma" w:hAnsi="Tahoma" w:cs="Tahoma"/>
      <w:sz w:val="16"/>
      <w:szCs w:val="16"/>
    </w:rPr>
  </w:style>
  <w:style w:type="paragraph" w:styleId="Caption">
    <w:name w:val="caption"/>
    <w:basedOn w:val="Normal"/>
    <w:next w:val="Normal"/>
    <w:uiPriority w:val="35"/>
    <w:unhideWhenUsed/>
    <w:qFormat/>
    <w:rsid w:val="008C35F9"/>
    <w:pPr>
      <w:spacing w:after="200"/>
    </w:pPr>
    <w:rPr>
      <w:b/>
      <w:bCs/>
      <w:color w:val="4F81BD" w:themeColor="accent1"/>
      <w:sz w:val="18"/>
      <w:szCs w:val="18"/>
    </w:rPr>
  </w:style>
  <w:style w:type="paragraph" w:styleId="ListParagraph">
    <w:name w:val="List Paragraph"/>
    <w:basedOn w:val="Normal"/>
    <w:uiPriority w:val="34"/>
    <w:qFormat/>
    <w:rsid w:val="00387C37"/>
    <w:pPr>
      <w:ind w:left="720"/>
      <w:contextualSpacing/>
    </w:pPr>
  </w:style>
  <w:style w:type="paragraph" w:customStyle="1" w:styleId="Default">
    <w:name w:val="Default"/>
    <w:rsid w:val="00796B69"/>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933F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751">
      <w:bodyDiv w:val="1"/>
      <w:marLeft w:val="0"/>
      <w:marRight w:val="0"/>
      <w:marTop w:val="0"/>
      <w:marBottom w:val="0"/>
      <w:divBdr>
        <w:top w:val="none" w:sz="0" w:space="0" w:color="auto"/>
        <w:left w:val="none" w:sz="0" w:space="0" w:color="auto"/>
        <w:bottom w:val="none" w:sz="0" w:space="0" w:color="auto"/>
        <w:right w:val="none" w:sz="0" w:space="0" w:color="auto"/>
      </w:divBdr>
    </w:div>
    <w:div w:id="53743281">
      <w:bodyDiv w:val="1"/>
      <w:marLeft w:val="0"/>
      <w:marRight w:val="0"/>
      <w:marTop w:val="0"/>
      <w:marBottom w:val="0"/>
      <w:divBdr>
        <w:top w:val="none" w:sz="0" w:space="0" w:color="auto"/>
        <w:left w:val="none" w:sz="0" w:space="0" w:color="auto"/>
        <w:bottom w:val="none" w:sz="0" w:space="0" w:color="auto"/>
        <w:right w:val="none" w:sz="0" w:space="0" w:color="auto"/>
      </w:divBdr>
    </w:div>
    <w:div w:id="212811994">
      <w:bodyDiv w:val="1"/>
      <w:marLeft w:val="0"/>
      <w:marRight w:val="0"/>
      <w:marTop w:val="0"/>
      <w:marBottom w:val="0"/>
      <w:divBdr>
        <w:top w:val="none" w:sz="0" w:space="0" w:color="auto"/>
        <w:left w:val="none" w:sz="0" w:space="0" w:color="auto"/>
        <w:bottom w:val="none" w:sz="0" w:space="0" w:color="auto"/>
        <w:right w:val="none" w:sz="0" w:space="0" w:color="auto"/>
      </w:divBdr>
    </w:div>
    <w:div w:id="240456376">
      <w:bodyDiv w:val="1"/>
      <w:marLeft w:val="0"/>
      <w:marRight w:val="0"/>
      <w:marTop w:val="0"/>
      <w:marBottom w:val="0"/>
      <w:divBdr>
        <w:top w:val="none" w:sz="0" w:space="0" w:color="auto"/>
        <w:left w:val="none" w:sz="0" w:space="0" w:color="auto"/>
        <w:bottom w:val="none" w:sz="0" w:space="0" w:color="auto"/>
        <w:right w:val="none" w:sz="0" w:space="0" w:color="auto"/>
      </w:divBdr>
    </w:div>
    <w:div w:id="401801854">
      <w:bodyDiv w:val="1"/>
      <w:marLeft w:val="0"/>
      <w:marRight w:val="0"/>
      <w:marTop w:val="0"/>
      <w:marBottom w:val="0"/>
      <w:divBdr>
        <w:top w:val="none" w:sz="0" w:space="0" w:color="auto"/>
        <w:left w:val="none" w:sz="0" w:space="0" w:color="auto"/>
        <w:bottom w:val="none" w:sz="0" w:space="0" w:color="auto"/>
        <w:right w:val="none" w:sz="0" w:space="0" w:color="auto"/>
      </w:divBdr>
    </w:div>
    <w:div w:id="407533963">
      <w:bodyDiv w:val="1"/>
      <w:marLeft w:val="0"/>
      <w:marRight w:val="0"/>
      <w:marTop w:val="0"/>
      <w:marBottom w:val="0"/>
      <w:divBdr>
        <w:top w:val="none" w:sz="0" w:space="0" w:color="auto"/>
        <w:left w:val="none" w:sz="0" w:space="0" w:color="auto"/>
        <w:bottom w:val="none" w:sz="0" w:space="0" w:color="auto"/>
        <w:right w:val="none" w:sz="0" w:space="0" w:color="auto"/>
      </w:divBdr>
    </w:div>
    <w:div w:id="532811063">
      <w:bodyDiv w:val="1"/>
      <w:marLeft w:val="0"/>
      <w:marRight w:val="0"/>
      <w:marTop w:val="0"/>
      <w:marBottom w:val="0"/>
      <w:divBdr>
        <w:top w:val="none" w:sz="0" w:space="0" w:color="auto"/>
        <w:left w:val="none" w:sz="0" w:space="0" w:color="auto"/>
        <w:bottom w:val="none" w:sz="0" w:space="0" w:color="auto"/>
        <w:right w:val="none" w:sz="0" w:space="0" w:color="auto"/>
      </w:divBdr>
    </w:div>
    <w:div w:id="533925450">
      <w:bodyDiv w:val="1"/>
      <w:marLeft w:val="0"/>
      <w:marRight w:val="0"/>
      <w:marTop w:val="0"/>
      <w:marBottom w:val="0"/>
      <w:divBdr>
        <w:top w:val="none" w:sz="0" w:space="0" w:color="auto"/>
        <w:left w:val="none" w:sz="0" w:space="0" w:color="auto"/>
        <w:bottom w:val="none" w:sz="0" w:space="0" w:color="auto"/>
        <w:right w:val="none" w:sz="0" w:space="0" w:color="auto"/>
      </w:divBdr>
    </w:div>
    <w:div w:id="586117577">
      <w:bodyDiv w:val="1"/>
      <w:marLeft w:val="0"/>
      <w:marRight w:val="0"/>
      <w:marTop w:val="0"/>
      <w:marBottom w:val="0"/>
      <w:divBdr>
        <w:top w:val="none" w:sz="0" w:space="0" w:color="auto"/>
        <w:left w:val="none" w:sz="0" w:space="0" w:color="auto"/>
        <w:bottom w:val="none" w:sz="0" w:space="0" w:color="auto"/>
        <w:right w:val="none" w:sz="0" w:space="0" w:color="auto"/>
      </w:divBdr>
    </w:div>
    <w:div w:id="631132520">
      <w:bodyDiv w:val="1"/>
      <w:marLeft w:val="0"/>
      <w:marRight w:val="0"/>
      <w:marTop w:val="0"/>
      <w:marBottom w:val="0"/>
      <w:divBdr>
        <w:top w:val="none" w:sz="0" w:space="0" w:color="auto"/>
        <w:left w:val="none" w:sz="0" w:space="0" w:color="auto"/>
        <w:bottom w:val="none" w:sz="0" w:space="0" w:color="auto"/>
        <w:right w:val="none" w:sz="0" w:space="0" w:color="auto"/>
      </w:divBdr>
    </w:div>
    <w:div w:id="636378706">
      <w:bodyDiv w:val="1"/>
      <w:marLeft w:val="0"/>
      <w:marRight w:val="0"/>
      <w:marTop w:val="0"/>
      <w:marBottom w:val="0"/>
      <w:divBdr>
        <w:top w:val="none" w:sz="0" w:space="0" w:color="auto"/>
        <w:left w:val="none" w:sz="0" w:space="0" w:color="auto"/>
        <w:bottom w:val="none" w:sz="0" w:space="0" w:color="auto"/>
        <w:right w:val="none" w:sz="0" w:space="0" w:color="auto"/>
      </w:divBdr>
    </w:div>
    <w:div w:id="637997665">
      <w:bodyDiv w:val="1"/>
      <w:marLeft w:val="0"/>
      <w:marRight w:val="0"/>
      <w:marTop w:val="0"/>
      <w:marBottom w:val="0"/>
      <w:divBdr>
        <w:top w:val="none" w:sz="0" w:space="0" w:color="auto"/>
        <w:left w:val="none" w:sz="0" w:space="0" w:color="auto"/>
        <w:bottom w:val="none" w:sz="0" w:space="0" w:color="auto"/>
        <w:right w:val="none" w:sz="0" w:space="0" w:color="auto"/>
      </w:divBdr>
    </w:div>
    <w:div w:id="899825651">
      <w:bodyDiv w:val="1"/>
      <w:marLeft w:val="0"/>
      <w:marRight w:val="0"/>
      <w:marTop w:val="0"/>
      <w:marBottom w:val="0"/>
      <w:divBdr>
        <w:top w:val="none" w:sz="0" w:space="0" w:color="auto"/>
        <w:left w:val="none" w:sz="0" w:space="0" w:color="auto"/>
        <w:bottom w:val="none" w:sz="0" w:space="0" w:color="auto"/>
        <w:right w:val="none" w:sz="0" w:space="0" w:color="auto"/>
      </w:divBdr>
    </w:div>
    <w:div w:id="1018773534">
      <w:bodyDiv w:val="1"/>
      <w:marLeft w:val="0"/>
      <w:marRight w:val="0"/>
      <w:marTop w:val="0"/>
      <w:marBottom w:val="0"/>
      <w:divBdr>
        <w:top w:val="none" w:sz="0" w:space="0" w:color="auto"/>
        <w:left w:val="none" w:sz="0" w:space="0" w:color="auto"/>
        <w:bottom w:val="none" w:sz="0" w:space="0" w:color="auto"/>
        <w:right w:val="none" w:sz="0" w:space="0" w:color="auto"/>
      </w:divBdr>
    </w:div>
    <w:div w:id="1115560810">
      <w:bodyDiv w:val="1"/>
      <w:marLeft w:val="0"/>
      <w:marRight w:val="0"/>
      <w:marTop w:val="0"/>
      <w:marBottom w:val="0"/>
      <w:divBdr>
        <w:top w:val="none" w:sz="0" w:space="0" w:color="auto"/>
        <w:left w:val="none" w:sz="0" w:space="0" w:color="auto"/>
        <w:bottom w:val="none" w:sz="0" w:space="0" w:color="auto"/>
        <w:right w:val="none" w:sz="0" w:space="0" w:color="auto"/>
      </w:divBdr>
    </w:div>
    <w:div w:id="1117482493">
      <w:bodyDiv w:val="1"/>
      <w:marLeft w:val="0"/>
      <w:marRight w:val="0"/>
      <w:marTop w:val="0"/>
      <w:marBottom w:val="0"/>
      <w:divBdr>
        <w:top w:val="none" w:sz="0" w:space="0" w:color="auto"/>
        <w:left w:val="none" w:sz="0" w:space="0" w:color="auto"/>
        <w:bottom w:val="none" w:sz="0" w:space="0" w:color="auto"/>
        <w:right w:val="none" w:sz="0" w:space="0" w:color="auto"/>
      </w:divBdr>
    </w:div>
    <w:div w:id="1147210770">
      <w:bodyDiv w:val="1"/>
      <w:marLeft w:val="0"/>
      <w:marRight w:val="0"/>
      <w:marTop w:val="0"/>
      <w:marBottom w:val="0"/>
      <w:divBdr>
        <w:top w:val="none" w:sz="0" w:space="0" w:color="auto"/>
        <w:left w:val="none" w:sz="0" w:space="0" w:color="auto"/>
        <w:bottom w:val="none" w:sz="0" w:space="0" w:color="auto"/>
        <w:right w:val="none" w:sz="0" w:space="0" w:color="auto"/>
      </w:divBdr>
    </w:div>
    <w:div w:id="1222475738">
      <w:bodyDiv w:val="1"/>
      <w:marLeft w:val="0"/>
      <w:marRight w:val="0"/>
      <w:marTop w:val="0"/>
      <w:marBottom w:val="0"/>
      <w:divBdr>
        <w:top w:val="none" w:sz="0" w:space="0" w:color="auto"/>
        <w:left w:val="none" w:sz="0" w:space="0" w:color="auto"/>
        <w:bottom w:val="none" w:sz="0" w:space="0" w:color="auto"/>
        <w:right w:val="none" w:sz="0" w:space="0" w:color="auto"/>
      </w:divBdr>
    </w:div>
    <w:div w:id="1267230339">
      <w:bodyDiv w:val="1"/>
      <w:marLeft w:val="0"/>
      <w:marRight w:val="0"/>
      <w:marTop w:val="0"/>
      <w:marBottom w:val="0"/>
      <w:divBdr>
        <w:top w:val="none" w:sz="0" w:space="0" w:color="auto"/>
        <w:left w:val="none" w:sz="0" w:space="0" w:color="auto"/>
        <w:bottom w:val="none" w:sz="0" w:space="0" w:color="auto"/>
        <w:right w:val="none" w:sz="0" w:space="0" w:color="auto"/>
      </w:divBdr>
    </w:div>
    <w:div w:id="1304387503">
      <w:bodyDiv w:val="1"/>
      <w:marLeft w:val="0"/>
      <w:marRight w:val="0"/>
      <w:marTop w:val="0"/>
      <w:marBottom w:val="0"/>
      <w:divBdr>
        <w:top w:val="none" w:sz="0" w:space="0" w:color="auto"/>
        <w:left w:val="none" w:sz="0" w:space="0" w:color="auto"/>
        <w:bottom w:val="none" w:sz="0" w:space="0" w:color="auto"/>
        <w:right w:val="none" w:sz="0" w:space="0" w:color="auto"/>
      </w:divBdr>
    </w:div>
    <w:div w:id="1306472425">
      <w:bodyDiv w:val="1"/>
      <w:marLeft w:val="0"/>
      <w:marRight w:val="0"/>
      <w:marTop w:val="0"/>
      <w:marBottom w:val="0"/>
      <w:divBdr>
        <w:top w:val="none" w:sz="0" w:space="0" w:color="auto"/>
        <w:left w:val="none" w:sz="0" w:space="0" w:color="auto"/>
        <w:bottom w:val="none" w:sz="0" w:space="0" w:color="auto"/>
        <w:right w:val="none" w:sz="0" w:space="0" w:color="auto"/>
      </w:divBdr>
    </w:div>
    <w:div w:id="1306667093">
      <w:bodyDiv w:val="1"/>
      <w:marLeft w:val="0"/>
      <w:marRight w:val="0"/>
      <w:marTop w:val="0"/>
      <w:marBottom w:val="0"/>
      <w:divBdr>
        <w:top w:val="none" w:sz="0" w:space="0" w:color="auto"/>
        <w:left w:val="none" w:sz="0" w:space="0" w:color="auto"/>
        <w:bottom w:val="none" w:sz="0" w:space="0" w:color="auto"/>
        <w:right w:val="none" w:sz="0" w:space="0" w:color="auto"/>
      </w:divBdr>
    </w:div>
    <w:div w:id="1406610218">
      <w:bodyDiv w:val="1"/>
      <w:marLeft w:val="0"/>
      <w:marRight w:val="0"/>
      <w:marTop w:val="0"/>
      <w:marBottom w:val="0"/>
      <w:divBdr>
        <w:top w:val="none" w:sz="0" w:space="0" w:color="auto"/>
        <w:left w:val="none" w:sz="0" w:space="0" w:color="auto"/>
        <w:bottom w:val="none" w:sz="0" w:space="0" w:color="auto"/>
        <w:right w:val="none" w:sz="0" w:space="0" w:color="auto"/>
      </w:divBdr>
    </w:div>
    <w:div w:id="1435054819">
      <w:bodyDiv w:val="1"/>
      <w:marLeft w:val="0"/>
      <w:marRight w:val="0"/>
      <w:marTop w:val="0"/>
      <w:marBottom w:val="0"/>
      <w:divBdr>
        <w:top w:val="none" w:sz="0" w:space="0" w:color="auto"/>
        <w:left w:val="none" w:sz="0" w:space="0" w:color="auto"/>
        <w:bottom w:val="none" w:sz="0" w:space="0" w:color="auto"/>
        <w:right w:val="none" w:sz="0" w:space="0" w:color="auto"/>
      </w:divBdr>
    </w:div>
    <w:div w:id="1534614207">
      <w:bodyDiv w:val="1"/>
      <w:marLeft w:val="0"/>
      <w:marRight w:val="0"/>
      <w:marTop w:val="0"/>
      <w:marBottom w:val="0"/>
      <w:divBdr>
        <w:top w:val="none" w:sz="0" w:space="0" w:color="auto"/>
        <w:left w:val="none" w:sz="0" w:space="0" w:color="auto"/>
        <w:bottom w:val="none" w:sz="0" w:space="0" w:color="auto"/>
        <w:right w:val="none" w:sz="0" w:space="0" w:color="auto"/>
      </w:divBdr>
    </w:div>
    <w:div w:id="1537155444">
      <w:bodyDiv w:val="1"/>
      <w:marLeft w:val="0"/>
      <w:marRight w:val="0"/>
      <w:marTop w:val="0"/>
      <w:marBottom w:val="0"/>
      <w:divBdr>
        <w:top w:val="none" w:sz="0" w:space="0" w:color="auto"/>
        <w:left w:val="none" w:sz="0" w:space="0" w:color="auto"/>
        <w:bottom w:val="none" w:sz="0" w:space="0" w:color="auto"/>
        <w:right w:val="none" w:sz="0" w:space="0" w:color="auto"/>
      </w:divBdr>
    </w:div>
    <w:div w:id="1687559997">
      <w:bodyDiv w:val="1"/>
      <w:marLeft w:val="0"/>
      <w:marRight w:val="0"/>
      <w:marTop w:val="0"/>
      <w:marBottom w:val="0"/>
      <w:divBdr>
        <w:top w:val="none" w:sz="0" w:space="0" w:color="auto"/>
        <w:left w:val="none" w:sz="0" w:space="0" w:color="auto"/>
        <w:bottom w:val="none" w:sz="0" w:space="0" w:color="auto"/>
        <w:right w:val="none" w:sz="0" w:space="0" w:color="auto"/>
      </w:divBdr>
    </w:div>
    <w:div w:id="1782722504">
      <w:bodyDiv w:val="1"/>
      <w:marLeft w:val="0"/>
      <w:marRight w:val="0"/>
      <w:marTop w:val="0"/>
      <w:marBottom w:val="0"/>
      <w:divBdr>
        <w:top w:val="none" w:sz="0" w:space="0" w:color="auto"/>
        <w:left w:val="none" w:sz="0" w:space="0" w:color="auto"/>
        <w:bottom w:val="none" w:sz="0" w:space="0" w:color="auto"/>
        <w:right w:val="none" w:sz="0" w:space="0" w:color="auto"/>
      </w:divBdr>
    </w:div>
    <w:div w:id="1799253817">
      <w:bodyDiv w:val="1"/>
      <w:marLeft w:val="0"/>
      <w:marRight w:val="0"/>
      <w:marTop w:val="0"/>
      <w:marBottom w:val="0"/>
      <w:divBdr>
        <w:top w:val="none" w:sz="0" w:space="0" w:color="auto"/>
        <w:left w:val="none" w:sz="0" w:space="0" w:color="auto"/>
        <w:bottom w:val="none" w:sz="0" w:space="0" w:color="auto"/>
        <w:right w:val="none" w:sz="0" w:space="0" w:color="auto"/>
      </w:divBdr>
    </w:div>
    <w:div w:id="1806967801">
      <w:bodyDiv w:val="1"/>
      <w:marLeft w:val="0"/>
      <w:marRight w:val="0"/>
      <w:marTop w:val="0"/>
      <w:marBottom w:val="0"/>
      <w:divBdr>
        <w:top w:val="none" w:sz="0" w:space="0" w:color="auto"/>
        <w:left w:val="none" w:sz="0" w:space="0" w:color="auto"/>
        <w:bottom w:val="none" w:sz="0" w:space="0" w:color="auto"/>
        <w:right w:val="none" w:sz="0" w:space="0" w:color="auto"/>
      </w:divBdr>
    </w:div>
    <w:div w:id="1935164050">
      <w:bodyDiv w:val="1"/>
      <w:marLeft w:val="0"/>
      <w:marRight w:val="0"/>
      <w:marTop w:val="0"/>
      <w:marBottom w:val="0"/>
      <w:divBdr>
        <w:top w:val="none" w:sz="0" w:space="0" w:color="auto"/>
        <w:left w:val="none" w:sz="0" w:space="0" w:color="auto"/>
        <w:bottom w:val="none" w:sz="0" w:space="0" w:color="auto"/>
        <w:right w:val="none" w:sz="0" w:space="0" w:color="auto"/>
      </w:divBdr>
    </w:div>
    <w:div w:id="1987736925">
      <w:bodyDiv w:val="1"/>
      <w:marLeft w:val="0"/>
      <w:marRight w:val="0"/>
      <w:marTop w:val="0"/>
      <w:marBottom w:val="0"/>
      <w:divBdr>
        <w:top w:val="none" w:sz="0" w:space="0" w:color="auto"/>
        <w:left w:val="none" w:sz="0" w:space="0" w:color="auto"/>
        <w:bottom w:val="none" w:sz="0" w:space="0" w:color="auto"/>
        <w:right w:val="none" w:sz="0" w:space="0" w:color="auto"/>
      </w:divBdr>
    </w:div>
    <w:div w:id="211107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439</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Fermi Lab - Particle Physics Division</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Pasek</dc:creator>
  <cp:lastModifiedBy>Steven J. Dixon x8501 10086N</cp:lastModifiedBy>
  <cp:revision>24</cp:revision>
  <cp:lastPrinted>2017-05-05T20:44:00Z</cp:lastPrinted>
  <dcterms:created xsi:type="dcterms:W3CDTF">2018-08-21T14:13:00Z</dcterms:created>
  <dcterms:modified xsi:type="dcterms:W3CDTF">2019-02-28T17:18:00Z</dcterms:modified>
</cp:coreProperties>
</file>