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8A73" w14:textId="77777777" w:rsidR="002543A4" w:rsidRDefault="002543A4" w:rsidP="00B36B36">
      <w:pPr>
        <w:jc w:val="center"/>
        <w:rPr>
          <w:sz w:val="24"/>
        </w:rPr>
      </w:pPr>
      <w:bookmarkStart w:id="0" w:name="_GoBack"/>
      <w:bookmarkEnd w:id="0"/>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3B59146A" w14:textId="56B58079" w:rsidR="00BC171E" w:rsidRPr="00BC171E" w:rsidRDefault="0071490D" w:rsidP="00BC171E">
      <w:pPr>
        <w:pStyle w:val="Default"/>
        <w:jc w:val="center"/>
        <w:rPr>
          <w:b/>
          <w:sz w:val="36"/>
          <w:szCs w:val="36"/>
        </w:rPr>
      </w:pPr>
      <w:r w:rsidRPr="00BC171E">
        <w:rPr>
          <w:b/>
          <w:color w:val="000000" w:themeColor="text1"/>
          <w:sz w:val="36"/>
          <w:szCs w:val="36"/>
        </w:rPr>
        <w:t>Report of the</w:t>
      </w:r>
    </w:p>
    <w:p w14:paraId="6370EAC4" w14:textId="2270D5A1" w:rsidR="00BC171E" w:rsidRPr="00BC171E" w:rsidRDefault="00BC171E" w:rsidP="00BC171E">
      <w:pPr>
        <w:pStyle w:val="Default"/>
        <w:jc w:val="center"/>
        <w:rPr>
          <w:b/>
          <w:sz w:val="36"/>
          <w:szCs w:val="36"/>
        </w:rPr>
      </w:pPr>
      <w:r w:rsidRPr="00BC171E">
        <w:rPr>
          <w:b/>
          <w:bCs/>
          <w:sz w:val="36"/>
          <w:szCs w:val="36"/>
        </w:rPr>
        <w:t>Production Readiness Review of the HL-LHC AUP</w:t>
      </w:r>
    </w:p>
    <w:p w14:paraId="7388939D" w14:textId="7DEB4D3F" w:rsidR="00755AB7" w:rsidRPr="00BC171E" w:rsidRDefault="00BC171E" w:rsidP="00BC171E">
      <w:pPr>
        <w:pStyle w:val="Heading1"/>
        <w:jc w:val="center"/>
        <w:rPr>
          <w:rFonts w:ascii="Arial" w:hAnsi="Arial" w:cs="Arial"/>
          <w:bCs/>
          <w:color w:val="000000" w:themeColor="text1"/>
          <w:kern w:val="36"/>
          <w:sz w:val="36"/>
          <w:szCs w:val="36"/>
        </w:rPr>
      </w:pPr>
      <w:r w:rsidRPr="00BC171E">
        <w:rPr>
          <w:rFonts w:ascii="Arial" w:hAnsi="Arial" w:cs="Arial"/>
          <w:bCs/>
          <w:sz w:val="36"/>
          <w:szCs w:val="36"/>
        </w:rPr>
        <w:t>MQXF Strand Procurement Task 302.2.02</w:t>
      </w:r>
    </w:p>
    <w:p w14:paraId="32D098EC" w14:textId="2E2CECAD" w:rsidR="00784FF8" w:rsidRPr="007D17F3" w:rsidRDefault="00BC171E" w:rsidP="007B4150">
      <w:pPr>
        <w:pStyle w:val="Header"/>
        <w:tabs>
          <w:tab w:val="clear" w:pos="8640"/>
          <w:tab w:val="right" w:pos="9963"/>
        </w:tabs>
        <w:spacing w:before="120"/>
        <w:ind w:right="-115"/>
        <w:jc w:val="center"/>
        <w:rPr>
          <w:i/>
          <w:color w:val="000000" w:themeColor="text1"/>
          <w:sz w:val="32"/>
          <w:szCs w:val="32"/>
        </w:rPr>
      </w:pPr>
      <w:r>
        <w:rPr>
          <w:i/>
          <w:color w:val="000000" w:themeColor="text1"/>
          <w:sz w:val="32"/>
          <w:szCs w:val="32"/>
        </w:rPr>
        <w:t>August 22</w:t>
      </w:r>
      <w:r w:rsidR="00D53EBC" w:rsidRPr="00D53EBC">
        <w:rPr>
          <w:i/>
          <w:color w:val="000000" w:themeColor="text1"/>
          <w:sz w:val="32"/>
          <w:szCs w:val="32"/>
          <w:vertAlign w:val="superscript"/>
        </w:rPr>
        <w:t>nd</w:t>
      </w:r>
      <w:r>
        <w:rPr>
          <w:i/>
          <w:color w:val="000000" w:themeColor="text1"/>
          <w:sz w:val="32"/>
          <w:szCs w:val="32"/>
        </w:rPr>
        <w:t xml:space="preserve"> 2019</w:t>
      </w:r>
      <w:r w:rsidR="00342895">
        <w:rPr>
          <w:i/>
          <w:color w:val="000000" w:themeColor="text1"/>
          <w:sz w:val="32"/>
          <w:szCs w:val="32"/>
        </w:rPr>
        <w:t xml:space="preserve"> </w:t>
      </w:r>
    </w:p>
    <w:p w14:paraId="2F508E9D" w14:textId="77777777" w:rsidR="00915972" w:rsidRDefault="00915972" w:rsidP="007B4150">
      <w:pPr>
        <w:pStyle w:val="Header"/>
        <w:tabs>
          <w:tab w:val="clear" w:pos="8640"/>
          <w:tab w:val="right" w:pos="9963"/>
        </w:tabs>
        <w:spacing w:before="120"/>
        <w:ind w:right="-115"/>
        <w:rPr>
          <w:b/>
          <w:sz w:val="32"/>
        </w:rPr>
      </w:pPr>
    </w:p>
    <w:p w14:paraId="5ADC3DF3" w14:textId="77777777" w:rsidR="007B4150" w:rsidRDefault="007B4150" w:rsidP="007B4150">
      <w:pPr>
        <w:contextualSpacing/>
        <w:rPr>
          <w:rFonts w:ascii="Arial" w:hAnsi="Arial" w:cs="Arial"/>
          <w:sz w:val="32"/>
          <w:szCs w:val="24"/>
        </w:rPr>
      </w:pPr>
      <w:bookmarkStart w:id="1" w:name="_Toc465734408"/>
    </w:p>
    <w:p w14:paraId="3A2841B8" w14:textId="356E0BDB" w:rsidR="00BC171E" w:rsidRPr="00BC171E" w:rsidRDefault="007D17F3" w:rsidP="00BC171E">
      <w:pPr>
        <w:pStyle w:val="Default"/>
      </w:pPr>
      <w:r w:rsidRPr="000B6E4D">
        <w:t xml:space="preserve">– </w:t>
      </w:r>
      <w:r w:rsidR="00BC171E" w:rsidRPr="00BC171E">
        <w:t xml:space="preserve">Steve Gourlay, </w:t>
      </w:r>
      <w:proofErr w:type="spellStart"/>
      <w:proofErr w:type="gramStart"/>
      <w:r w:rsidR="00BC171E" w:rsidRPr="00BC171E">
        <w:t>chair person</w:t>
      </w:r>
      <w:proofErr w:type="spellEnd"/>
      <w:proofErr w:type="gramEnd"/>
      <w:r w:rsidR="00BC171E" w:rsidRPr="00BC171E">
        <w:t xml:space="preserve"> (LBNL) </w:t>
      </w:r>
    </w:p>
    <w:p w14:paraId="47F0293B" w14:textId="1C95922C" w:rsidR="00BC171E" w:rsidRPr="000B6E4D" w:rsidRDefault="00BC171E" w:rsidP="00BC171E">
      <w:pPr>
        <w:pStyle w:val="Default"/>
        <w:rPr>
          <w:lang w:val="it-IT"/>
        </w:rPr>
      </w:pPr>
      <w:r w:rsidRPr="000B6E4D">
        <w:rPr>
          <w:lang w:val="it-IT"/>
        </w:rPr>
        <w:t xml:space="preserve">- Najib Cheggour (NHMFL) </w:t>
      </w:r>
    </w:p>
    <w:p w14:paraId="636A9DD7" w14:textId="31156B31" w:rsidR="00BC171E" w:rsidRPr="000B6E4D" w:rsidRDefault="00BC171E" w:rsidP="00BC171E">
      <w:pPr>
        <w:pStyle w:val="Default"/>
        <w:rPr>
          <w:lang w:val="it-IT"/>
        </w:rPr>
      </w:pPr>
      <w:r w:rsidRPr="000B6E4D">
        <w:rPr>
          <w:lang w:val="it-IT"/>
        </w:rPr>
        <w:t xml:space="preserve">- Paolo Ferracin (CERN) </w:t>
      </w:r>
    </w:p>
    <w:p w14:paraId="2C2ACEBA" w14:textId="1DBDFC09" w:rsidR="00217B63" w:rsidRDefault="00BC171E" w:rsidP="00BC171E">
      <w:pPr>
        <w:rPr>
          <w:color w:val="000000"/>
        </w:rPr>
      </w:pPr>
      <w:r w:rsidRPr="00BC171E">
        <w:rPr>
          <w:rFonts w:ascii="Arial" w:hAnsi="Arial" w:cs="Arial"/>
          <w:sz w:val="24"/>
          <w:szCs w:val="24"/>
        </w:rPr>
        <w:t>-</w:t>
      </w:r>
      <w:r>
        <w:rPr>
          <w:rFonts w:ascii="Arial" w:hAnsi="Arial" w:cs="Arial"/>
          <w:sz w:val="24"/>
          <w:szCs w:val="24"/>
        </w:rPr>
        <w:t xml:space="preserve"> </w:t>
      </w:r>
      <w:r w:rsidRPr="00BC171E">
        <w:rPr>
          <w:rFonts w:ascii="Arial" w:hAnsi="Arial" w:cs="Arial"/>
          <w:sz w:val="24"/>
          <w:szCs w:val="24"/>
        </w:rPr>
        <w:t>Diego Perini (CERN)</w:t>
      </w:r>
      <w:r>
        <w:rPr>
          <w:sz w:val="23"/>
          <w:szCs w:val="23"/>
        </w:rPr>
        <w:t xml:space="preserve"> </w:t>
      </w:r>
      <w:r w:rsidR="00217B63">
        <w:rPr>
          <w:color w:val="000000"/>
        </w:rPr>
        <w:br w:type="page"/>
      </w:r>
    </w:p>
    <w:p w14:paraId="01497650" w14:textId="77777777" w:rsidR="00217B63" w:rsidRDefault="00217B63" w:rsidP="00F255F7">
      <w:pPr>
        <w:rPr>
          <w:sz w:val="24"/>
          <w:szCs w:val="24"/>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251BC8A2" w14:textId="4680968C" w:rsidR="00C15756"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8373107" w:history="1">
        <w:r w:rsidR="00C15756" w:rsidRPr="00DC7C7C">
          <w:rPr>
            <w:rStyle w:val="Hyperlink"/>
            <w:noProof/>
          </w:rPr>
          <w:t>1.</w:t>
        </w:r>
        <w:r w:rsidR="00C15756">
          <w:rPr>
            <w:rFonts w:asciiTheme="minorHAnsi" w:eastAsiaTheme="minorEastAsia" w:hAnsiTheme="minorHAnsi" w:cstheme="minorBidi"/>
            <w:b w:val="0"/>
            <w:caps w:val="0"/>
            <w:noProof/>
            <w:sz w:val="22"/>
            <w:szCs w:val="22"/>
          </w:rPr>
          <w:tab/>
        </w:r>
        <w:r w:rsidR="00C15756" w:rsidRPr="00DC7C7C">
          <w:rPr>
            <w:rStyle w:val="Hyperlink"/>
            <w:noProof/>
          </w:rPr>
          <w:t>Goal and scope</w:t>
        </w:r>
        <w:r w:rsidR="00C15756">
          <w:rPr>
            <w:noProof/>
            <w:webHidden/>
          </w:rPr>
          <w:tab/>
        </w:r>
        <w:r w:rsidR="00C15756">
          <w:rPr>
            <w:noProof/>
            <w:webHidden/>
          </w:rPr>
          <w:fldChar w:fldCharType="begin"/>
        </w:r>
        <w:r w:rsidR="00C15756">
          <w:rPr>
            <w:noProof/>
            <w:webHidden/>
          </w:rPr>
          <w:instrText xml:space="preserve"> PAGEREF _Toc8373107 \h </w:instrText>
        </w:r>
        <w:r w:rsidR="00C15756">
          <w:rPr>
            <w:noProof/>
            <w:webHidden/>
          </w:rPr>
        </w:r>
        <w:r w:rsidR="00C15756">
          <w:rPr>
            <w:noProof/>
            <w:webHidden/>
          </w:rPr>
          <w:fldChar w:fldCharType="separate"/>
        </w:r>
        <w:r w:rsidR="007741B2">
          <w:rPr>
            <w:noProof/>
            <w:webHidden/>
          </w:rPr>
          <w:t>3</w:t>
        </w:r>
        <w:r w:rsidR="00C15756">
          <w:rPr>
            <w:noProof/>
            <w:webHidden/>
          </w:rPr>
          <w:fldChar w:fldCharType="end"/>
        </w:r>
      </w:hyperlink>
    </w:p>
    <w:p w14:paraId="35ECA27A" w14:textId="4F011B65" w:rsidR="00C15756" w:rsidRDefault="000B6E4D">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8" w:history="1">
        <w:r w:rsidR="00C15756" w:rsidRPr="00DC7C7C">
          <w:rPr>
            <w:rStyle w:val="Hyperlink"/>
            <w:noProof/>
          </w:rPr>
          <w:t>2.</w:t>
        </w:r>
        <w:r w:rsidR="00C15756">
          <w:rPr>
            <w:rFonts w:asciiTheme="minorHAnsi" w:eastAsiaTheme="minorEastAsia" w:hAnsiTheme="minorHAnsi" w:cstheme="minorBidi"/>
            <w:b w:val="0"/>
            <w:caps w:val="0"/>
            <w:noProof/>
            <w:sz w:val="22"/>
            <w:szCs w:val="22"/>
          </w:rPr>
          <w:tab/>
        </w:r>
        <w:r w:rsidR="00C15756" w:rsidRPr="00DC7C7C">
          <w:rPr>
            <w:rStyle w:val="Hyperlink"/>
            <w:noProof/>
          </w:rPr>
          <w:t>Technical details</w:t>
        </w:r>
        <w:r w:rsidR="00C15756">
          <w:rPr>
            <w:noProof/>
            <w:webHidden/>
          </w:rPr>
          <w:tab/>
        </w:r>
        <w:r w:rsidR="00C15756">
          <w:rPr>
            <w:noProof/>
            <w:webHidden/>
          </w:rPr>
          <w:fldChar w:fldCharType="begin"/>
        </w:r>
        <w:r w:rsidR="00C15756">
          <w:rPr>
            <w:noProof/>
            <w:webHidden/>
          </w:rPr>
          <w:instrText xml:space="preserve"> PAGEREF _Toc8373108 \h </w:instrText>
        </w:r>
        <w:r w:rsidR="00C15756">
          <w:rPr>
            <w:noProof/>
            <w:webHidden/>
          </w:rPr>
        </w:r>
        <w:r w:rsidR="00C15756">
          <w:rPr>
            <w:noProof/>
            <w:webHidden/>
          </w:rPr>
          <w:fldChar w:fldCharType="separate"/>
        </w:r>
        <w:r w:rsidR="007741B2">
          <w:rPr>
            <w:noProof/>
            <w:webHidden/>
          </w:rPr>
          <w:t>4</w:t>
        </w:r>
        <w:r w:rsidR="00C15756">
          <w:rPr>
            <w:noProof/>
            <w:webHidden/>
          </w:rPr>
          <w:fldChar w:fldCharType="end"/>
        </w:r>
      </w:hyperlink>
    </w:p>
    <w:p w14:paraId="522201EE" w14:textId="1C4420A7" w:rsidR="00C15756" w:rsidRDefault="000B6E4D">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9" w:history="1">
        <w:r w:rsidR="00C15756" w:rsidRPr="00DC7C7C">
          <w:rPr>
            <w:rStyle w:val="Hyperlink"/>
            <w:noProof/>
          </w:rPr>
          <w:t>3.</w:t>
        </w:r>
        <w:r w:rsidR="00C15756">
          <w:rPr>
            <w:rFonts w:asciiTheme="minorHAnsi" w:eastAsiaTheme="minorEastAsia" w:hAnsiTheme="minorHAnsi" w:cstheme="minorBidi"/>
            <w:b w:val="0"/>
            <w:caps w:val="0"/>
            <w:noProof/>
            <w:sz w:val="22"/>
            <w:szCs w:val="22"/>
          </w:rPr>
          <w:tab/>
        </w:r>
        <w:r w:rsidR="00C15756" w:rsidRPr="00DC7C7C">
          <w:rPr>
            <w:rStyle w:val="Hyperlink"/>
            <w:noProof/>
          </w:rPr>
          <w:t>Comments</w:t>
        </w:r>
        <w:r w:rsidR="00C15756">
          <w:rPr>
            <w:noProof/>
            <w:webHidden/>
          </w:rPr>
          <w:tab/>
        </w:r>
        <w:r w:rsidR="00C15756">
          <w:rPr>
            <w:noProof/>
            <w:webHidden/>
          </w:rPr>
          <w:fldChar w:fldCharType="begin"/>
        </w:r>
        <w:r w:rsidR="00C15756">
          <w:rPr>
            <w:noProof/>
            <w:webHidden/>
          </w:rPr>
          <w:instrText xml:space="preserve"> PAGEREF _Toc8373109 \h </w:instrText>
        </w:r>
        <w:r w:rsidR="00C15756">
          <w:rPr>
            <w:noProof/>
            <w:webHidden/>
          </w:rPr>
        </w:r>
        <w:r w:rsidR="00C15756">
          <w:rPr>
            <w:noProof/>
            <w:webHidden/>
          </w:rPr>
          <w:fldChar w:fldCharType="separate"/>
        </w:r>
        <w:r w:rsidR="007741B2">
          <w:rPr>
            <w:noProof/>
            <w:webHidden/>
          </w:rPr>
          <w:t>4</w:t>
        </w:r>
        <w:r w:rsidR="00C15756">
          <w:rPr>
            <w:noProof/>
            <w:webHidden/>
          </w:rPr>
          <w:fldChar w:fldCharType="end"/>
        </w:r>
      </w:hyperlink>
    </w:p>
    <w:p w14:paraId="7DB0D89B" w14:textId="7103F224" w:rsidR="00C15756" w:rsidRDefault="000B6E4D">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10" w:history="1">
        <w:r w:rsidR="00C15756" w:rsidRPr="00DC7C7C">
          <w:rPr>
            <w:rStyle w:val="Hyperlink"/>
            <w:noProof/>
          </w:rPr>
          <w:t>4.</w:t>
        </w:r>
        <w:r w:rsidR="00C15756">
          <w:rPr>
            <w:rFonts w:asciiTheme="minorHAnsi" w:eastAsiaTheme="minorEastAsia" w:hAnsiTheme="minorHAnsi" w:cstheme="minorBidi"/>
            <w:b w:val="0"/>
            <w:caps w:val="0"/>
            <w:noProof/>
            <w:sz w:val="22"/>
            <w:szCs w:val="22"/>
          </w:rPr>
          <w:tab/>
        </w:r>
        <w:r w:rsidR="00C15756" w:rsidRPr="00DC7C7C">
          <w:rPr>
            <w:rStyle w:val="Hyperlink"/>
            <w:noProof/>
          </w:rPr>
          <w:t>Recommendation</w:t>
        </w:r>
        <w:r w:rsidR="00C15756">
          <w:rPr>
            <w:noProof/>
            <w:webHidden/>
          </w:rPr>
          <w:tab/>
        </w:r>
        <w:r w:rsidR="00C15756">
          <w:rPr>
            <w:noProof/>
            <w:webHidden/>
          </w:rPr>
          <w:fldChar w:fldCharType="begin"/>
        </w:r>
        <w:r w:rsidR="00C15756">
          <w:rPr>
            <w:noProof/>
            <w:webHidden/>
          </w:rPr>
          <w:instrText xml:space="preserve"> PAGEREF _Toc8373110 \h </w:instrText>
        </w:r>
        <w:r w:rsidR="00C15756">
          <w:rPr>
            <w:noProof/>
            <w:webHidden/>
          </w:rPr>
        </w:r>
        <w:r w:rsidR="00C15756">
          <w:rPr>
            <w:noProof/>
            <w:webHidden/>
          </w:rPr>
          <w:fldChar w:fldCharType="separate"/>
        </w:r>
        <w:r w:rsidR="007741B2">
          <w:rPr>
            <w:noProof/>
            <w:webHidden/>
          </w:rPr>
          <w:t>6</w:t>
        </w:r>
        <w:r w:rsidR="00C15756">
          <w:rPr>
            <w:noProof/>
            <w:webHidden/>
          </w:rPr>
          <w:fldChar w:fldCharType="end"/>
        </w:r>
      </w:hyperlink>
    </w:p>
    <w:p w14:paraId="40E0EF90" w14:textId="7DFE7001"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564884D4" w14:textId="66973292" w:rsidR="005455C6" w:rsidRPr="007D17F3" w:rsidRDefault="005455C6" w:rsidP="005A06A4">
      <w:pPr>
        <w:pStyle w:val="Level1"/>
        <w:rPr>
          <w:rFonts w:ascii="Times New Roman" w:hAnsi="Times New Roman" w:cs="Times New Roman"/>
          <w:sz w:val="28"/>
          <w:szCs w:val="28"/>
        </w:rPr>
      </w:pPr>
      <w:bookmarkStart w:id="2" w:name="_Toc8373107"/>
      <w:r w:rsidRPr="007D17F3">
        <w:rPr>
          <w:rFonts w:ascii="Times New Roman" w:hAnsi="Times New Roman" w:cs="Times New Roman"/>
          <w:sz w:val="28"/>
          <w:szCs w:val="28"/>
        </w:rPr>
        <w:lastRenderedPageBreak/>
        <w:t>Goal and scope</w:t>
      </w:r>
      <w:bookmarkEnd w:id="2"/>
    </w:p>
    <w:p w14:paraId="517C0120" w14:textId="77777777" w:rsidR="005A06A4" w:rsidRDefault="005A06A4" w:rsidP="005A06A4">
      <w:pPr>
        <w:pStyle w:val="Level1"/>
        <w:numPr>
          <w:ilvl w:val="0"/>
          <w:numId w:val="0"/>
        </w:numPr>
      </w:pPr>
    </w:p>
    <w:p w14:paraId="27FF78CD" w14:textId="77777777" w:rsidR="00D53EBC" w:rsidRPr="00D53EBC" w:rsidRDefault="00D53EBC" w:rsidP="00D53EBC">
      <w:pPr>
        <w:pStyle w:val="Default"/>
        <w:ind w:firstLine="432"/>
        <w:jc w:val="both"/>
        <w:rPr>
          <w:rFonts w:ascii="Times New Roman" w:hAnsi="Times New Roman" w:cs="Times New Roman"/>
        </w:rPr>
      </w:pPr>
      <w:r w:rsidRPr="00D53EBC">
        <w:rPr>
          <w:rFonts w:ascii="Times New Roman" w:hAnsi="Times New Roman" w:cs="Times New Roman"/>
        </w:rPr>
        <w:t xml:space="preserve">The HL-LHC AUP 302.2.02 scope covers strand procurement, vendor QC supervision, QC validation, and preparation and test of extracted strands and witness samples. The HL-LHC AUP project received CD-3a approval for conductor procurement in October 2017, and the remaining scope of 302.2.02 was approved under CD-3b in February 2019. This PRR covers the remaining scope approved under CD-3b: QC validation, and preparation and test of extracted strands and witness samples. </w:t>
      </w:r>
    </w:p>
    <w:p w14:paraId="0ECA1928" w14:textId="77777777" w:rsidR="00D53EBC" w:rsidRPr="00D53EBC" w:rsidRDefault="00D53EBC" w:rsidP="00D53EBC">
      <w:pPr>
        <w:pStyle w:val="Default"/>
        <w:ind w:firstLine="432"/>
        <w:jc w:val="both"/>
        <w:rPr>
          <w:rFonts w:ascii="Times New Roman" w:hAnsi="Times New Roman" w:cs="Times New Roman"/>
        </w:rPr>
      </w:pPr>
      <w:r w:rsidRPr="00D53EBC">
        <w:rPr>
          <w:rFonts w:ascii="Times New Roman" w:hAnsi="Times New Roman" w:cs="Times New Roman"/>
        </w:rPr>
        <w:t xml:space="preserve">The 302.2.02 L3 Manager (Lance Cooley) is presently with FSU and the NHMFL, where strand QC validation is being performed. The 302.2.02 L3 Manager Deputy (Vito Lombardo) is at FNAL where extracted strands and witness samples are prepared and tested. </w:t>
      </w:r>
    </w:p>
    <w:p w14:paraId="7A33CE59" w14:textId="1C2B2EBF" w:rsidR="00D53EBC" w:rsidRDefault="00D53EBC" w:rsidP="00D53EBC">
      <w:pPr>
        <w:pStyle w:val="Default"/>
        <w:ind w:firstLine="432"/>
        <w:jc w:val="both"/>
        <w:rPr>
          <w:rFonts w:ascii="Times New Roman" w:hAnsi="Times New Roman" w:cs="Times New Roman"/>
        </w:rPr>
      </w:pPr>
      <w:r w:rsidRPr="00D53EBC">
        <w:rPr>
          <w:rFonts w:ascii="Times New Roman" w:hAnsi="Times New Roman" w:cs="Times New Roman"/>
        </w:rPr>
        <w:t xml:space="preserve">Production Readiness Review (PRR) is a major review step in the HL-LHC Accelerator Upgrade Project (AUP). It is held prior to the start of series production, and is intended to be a largely technical review, but include assessment of the planned cost, schedule, and personnel needs to complete the production. </w:t>
      </w:r>
    </w:p>
    <w:p w14:paraId="3FAD233D" w14:textId="77777777" w:rsidR="00D53EBC" w:rsidRPr="00D53EBC" w:rsidRDefault="00D53EBC" w:rsidP="00D53EBC">
      <w:pPr>
        <w:pStyle w:val="Default"/>
        <w:ind w:firstLine="432"/>
        <w:jc w:val="both"/>
        <w:rPr>
          <w:rFonts w:ascii="Times New Roman" w:hAnsi="Times New Roman" w:cs="Times New Roman"/>
        </w:rPr>
      </w:pPr>
    </w:p>
    <w:p w14:paraId="30801CBA" w14:textId="77777777" w:rsidR="00D53EBC" w:rsidRPr="00D53EBC" w:rsidRDefault="00D53EBC" w:rsidP="00D53EBC">
      <w:pPr>
        <w:pStyle w:val="Default"/>
        <w:ind w:firstLine="432"/>
        <w:jc w:val="both"/>
        <w:rPr>
          <w:rFonts w:ascii="Times New Roman" w:hAnsi="Times New Roman" w:cs="Times New Roman"/>
        </w:rPr>
      </w:pPr>
      <w:r w:rsidRPr="00D53EBC">
        <w:rPr>
          <w:rFonts w:ascii="Times New Roman" w:hAnsi="Times New Roman" w:cs="Times New Roman"/>
        </w:rPr>
        <w:t xml:space="preserve">Scope of this PRR: </w:t>
      </w:r>
    </w:p>
    <w:p w14:paraId="3DDAD0BB" w14:textId="77777777" w:rsidR="00D53EBC" w:rsidRPr="00D53EBC" w:rsidRDefault="00D53EBC" w:rsidP="00D53EBC">
      <w:pPr>
        <w:pStyle w:val="Default"/>
        <w:ind w:firstLine="432"/>
        <w:jc w:val="both"/>
        <w:rPr>
          <w:rFonts w:ascii="Times New Roman" w:hAnsi="Times New Roman" w:cs="Times New Roman"/>
        </w:rPr>
      </w:pPr>
      <w:r w:rsidRPr="00D53EBC">
        <w:rPr>
          <w:rFonts w:ascii="Times New Roman" w:hAnsi="Times New Roman" w:cs="Times New Roman"/>
        </w:rPr>
        <w:t xml:space="preserve">- Parts and materials for testing virgin strands, extracted strands and witness samples. </w:t>
      </w:r>
    </w:p>
    <w:p w14:paraId="0E866283" w14:textId="77777777" w:rsidR="00D53EBC" w:rsidRPr="00D53EBC" w:rsidRDefault="00D53EBC" w:rsidP="00D53EBC">
      <w:pPr>
        <w:pStyle w:val="Default"/>
        <w:ind w:firstLine="432"/>
        <w:jc w:val="both"/>
        <w:rPr>
          <w:rFonts w:ascii="Times New Roman" w:hAnsi="Times New Roman" w:cs="Times New Roman"/>
        </w:rPr>
      </w:pPr>
      <w:r w:rsidRPr="00D53EBC">
        <w:rPr>
          <w:rFonts w:ascii="Times New Roman" w:hAnsi="Times New Roman" w:cs="Times New Roman"/>
        </w:rPr>
        <w:t xml:space="preserve">- Procurements, sample preparation and test procedures. </w:t>
      </w:r>
    </w:p>
    <w:p w14:paraId="547E077E" w14:textId="74081265" w:rsidR="00D53EBC" w:rsidRDefault="00D53EBC" w:rsidP="00D53EBC">
      <w:pPr>
        <w:pStyle w:val="Default"/>
        <w:ind w:firstLine="432"/>
        <w:jc w:val="both"/>
        <w:rPr>
          <w:rFonts w:ascii="Times New Roman" w:hAnsi="Times New Roman" w:cs="Times New Roman"/>
        </w:rPr>
      </w:pPr>
      <w:r w:rsidRPr="00D53EBC">
        <w:rPr>
          <w:rFonts w:ascii="Times New Roman" w:hAnsi="Times New Roman" w:cs="Times New Roman"/>
        </w:rPr>
        <w:t xml:space="preserve">- Interfaces. </w:t>
      </w:r>
    </w:p>
    <w:p w14:paraId="74B6997C" w14:textId="77777777" w:rsidR="00D53EBC" w:rsidRPr="00D53EBC" w:rsidRDefault="00D53EBC" w:rsidP="00D53EBC">
      <w:pPr>
        <w:pStyle w:val="Default"/>
        <w:ind w:firstLine="432"/>
        <w:jc w:val="both"/>
        <w:rPr>
          <w:rFonts w:ascii="Times New Roman" w:hAnsi="Times New Roman" w:cs="Times New Roman"/>
        </w:rPr>
      </w:pPr>
    </w:p>
    <w:p w14:paraId="01F246B1" w14:textId="77777777" w:rsidR="00D53EBC" w:rsidRPr="00D53EBC" w:rsidRDefault="00D53EBC" w:rsidP="00D53EBC">
      <w:pPr>
        <w:pStyle w:val="Default"/>
        <w:ind w:firstLine="432"/>
        <w:jc w:val="both"/>
        <w:rPr>
          <w:rFonts w:ascii="Times New Roman" w:hAnsi="Times New Roman" w:cs="Times New Roman"/>
        </w:rPr>
      </w:pPr>
      <w:r w:rsidRPr="00D53EBC">
        <w:rPr>
          <w:rFonts w:ascii="Times New Roman" w:hAnsi="Times New Roman" w:cs="Times New Roman"/>
        </w:rPr>
        <w:t xml:space="preserve">Goal of this PRR: </w:t>
      </w:r>
    </w:p>
    <w:p w14:paraId="5D2D0BDB" w14:textId="468EA694" w:rsidR="005455C6" w:rsidRPr="00D53EBC" w:rsidRDefault="00D53EBC" w:rsidP="00D53EBC">
      <w:pPr>
        <w:spacing w:before="0"/>
        <w:ind w:firstLine="432"/>
        <w:jc w:val="both"/>
        <w:rPr>
          <w:sz w:val="24"/>
          <w:szCs w:val="24"/>
        </w:rPr>
      </w:pPr>
      <w:r w:rsidRPr="00D53EBC">
        <w:rPr>
          <w:sz w:val="24"/>
          <w:szCs w:val="24"/>
        </w:rPr>
        <w:t>- Approval of plans and procedures for remaining scope of 302.2.02.</w:t>
      </w:r>
    </w:p>
    <w:p w14:paraId="345335CD" w14:textId="77777777" w:rsidR="00FB586C" w:rsidRDefault="00FB586C" w:rsidP="00FB586C"/>
    <w:p w14:paraId="7F79497F" w14:textId="77777777" w:rsidR="00FB586C" w:rsidRDefault="00FB586C" w:rsidP="00FB586C"/>
    <w:p w14:paraId="0440BEA2" w14:textId="410F67AB" w:rsidR="002F5D37" w:rsidRPr="00D53EBC" w:rsidRDefault="005455C6" w:rsidP="00D53EBC">
      <w:pPr>
        <w:pStyle w:val="Level1"/>
        <w:rPr>
          <w:rFonts w:ascii="Times New Roman" w:hAnsi="Times New Roman" w:cs="Times New Roman"/>
          <w:sz w:val="28"/>
          <w:szCs w:val="28"/>
        </w:rPr>
      </w:pPr>
      <w:bookmarkStart w:id="3" w:name="_Toc8373108"/>
      <w:bookmarkStart w:id="4" w:name="_Hlk5290944"/>
      <w:r w:rsidRPr="007D17F3">
        <w:rPr>
          <w:rFonts w:ascii="Times New Roman" w:hAnsi="Times New Roman" w:cs="Times New Roman"/>
          <w:sz w:val="28"/>
          <w:szCs w:val="28"/>
        </w:rPr>
        <w:t>Technical details</w:t>
      </w:r>
      <w:bookmarkEnd w:id="3"/>
    </w:p>
    <w:p w14:paraId="697E5423" w14:textId="702DAA6F" w:rsidR="007D17F3" w:rsidRDefault="007D17F3" w:rsidP="007D17F3">
      <w:pPr>
        <w:pStyle w:val="Level1"/>
        <w:numPr>
          <w:ilvl w:val="0"/>
          <w:numId w:val="0"/>
        </w:numPr>
        <w:rPr>
          <w:rFonts w:ascii="Times New Roman" w:hAnsi="Times New Roman" w:cs="Times New Roman"/>
        </w:rPr>
      </w:pPr>
      <w:bookmarkStart w:id="5" w:name="_Hlk8380617"/>
      <w:bookmarkEnd w:id="4"/>
      <w:r w:rsidRPr="007D17F3">
        <w:rPr>
          <w:rFonts w:ascii="Times New Roman" w:hAnsi="Times New Roman" w:cs="Times New Roman"/>
        </w:rPr>
        <w:t>Committee</w:t>
      </w:r>
    </w:p>
    <w:p w14:paraId="088CB6D7" w14:textId="77777777" w:rsidR="00D53EBC" w:rsidRPr="00D53EBC" w:rsidRDefault="00D53EBC" w:rsidP="00D53EBC">
      <w:pPr>
        <w:rPr>
          <w:sz w:val="24"/>
          <w:szCs w:val="24"/>
        </w:rPr>
      </w:pPr>
      <w:r w:rsidRPr="00D53EBC">
        <w:rPr>
          <w:sz w:val="24"/>
          <w:szCs w:val="24"/>
        </w:rPr>
        <w:t xml:space="preserve">Steve Gourlay, chair (LBNL) </w:t>
      </w:r>
    </w:p>
    <w:p w14:paraId="194F16C5" w14:textId="77777777" w:rsidR="00D53EBC" w:rsidRPr="00D53EBC" w:rsidRDefault="00D53EBC" w:rsidP="00D53EBC">
      <w:pPr>
        <w:rPr>
          <w:sz w:val="24"/>
          <w:szCs w:val="24"/>
        </w:rPr>
      </w:pPr>
      <w:r w:rsidRPr="00D53EBC">
        <w:rPr>
          <w:sz w:val="24"/>
          <w:szCs w:val="24"/>
        </w:rPr>
        <w:t xml:space="preserve">Najib Cheggour (NHMFL) </w:t>
      </w:r>
    </w:p>
    <w:p w14:paraId="0A29540B" w14:textId="77777777" w:rsidR="00D53EBC" w:rsidRPr="00D53EBC" w:rsidRDefault="00D53EBC" w:rsidP="00D53EBC">
      <w:pPr>
        <w:rPr>
          <w:sz w:val="24"/>
          <w:szCs w:val="24"/>
        </w:rPr>
      </w:pPr>
      <w:r w:rsidRPr="00D53EBC">
        <w:rPr>
          <w:sz w:val="24"/>
          <w:szCs w:val="24"/>
        </w:rPr>
        <w:t xml:space="preserve">Paolo Ferracin (CERN) </w:t>
      </w:r>
    </w:p>
    <w:p w14:paraId="22F044E9" w14:textId="6E89E09E" w:rsidR="00D53EBC" w:rsidRPr="00D53EBC" w:rsidRDefault="00D53EBC" w:rsidP="00D53EBC">
      <w:pPr>
        <w:rPr>
          <w:sz w:val="24"/>
          <w:szCs w:val="24"/>
        </w:rPr>
      </w:pPr>
      <w:r w:rsidRPr="00D53EBC">
        <w:rPr>
          <w:sz w:val="24"/>
          <w:szCs w:val="24"/>
        </w:rPr>
        <w:t>Diego Perini (CERN)</w:t>
      </w:r>
    </w:p>
    <w:p w14:paraId="0DFC9A9C" w14:textId="77777777" w:rsidR="007D17F3" w:rsidRPr="00E952E0" w:rsidRDefault="007D17F3" w:rsidP="007D17F3">
      <w:pPr>
        <w:pStyle w:val="Level1"/>
        <w:numPr>
          <w:ilvl w:val="0"/>
          <w:numId w:val="0"/>
        </w:numPr>
        <w:rPr>
          <w:lang w:val="it-IT"/>
        </w:rPr>
      </w:pPr>
    </w:p>
    <w:p w14:paraId="2EC41D87"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Date and Time</w:t>
      </w:r>
    </w:p>
    <w:p w14:paraId="00727C9A" w14:textId="0708CF9C" w:rsidR="007D17F3" w:rsidRDefault="00D53EBC" w:rsidP="00D53EBC">
      <w:pPr>
        <w:rPr>
          <w:sz w:val="24"/>
          <w:szCs w:val="24"/>
        </w:rPr>
      </w:pPr>
      <w:r w:rsidRPr="00D53EBC">
        <w:rPr>
          <w:sz w:val="24"/>
          <w:szCs w:val="24"/>
        </w:rPr>
        <w:t>Aug 22, 2019; start time: 7/9/10/16 (LBNL/FNAL/NHMFL/CERN)</w:t>
      </w:r>
    </w:p>
    <w:p w14:paraId="781147E5" w14:textId="77777777" w:rsidR="00D53EBC" w:rsidRPr="00D53EBC" w:rsidRDefault="00D53EBC" w:rsidP="00D53EBC">
      <w:pPr>
        <w:rPr>
          <w:sz w:val="24"/>
          <w:szCs w:val="24"/>
        </w:rPr>
      </w:pPr>
    </w:p>
    <w:p w14:paraId="4322C99B"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Location/Connection</w:t>
      </w:r>
    </w:p>
    <w:p w14:paraId="7B92B417" w14:textId="77777777" w:rsidR="00D53EBC" w:rsidRPr="00D53EBC" w:rsidRDefault="00D53EBC" w:rsidP="00D53EBC">
      <w:pPr>
        <w:rPr>
          <w:sz w:val="24"/>
          <w:szCs w:val="24"/>
        </w:rPr>
      </w:pPr>
      <w:r w:rsidRPr="00D53EBC">
        <w:rPr>
          <w:sz w:val="24"/>
          <w:szCs w:val="24"/>
        </w:rPr>
        <w:t xml:space="preserve">NHMFL, room TBD </w:t>
      </w:r>
    </w:p>
    <w:p w14:paraId="7EB67E5B" w14:textId="3B66715F" w:rsidR="007D17F3" w:rsidRDefault="00D53EBC" w:rsidP="00D53EBC">
      <w:pPr>
        <w:rPr>
          <w:sz w:val="24"/>
          <w:szCs w:val="24"/>
        </w:rPr>
      </w:pPr>
      <w:r w:rsidRPr="00D53EBC">
        <w:rPr>
          <w:sz w:val="24"/>
          <w:szCs w:val="24"/>
        </w:rPr>
        <w:t>Video-link by Zoom, info by email.</w:t>
      </w:r>
    </w:p>
    <w:p w14:paraId="6418188F" w14:textId="77777777" w:rsidR="00D53EBC" w:rsidRPr="00D53EBC" w:rsidRDefault="00D53EBC" w:rsidP="00D53EBC">
      <w:pPr>
        <w:rPr>
          <w:sz w:val="24"/>
          <w:szCs w:val="24"/>
        </w:rPr>
      </w:pPr>
    </w:p>
    <w:p w14:paraId="3A1A71CE" w14:textId="38D8B6CE" w:rsid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Link to agenda with talks and other documents</w:t>
      </w:r>
    </w:p>
    <w:p w14:paraId="47136881" w14:textId="0B7317FE" w:rsidR="002F5D37" w:rsidRPr="00D53EBC" w:rsidRDefault="00D53EBC" w:rsidP="002F5D37">
      <w:pPr>
        <w:rPr>
          <w:sz w:val="24"/>
          <w:szCs w:val="24"/>
        </w:rPr>
      </w:pPr>
      <w:r w:rsidRPr="00D53EBC">
        <w:rPr>
          <w:sz w:val="24"/>
          <w:szCs w:val="24"/>
        </w:rPr>
        <w:t>https://indico.fnal.gov/event/21525/</w:t>
      </w:r>
      <w:bookmarkEnd w:id="5"/>
    </w:p>
    <w:p w14:paraId="464DD993" w14:textId="77777777" w:rsidR="002F5D37" w:rsidRDefault="002F5D37" w:rsidP="002F5D37">
      <w:pPr>
        <w:rPr>
          <w:rFonts w:cstheme="minorHAnsi"/>
          <w:b/>
          <w:color w:val="000000" w:themeColor="text1"/>
          <w:sz w:val="28"/>
          <w:szCs w:val="24"/>
        </w:rPr>
      </w:pPr>
    </w:p>
    <w:p w14:paraId="09986AA6" w14:textId="5EDD4822" w:rsidR="002F5D37" w:rsidRPr="002F5D37" w:rsidRDefault="002F5D37" w:rsidP="002F5D37">
      <w:pPr>
        <w:pStyle w:val="Level1"/>
        <w:rPr>
          <w:u w:val="single"/>
        </w:rPr>
      </w:pPr>
      <w:r w:rsidRPr="002F5D37">
        <w:t>Review Charges response</w:t>
      </w:r>
    </w:p>
    <w:p w14:paraId="04608A90" w14:textId="77777777" w:rsidR="00EC09A5" w:rsidRDefault="00EC09A5" w:rsidP="00EC09A5">
      <w:pPr>
        <w:pStyle w:val="Level1"/>
        <w:numPr>
          <w:ilvl w:val="0"/>
          <w:numId w:val="0"/>
        </w:numPr>
        <w:rPr>
          <w:rFonts w:ascii="Times New Roman" w:hAnsi="Times New Roman" w:cs="Times New Roman"/>
          <w:sz w:val="28"/>
          <w:szCs w:val="28"/>
        </w:rPr>
      </w:pPr>
      <w:bookmarkStart w:id="6" w:name="_Toc8373110"/>
    </w:p>
    <w:p w14:paraId="7518B44D" w14:textId="77777777" w:rsidR="00645943" w:rsidRDefault="00645943" w:rsidP="00645943">
      <w:pPr>
        <w:pStyle w:val="ListParagraph"/>
        <w:numPr>
          <w:ilvl w:val="0"/>
          <w:numId w:val="42"/>
        </w:numPr>
        <w:spacing w:before="0" w:after="160" w:line="259" w:lineRule="auto"/>
        <w:rPr>
          <w:rFonts w:ascii="Arial" w:hAnsi="Arial" w:cs="Arial"/>
          <w:sz w:val="24"/>
          <w:szCs w:val="24"/>
        </w:rPr>
      </w:pPr>
      <w:r w:rsidRPr="002A537C">
        <w:rPr>
          <w:rFonts w:ascii="Arial" w:hAnsi="Arial" w:cs="Arial"/>
          <w:sz w:val="24"/>
          <w:szCs w:val="24"/>
        </w:rPr>
        <w:t>Scope and interfaces: is the L3 task scope clearly defined and are interfaces with other tasks sufficiently well-defined for executi</w:t>
      </w:r>
      <w:r>
        <w:rPr>
          <w:rFonts w:ascii="Arial" w:hAnsi="Arial" w:cs="Arial"/>
          <w:sz w:val="24"/>
          <w:szCs w:val="24"/>
        </w:rPr>
        <w:t>on during QC validation, and preparation and test of extracted strands and witness samples</w:t>
      </w:r>
      <w:r w:rsidRPr="002A537C">
        <w:rPr>
          <w:rFonts w:ascii="Arial" w:hAnsi="Arial" w:cs="Arial"/>
          <w:sz w:val="24"/>
          <w:szCs w:val="24"/>
        </w:rPr>
        <w:t>?</w:t>
      </w:r>
    </w:p>
    <w:p w14:paraId="771FD599" w14:textId="2D9E3F36" w:rsidR="0005741F" w:rsidRPr="003B176F" w:rsidRDefault="0005741F" w:rsidP="00645943">
      <w:pPr>
        <w:rPr>
          <w:sz w:val="24"/>
          <w:szCs w:val="24"/>
        </w:rPr>
      </w:pPr>
      <w:r w:rsidRPr="003B176F">
        <w:rPr>
          <w:sz w:val="24"/>
          <w:szCs w:val="24"/>
        </w:rPr>
        <w:t>The Committee agrees that the scope of</w:t>
      </w:r>
      <w:r w:rsidR="00645943" w:rsidRPr="003B176F">
        <w:rPr>
          <w:sz w:val="24"/>
          <w:szCs w:val="24"/>
        </w:rPr>
        <w:t xml:space="preserve"> the L3 task is well defined. Interfaces between AUP and </w:t>
      </w:r>
      <w:r w:rsidRPr="003B176F">
        <w:rPr>
          <w:sz w:val="24"/>
          <w:szCs w:val="24"/>
        </w:rPr>
        <w:t xml:space="preserve">the </w:t>
      </w:r>
      <w:r w:rsidR="00645943" w:rsidRPr="003B176F">
        <w:rPr>
          <w:sz w:val="24"/>
          <w:szCs w:val="24"/>
        </w:rPr>
        <w:t xml:space="preserve">strand supplier and between AUP strand procurement/testing and cable fabrication teams are crafted extremely well. </w:t>
      </w:r>
      <w:r w:rsidRPr="003B176F">
        <w:rPr>
          <w:sz w:val="24"/>
          <w:szCs w:val="24"/>
        </w:rPr>
        <w:t>Good communication between the teams provides for important feedback and the existence of several control points insures that the strands delivered to AUP satisfy strand specs agreed on between AUP and the vendor. We also feel that the change of scope that was implemented after the cable PRR is very useful.</w:t>
      </w:r>
    </w:p>
    <w:p w14:paraId="24CDA714" w14:textId="77777777" w:rsidR="00645943" w:rsidRPr="00E67370" w:rsidRDefault="00645943" w:rsidP="00645943">
      <w:pPr>
        <w:spacing w:before="0" w:after="160" w:line="259" w:lineRule="auto"/>
        <w:rPr>
          <w:rFonts w:ascii="Arial" w:hAnsi="Arial" w:cs="Arial"/>
          <w:sz w:val="24"/>
          <w:szCs w:val="24"/>
        </w:rPr>
      </w:pPr>
    </w:p>
    <w:p w14:paraId="008F7460" w14:textId="77777777" w:rsidR="00645943" w:rsidRDefault="00645943" w:rsidP="00645943">
      <w:pPr>
        <w:pStyle w:val="ListParagraph"/>
        <w:numPr>
          <w:ilvl w:val="0"/>
          <w:numId w:val="42"/>
        </w:numPr>
        <w:spacing w:before="0" w:after="160" w:line="259" w:lineRule="auto"/>
        <w:rPr>
          <w:rFonts w:ascii="Arial" w:hAnsi="Arial" w:cs="Arial"/>
          <w:sz w:val="24"/>
          <w:szCs w:val="24"/>
        </w:rPr>
      </w:pPr>
      <w:r>
        <w:rPr>
          <w:rFonts w:ascii="Arial" w:hAnsi="Arial" w:cs="Arial"/>
          <w:sz w:val="24"/>
          <w:szCs w:val="24"/>
        </w:rPr>
        <w:t xml:space="preserve">Procurement and </w:t>
      </w:r>
      <w:r w:rsidRPr="002A537C">
        <w:rPr>
          <w:rFonts w:ascii="Arial" w:hAnsi="Arial" w:cs="Arial"/>
          <w:sz w:val="24"/>
          <w:szCs w:val="24"/>
        </w:rPr>
        <w:t xml:space="preserve">Manufacturing: are the </w:t>
      </w:r>
      <w:r>
        <w:rPr>
          <w:rFonts w:ascii="Arial" w:hAnsi="Arial" w:cs="Arial"/>
          <w:sz w:val="24"/>
          <w:szCs w:val="24"/>
        </w:rPr>
        <w:t xml:space="preserve">procurement and </w:t>
      </w:r>
      <w:r w:rsidRPr="002A537C">
        <w:rPr>
          <w:rFonts w:ascii="Arial" w:hAnsi="Arial" w:cs="Arial"/>
          <w:sz w:val="24"/>
          <w:szCs w:val="24"/>
        </w:rPr>
        <w:t>manufacturing work flow documents and travelers —including scheduling, personnel needs, floor space, and facilities requirement—appropriate to execute the</w:t>
      </w:r>
      <w:r>
        <w:rPr>
          <w:rFonts w:ascii="Arial" w:hAnsi="Arial" w:cs="Arial"/>
          <w:sz w:val="24"/>
          <w:szCs w:val="24"/>
        </w:rPr>
        <w:t>se activities during series production</w:t>
      </w:r>
      <w:r w:rsidRPr="002A537C">
        <w:rPr>
          <w:rFonts w:ascii="Arial" w:hAnsi="Arial" w:cs="Arial"/>
          <w:sz w:val="24"/>
          <w:szCs w:val="24"/>
        </w:rPr>
        <w:t>?</w:t>
      </w:r>
    </w:p>
    <w:p w14:paraId="1A702CA4" w14:textId="77777777" w:rsidR="00645943" w:rsidRPr="003B176F" w:rsidRDefault="00645943" w:rsidP="00645943">
      <w:pPr>
        <w:rPr>
          <w:sz w:val="24"/>
          <w:szCs w:val="24"/>
        </w:rPr>
      </w:pPr>
      <w:r w:rsidRPr="003B176F">
        <w:rPr>
          <w:sz w:val="24"/>
          <w:szCs w:val="24"/>
        </w:rPr>
        <w:t>Yes</w:t>
      </w:r>
    </w:p>
    <w:p w14:paraId="5C6D5809" w14:textId="77777777" w:rsidR="00645943" w:rsidRPr="00E67370" w:rsidRDefault="00645943" w:rsidP="00645943">
      <w:pPr>
        <w:spacing w:before="0" w:after="160" w:line="259" w:lineRule="auto"/>
        <w:rPr>
          <w:rFonts w:ascii="Arial" w:hAnsi="Arial" w:cs="Arial"/>
          <w:sz w:val="24"/>
          <w:szCs w:val="24"/>
        </w:rPr>
      </w:pPr>
    </w:p>
    <w:p w14:paraId="69D7290C" w14:textId="77777777" w:rsidR="00645943" w:rsidRDefault="00645943" w:rsidP="00645943">
      <w:pPr>
        <w:pStyle w:val="ListParagraph"/>
        <w:numPr>
          <w:ilvl w:val="0"/>
          <w:numId w:val="42"/>
        </w:numPr>
        <w:spacing w:before="0" w:after="160" w:line="259" w:lineRule="auto"/>
        <w:rPr>
          <w:rFonts w:ascii="Arial" w:hAnsi="Arial" w:cs="Arial"/>
          <w:sz w:val="24"/>
          <w:szCs w:val="24"/>
        </w:rPr>
      </w:pPr>
      <w:r w:rsidRPr="002A537C">
        <w:rPr>
          <w:rFonts w:ascii="Arial" w:hAnsi="Arial" w:cs="Arial"/>
          <w:sz w:val="24"/>
          <w:szCs w:val="24"/>
        </w:rPr>
        <w:t>QA/QC:</w:t>
      </w:r>
      <w:r>
        <w:rPr>
          <w:rFonts w:ascii="Arial" w:hAnsi="Arial" w:cs="Arial"/>
          <w:sz w:val="24"/>
          <w:szCs w:val="24"/>
        </w:rPr>
        <w:t xml:space="preserve"> is the QA/QC plan adequate? Is</w:t>
      </w:r>
      <w:r w:rsidRPr="002A537C">
        <w:rPr>
          <w:rFonts w:ascii="Arial" w:hAnsi="Arial" w:cs="Arial"/>
          <w:sz w:val="24"/>
          <w:szCs w:val="24"/>
        </w:rPr>
        <w:t xml:space="preserve"> there appropriate documentation for quality control procedures, manufacturing and inspection plan, and data reporting?</w:t>
      </w:r>
    </w:p>
    <w:p w14:paraId="7E4E965C" w14:textId="09642A7E" w:rsidR="00645943" w:rsidRDefault="00645943" w:rsidP="00645943">
      <w:r w:rsidRPr="003B176F">
        <w:rPr>
          <w:sz w:val="24"/>
          <w:szCs w:val="24"/>
        </w:rPr>
        <w:t>The QA/QC plan is adeq</w:t>
      </w:r>
      <w:r w:rsidR="00E31D4B" w:rsidRPr="003B176F">
        <w:rPr>
          <w:sz w:val="24"/>
          <w:szCs w:val="24"/>
        </w:rPr>
        <w:t>uate, except for the lack of</w:t>
      </w:r>
      <w:r w:rsidRPr="003B176F">
        <w:rPr>
          <w:sz w:val="24"/>
          <w:szCs w:val="24"/>
        </w:rPr>
        <w:t xml:space="preserve"> validation by the coil testing program, as </w:t>
      </w:r>
      <w:r w:rsidR="00E31D4B" w:rsidRPr="003B176F">
        <w:rPr>
          <w:sz w:val="24"/>
          <w:szCs w:val="24"/>
        </w:rPr>
        <w:t>discussed in the comments below</w:t>
      </w:r>
      <w:r>
        <w:t xml:space="preserve">. </w:t>
      </w:r>
    </w:p>
    <w:p w14:paraId="34EC59AE" w14:textId="77777777" w:rsidR="00645943" w:rsidRPr="00E67370" w:rsidRDefault="00645943" w:rsidP="00645943">
      <w:pPr>
        <w:spacing w:before="0" w:after="160" w:line="259" w:lineRule="auto"/>
        <w:rPr>
          <w:rFonts w:ascii="Arial" w:hAnsi="Arial" w:cs="Arial"/>
          <w:sz w:val="24"/>
          <w:szCs w:val="24"/>
        </w:rPr>
      </w:pPr>
    </w:p>
    <w:p w14:paraId="6A393C34" w14:textId="77777777" w:rsidR="00645943" w:rsidRDefault="00645943" w:rsidP="00645943">
      <w:pPr>
        <w:pStyle w:val="ListParagraph"/>
        <w:numPr>
          <w:ilvl w:val="0"/>
          <w:numId w:val="42"/>
        </w:numPr>
        <w:spacing w:before="0" w:after="160" w:line="259" w:lineRule="auto"/>
        <w:rPr>
          <w:rFonts w:ascii="Arial" w:hAnsi="Arial" w:cs="Arial"/>
          <w:sz w:val="24"/>
          <w:szCs w:val="24"/>
        </w:rPr>
      </w:pPr>
      <w:r w:rsidRPr="002A537C">
        <w:rPr>
          <w:rFonts w:ascii="Arial" w:hAnsi="Arial" w:cs="Arial"/>
          <w:sz w:val="24"/>
          <w:szCs w:val="24"/>
        </w:rPr>
        <w:t>Cost and Schedule: are the cost and schedule estimates sufficiently well-defined and of adequate maturity to support the</w:t>
      </w:r>
      <w:r>
        <w:rPr>
          <w:rFonts w:ascii="Arial" w:hAnsi="Arial" w:cs="Arial"/>
          <w:sz w:val="24"/>
          <w:szCs w:val="24"/>
        </w:rPr>
        <w:t>se activated during</w:t>
      </w:r>
      <w:r w:rsidRPr="002A537C">
        <w:rPr>
          <w:rFonts w:ascii="Arial" w:hAnsi="Arial" w:cs="Arial"/>
          <w:sz w:val="24"/>
          <w:szCs w:val="24"/>
        </w:rPr>
        <w:t xml:space="preserve"> series production?</w:t>
      </w:r>
    </w:p>
    <w:p w14:paraId="30C7887C" w14:textId="77777777" w:rsidR="00645943" w:rsidRPr="003B176F" w:rsidRDefault="00645943" w:rsidP="00645943">
      <w:pPr>
        <w:spacing w:before="0" w:after="160" w:line="259" w:lineRule="auto"/>
        <w:rPr>
          <w:sz w:val="24"/>
          <w:szCs w:val="24"/>
        </w:rPr>
      </w:pPr>
      <w:r w:rsidRPr="003B176F">
        <w:rPr>
          <w:sz w:val="24"/>
          <w:szCs w:val="24"/>
        </w:rPr>
        <w:t>Yes</w:t>
      </w:r>
    </w:p>
    <w:p w14:paraId="71CBBE9B" w14:textId="77777777" w:rsidR="00645943" w:rsidRDefault="00645943" w:rsidP="00645943">
      <w:pPr>
        <w:pStyle w:val="ListParagraph"/>
        <w:numPr>
          <w:ilvl w:val="0"/>
          <w:numId w:val="42"/>
        </w:numPr>
        <w:spacing w:before="0" w:after="160" w:line="259" w:lineRule="auto"/>
        <w:rPr>
          <w:rFonts w:ascii="Arial" w:hAnsi="Arial" w:cs="Arial"/>
          <w:sz w:val="24"/>
          <w:szCs w:val="24"/>
        </w:rPr>
      </w:pPr>
      <w:r w:rsidRPr="002A537C">
        <w:rPr>
          <w:rFonts w:ascii="Arial" w:hAnsi="Arial" w:cs="Arial"/>
          <w:sz w:val="24"/>
          <w:szCs w:val="24"/>
        </w:rPr>
        <w:t>ES&amp;H: Have all hazards been identified and addressed? Are ES&amp;H policy and documentation sufficient for the series production?</w:t>
      </w:r>
    </w:p>
    <w:p w14:paraId="305C3E0A" w14:textId="46029E21" w:rsidR="00645943" w:rsidRPr="003B176F" w:rsidRDefault="00645943" w:rsidP="00645943">
      <w:pPr>
        <w:spacing w:before="0" w:after="160" w:line="259" w:lineRule="auto"/>
        <w:rPr>
          <w:sz w:val="24"/>
          <w:szCs w:val="24"/>
        </w:rPr>
      </w:pPr>
      <w:r w:rsidRPr="003B176F">
        <w:rPr>
          <w:sz w:val="24"/>
          <w:szCs w:val="24"/>
        </w:rPr>
        <w:t>Yes</w:t>
      </w:r>
      <w:r w:rsidR="003B176F">
        <w:rPr>
          <w:sz w:val="24"/>
          <w:szCs w:val="24"/>
        </w:rPr>
        <w:t>,</w:t>
      </w:r>
      <w:r w:rsidRPr="003B176F">
        <w:rPr>
          <w:sz w:val="24"/>
          <w:szCs w:val="24"/>
        </w:rPr>
        <w:t xml:space="preserve"> based on what was presented</w:t>
      </w:r>
      <w:r w:rsidR="003B176F">
        <w:rPr>
          <w:sz w:val="24"/>
          <w:szCs w:val="24"/>
        </w:rPr>
        <w:t>.</w:t>
      </w:r>
    </w:p>
    <w:p w14:paraId="5DC4D7AE" w14:textId="77777777" w:rsidR="00645943" w:rsidRDefault="00645943" w:rsidP="00645943">
      <w:pPr>
        <w:pStyle w:val="ListParagraph"/>
        <w:numPr>
          <w:ilvl w:val="0"/>
          <w:numId w:val="42"/>
        </w:numPr>
        <w:spacing w:before="0" w:after="160" w:line="259" w:lineRule="auto"/>
        <w:rPr>
          <w:rFonts w:ascii="Arial" w:hAnsi="Arial" w:cs="Arial"/>
          <w:sz w:val="24"/>
          <w:szCs w:val="24"/>
        </w:rPr>
      </w:pPr>
      <w:r w:rsidRPr="002A537C">
        <w:rPr>
          <w:rFonts w:ascii="Arial" w:hAnsi="Arial" w:cs="Arial"/>
          <w:sz w:val="24"/>
          <w:szCs w:val="24"/>
        </w:rPr>
        <w:t>Risk: are risks understood and appropriately managed for the series production?</w:t>
      </w:r>
    </w:p>
    <w:p w14:paraId="63930414" w14:textId="52A10EBD" w:rsidR="00645943" w:rsidRPr="003B176F" w:rsidRDefault="00645943" w:rsidP="00645943">
      <w:pPr>
        <w:spacing w:before="0" w:after="160" w:line="259" w:lineRule="auto"/>
        <w:rPr>
          <w:rFonts w:ascii="Arial" w:hAnsi="Arial" w:cs="Arial"/>
          <w:sz w:val="24"/>
          <w:szCs w:val="24"/>
        </w:rPr>
      </w:pPr>
      <w:r w:rsidRPr="003B176F">
        <w:rPr>
          <w:sz w:val="24"/>
          <w:szCs w:val="24"/>
        </w:rPr>
        <w:t>Yes. The lack of feedback from coil testing to st</w:t>
      </w:r>
      <w:r w:rsidR="005F65B7">
        <w:rPr>
          <w:sz w:val="24"/>
          <w:szCs w:val="24"/>
        </w:rPr>
        <w:t>r</w:t>
      </w:r>
      <w:r w:rsidRPr="003B176F">
        <w:rPr>
          <w:sz w:val="24"/>
          <w:szCs w:val="24"/>
        </w:rPr>
        <w:t>and testing</w:t>
      </w:r>
      <w:r w:rsidR="003B176F">
        <w:rPr>
          <w:sz w:val="24"/>
          <w:szCs w:val="24"/>
        </w:rPr>
        <w:t xml:space="preserve"> should be considered (see below</w:t>
      </w:r>
      <w:r w:rsidRPr="003B176F">
        <w:rPr>
          <w:sz w:val="24"/>
          <w:szCs w:val="24"/>
        </w:rPr>
        <w:t>).</w:t>
      </w:r>
    </w:p>
    <w:p w14:paraId="1A105340" w14:textId="77777777" w:rsidR="00645943" w:rsidRPr="00E67370" w:rsidRDefault="00645943" w:rsidP="00645943">
      <w:pPr>
        <w:pStyle w:val="ListParagraph"/>
        <w:numPr>
          <w:ilvl w:val="0"/>
          <w:numId w:val="42"/>
        </w:numPr>
        <w:spacing w:before="0" w:after="160" w:line="259" w:lineRule="auto"/>
        <w:rPr>
          <w:rFonts w:ascii="Arial" w:hAnsi="Arial" w:cs="Arial"/>
          <w:sz w:val="24"/>
          <w:szCs w:val="24"/>
        </w:rPr>
      </w:pPr>
      <w:r>
        <w:rPr>
          <w:rFonts w:ascii="Arial" w:hAnsi="Arial" w:cs="Arial"/>
          <w:sz w:val="24"/>
          <w:szCs w:val="24"/>
        </w:rPr>
        <w:lastRenderedPageBreak/>
        <w:t>N/A</w:t>
      </w:r>
    </w:p>
    <w:p w14:paraId="7F568BDF" w14:textId="77777777" w:rsidR="00645943" w:rsidRDefault="00645943" w:rsidP="00645943">
      <w:pPr>
        <w:pStyle w:val="ListParagraph"/>
        <w:spacing w:before="0" w:after="160" w:line="259" w:lineRule="auto"/>
        <w:ind w:left="360"/>
        <w:rPr>
          <w:rFonts w:ascii="Arial" w:hAnsi="Arial" w:cs="Arial"/>
          <w:sz w:val="24"/>
          <w:szCs w:val="24"/>
        </w:rPr>
      </w:pPr>
    </w:p>
    <w:p w14:paraId="3640F11C" w14:textId="77777777" w:rsidR="00645943" w:rsidRPr="002A537C" w:rsidRDefault="00645943" w:rsidP="00645943">
      <w:pPr>
        <w:pStyle w:val="ListParagraph"/>
        <w:numPr>
          <w:ilvl w:val="0"/>
          <w:numId w:val="42"/>
        </w:numPr>
        <w:spacing w:before="0" w:after="160" w:line="259" w:lineRule="auto"/>
        <w:rPr>
          <w:rFonts w:ascii="Arial" w:hAnsi="Arial" w:cs="Arial"/>
          <w:sz w:val="24"/>
          <w:szCs w:val="24"/>
        </w:rPr>
      </w:pPr>
      <w:r w:rsidRPr="002A537C">
        <w:rPr>
          <w:rFonts w:ascii="Arial" w:hAnsi="Arial" w:cs="Arial"/>
          <w:sz w:val="24"/>
          <w:szCs w:val="24"/>
        </w:rPr>
        <w:t>Is this L3 task ready for series production?</w:t>
      </w:r>
    </w:p>
    <w:p w14:paraId="746E85D4" w14:textId="77777777" w:rsidR="00645943" w:rsidRDefault="00645943" w:rsidP="00645943"/>
    <w:p w14:paraId="4F10FADE" w14:textId="0FD693FB" w:rsidR="00645943" w:rsidRPr="00D40871" w:rsidRDefault="00D40871" w:rsidP="00645943">
      <w:pPr>
        <w:rPr>
          <w:sz w:val="24"/>
          <w:szCs w:val="24"/>
        </w:rPr>
      </w:pPr>
      <w:r w:rsidRPr="00D40871">
        <w:rPr>
          <w:sz w:val="24"/>
          <w:szCs w:val="24"/>
        </w:rPr>
        <w:t>Yes</w:t>
      </w:r>
    </w:p>
    <w:p w14:paraId="38644CBA" w14:textId="6D189DBE" w:rsidR="00EC09A5" w:rsidRPr="00645943" w:rsidRDefault="00EC09A5" w:rsidP="00EC09A5">
      <w:pPr>
        <w:pStyle w:val="Level1"/>
        <w:numPr>
          <w:ilvl w:val="0"/>
          <w:numId w:val="0"/>
        </w:numPr>
        <w:rPr>
          <w:rFonts w:ascii="Times New Roman" w:hAnsi="Times New Roman" w:cs="Times New Roman"/>
          <w:sz w:val="28"/>
          <w:szCs w:val="28"/>
        </w:rPr>
      </w:pPr>
    </w:p>
    <w:p w14:paraId="7E55F98A" w14:textId="43531DF1" w:rsidR="00EC09A5" w:rsidRDefault="00EC09A5" w:rsidP="00EC09A5">
      <w:pPr>
        <w:pStyle w:val="Level1"/>
        <w:rPr>
          <w:rFonts w:ascii="Times New Roman" w:hAnsi="Times New Roman" w:cs="Times New Roman"/>
          <w:sz w:val="28"/>
          <w:szCs w:val="28"/>
        </w:rPr>
      </w:pPr>
      <w:bookmarkStart w:id="7" w:name="_Toc8373109"/>
      <w:r w:rsidRPr="007D17F3">
        <w:rPr>
          <w:rFonts w:ascii="Times New Roman" w:hAnsi="Times New Roman" w:cs="Times New Roman"/>
          <w:sz w:val="28"/>
          <w:szCs w:val="28"/>
        </w:rPr>
        <w:t>Comments</w:t>
      </w:r>
      <w:bookmarkEnd w:id="7"/>
    </w:p>
    <w:p w14:paraId="66B0754C" w14:textId="4398D9BA" w:rsidR="00EC09A5" w:rsidRDefault="00EC09A5" w:rsidP="00EC09A5">
      <w:pPr>
        <w:pStyle w:val="Level1"/>
        <w:numPr>
          <w:ilvl w:val="0"/>
          <w:numId w:val="0"/>
        </w:numPr>
        <w:ind w:left="360"/>
        <w:rPr>
          <w:rFonts w:ascii="Times New Roman" w:hAnsi="Times New Roman" w:cs="Times New Roman"/>
          <w:sz w:val="28"/>
          <w:szCs w:val="28"/>
        </w:rPr>
      </w:pPr>
    </w:p>
    <w:p w14:paraId="59E5936E" w14:textId="62BEEB07" w:rsidR="00EC09A5" w:rsidRPr="00266875" w:rsidRDefault="00E31D4B" w:rsidP="00E31D4B">
      <w:pPr>
        <w:rPr>
          <w:sz w:val="24"/>
          <w:szCs w:val="24"/>
        </w:rPr>
      </w:pPr>
      <w:r w:rsidRPr="00266875">
        <w:rPr>
          <w:sz w:val="24"/>
          <w:szCs w:val="24"/>
        </w:rPr>
        <w:t xml:space="preserve">A possible weak link in the current process is possible lack of obtaining timely feedback from the coil testing to the strand procurement/testing to either validate the current </w:t>
      </w:r>
      <w:proofErr w:type="gramStart"/>
      <w:r w:rsidRPr="00266875">
        <w:rPr>
          <w:sz w:val="24"/>
          <w:szCs w:val="24"/>
        </w:rPr>
        <w:t>work-flow</w:t>
      </w:r>
      <w:proofErr w:type="gramEnd"/>
      <w:r w:rsidRPr="00266875">
        <w:rPr>
          <w:sz w:val="24"/>
          <w:szCs w:val="24"/>
        </w:rPr>
        <w:t xml:space="preserve"> or implement changes in case unknowns are discovered during coil testing. For example, if changes in the heat-treatment schedule were to be required by the coil team, a mechanism should be in place to generate a timely response by the strand procurement/testing team before the QC validation testing is all completed. Otherwise, a new campaign of strand testing will have to be started and a new budget allocated for it.</w:t>
      </w:r>
    </w:p>
    <w:p w14:paraId="514B61C7" w14:textId="77777777" w:rsidR="00E31D4B" w:rsidRPr="00266875" w:rsidRDefault="00E31D4B" w:rsidP="00E31D4B">
      <w:pPr>
        <w:rPr>
          <w:sz w:val="24"/>
          <w:szCs w:val="24"/>
        </w:rPr>
      </w:pPr>
    </w:p>
    <w:p w14:paraId="2C842562" w14:textId="3715ED01" w:rsidR="00E31D4B" w:rsidRPr="00266875" w:rsidRDefault="00E31D4B" w:rsidP="00E31D4B">
      <w:pPr>
        <w:rPr>
          <w:sz w:val="24"/>
          <w:szCs w:val="24"/>
        </w:rPr>
      </w:pPr>
      <w:r w:rsidRPr="00266875">
        <w:rPr>
          <w:sz w:val="24"/>
          <w:szCs w:val="24"/>
        </w:rPr>
        <w:t xml:space="preserve">Concerning QC validation tests, we noticed systematic discrepancies in </w:t>
      </w:r>
      <w:r w:rsidRPr="00266875">
        <w:rPr>
          <w:i/>
          <w:sz w:val="24"/>
          <w:szCs w:val="24"/>
        </w:rPr>
        <w:t>RRR</w:t>
      </w:r>
      <w:r w:rsidRPr="00266875">
        <w:rPr>
          <w:sz w:val="24"/>
          <w:szCs w:val="24"/>
        </w:rPr>
        <w:t xml:space="preserve"> data of the vendor and NHMFL. Whereas this was explained by the fact that the vendor uses a different definition of </w:t>
      </w:r>
      <w:r w:rsidRPr="00266875">
        <w:rPr>
          <w:i/>
          <w:sz w:val="24"/>
          <w:szCs w:val="24"/>
        </w:rPr>
        <w:t>RRR</w:t>
      </w:r>
      <w:r w:rsidRPr="00266875">
        <w:rPr>
          <w:sz w:val="24"/>
          <w:szCs w:val="24"/>
        </w:rPr>
        <w:t xml:space="preserve"> that yields more conservative values, it was noted that discrepancies as high as 15 % do exist even when the same definition was used. Furthermore, </w:t>
      </w:r>
      <w:r w:rsidRPr="00266875">
        <w:rPr>
          <w:i/>
          <w:sz w:val="24"/>
          <w:szCs w:val="24"/>
        </w:rPr>
        <w:t>RRR</w:t>
      </w:r>
      <w:r w:rsidRPr="00266875">
        <w:rPr>
          <w:sz w:val="24"/>
          <w:szCs w:val="24"/>
        </w:rPr>
        <w:t xml:space="preserve"> values of NHMFL for samples reacted at 665 </w:t>
      </w:r>
      <w:r w:rsidRPr="00266875">
        <w:rPr>
          <w:sz w:val="24"/>
          <w:szCs w:val="24"/>
          <w:vertAlign w:val="superscript"/>
        </w:rPr>
        <w:t>0</w:t>
      </w:r>
      <w:r w:rsidRPr="00266875">
        <w:rPr>
          <w:sz w:val="24"/>
          <w:szCs w:val="24"/>
        </w:rPr>
        <w:t xml:space="preserve">C/75h are higher than those of the supplier for samples reacted at 665 </w:t>
      </w:r>
      <w:r w:rsidRPr="00266875">
        <w:rPr>
          <w:sz w:val="24"/>
          <w:szCs w:val="24"/>
          <w:vertAlign w:val="superscript"/>
        </w:rPr>
        <w:t>0</w:t>
      </w:r>
      <w:r w:rsidRPr="00266875">
        <w:rPr>
          <w:sz w:val="24"/>
          <w:szCs w:val="24"/>
        </w:rPr>
        <w:t>C/50h. This means that NHMFL data for the latter heat-treatment schedule would be even higher and discrepancies would be more than 15 %.</w:t>
      </w:r>
    </w:p>
    <w:p w14:paraId="53F30142" w14:textId="77777777" w:rsidR="00E31D4B" w:rsidRPr="00266875" w:rsidRDefault="00E31D4B" w:rsidP="00E31D4B">
      <w:pPr>
        <w:rPr>
          <w:sz w:val="24"/>
          <w:szCs w:val="24"/>
        </w:rPr>
      </w:pPr>
    </w:p>
    <w:p w14:paraId="202EE95B" w14:textId="1B54B2B7" w:rsidR="00E31D4B" w:rsidRPr="00266875" w:rsidRDefault="00266875" w:rsidP="00E31D4B">
      <w:pPr>
        <w:rPr>
          <w:sz w:val="24"/>
          <w:szCs w:val="24"/>
        </w:rPr>
      </w:pPr>
      <w:r w:rsidRPr="00266875">
        <w:rPr>
          <w:sz w:val="24"/>
          <w:szCs w:val="24"/>
        </w:rPr>
        <w:t>Though not a recommendation, the Committee urges closer examination o</w:t>
      </w:r>
      <w:r w:rsidR="009D12B7">
        <w:rPr>
          <w:sz w:val="24"/>
          <w:szCs w:val="24"/>
        </w:rPr>
        <w:t xml:space="preserve">f experimental set-ups used in </w:t>
      </w:r>
      <w:r w:rsidRPr="00266875">
        <w:rPr>
          <w:sz w:val="24"/>
          <w:szCs w:val="24"/>
        </w:rPr>
        <w:t>benchmarking</w:t>
      </w:r>
      <w:r w:rsidR="00E31D4B" w:rsidRPr="00266875">
        <w:rPr>
          <w:sz w:val="24"/>
          <w:szCs w:val="24"/>
        </w:rPr>
        <w:t xml:space="preserve"> the </w:t>
      </w:r>
      <w:r w:rsidR="00E31D4B" w:rsidRPr="00266875">
        <w:rPr>
          <w:i/>
          <w:sz w:val="24"/>
          <w:szCs w:val="24"/>
        </w:rPr>
        <w:t>RRR</w:t>
      </w:r>
      <w:r w:rsidR="00E31D4B" w:rsidRPr="00266875">
        <w:rPr>
          <w:sz w:val="24"/>
          <w:szCs w:val="24"/>
        </w:rPr>
        <w:t xml:space="preserve"> </w:t>
      </w:r>
      <w:r w:rsidRPr="00266875">
        <w:rPr>
          <w:sz w:val="24"/>
          <w:szCs w:val="24"/>
        </w:rPr>
        <w:t xml:space="preserve">measurements and implement corrective measures </w:t>
      </w:r>
      <w:r w:rsidR="00E31D4B" w:rsidRPr="00266875">
        <w:rPr>
          <w:sz w:val="24"/>
          <w:szCs w:val="24"/>
        </w:rPr>
        <w:t xml:space="preserve">to reduce discrepancies. For example, the use of a well-characterized </w:t>
      </w:r>
      <w:proofErr w:type="spellStart"/>
      <w:r w:rsidR="00E31D4B" w:rsidRPr="00266875">
        <w:rPr>
          <w:sz w:val="24"/>
          <w:szCs w:val="24"/>
        </w:rPr>
        <w:t>Nb-Ti</w:t>
      </w:r>
      <w:proofErr w:type="spellEnd"/>
      <w:r w:rsidR="00E31D4B" w:rsidRPr="00266875">
        <w:rPr>
          <w:sz w:val="24"/>
          <w:szCs w:val="24"/>
        </w:rPr>
        <w:t xml:space="preserve"> conductor (SRM?) for </w:t>
      </w:r>
      <w:r w:rsidR="00E31D4B" w:rsidRPr="00266875">
        <w:rPr>
          <w:i/>
          <w:sz w:val="24"/>
          <w:szCs w:val="24"/>
        </w:rPr>
        <w:t>RRR</w:t>
      </w:r>
      <w:r w:rsidR="00E31D4B" w:rsidRPr="00266875">
        <w:rPr>
          <w:sz w:val="24"/>
          <w:szCs w:val="24"/>
        </w:rPr>
        <w:t xml:space="preserve"> benchmarking may be useful to eliminate factors arising from the heat-treatment of Nb</w:t>
      </w:r>
      <w:r w:rsidR="00E31D4B" w:rsidRPr="00266875">
        <w:rPr>
          <w:sz w:val="24"/>
          <w:szCs w:val="24"/>
          <w:vertAlign w:val="subscript"/>
        </w:rPr>
        <w:t>3</w:t>
      </w:r>
      <w:r w:rsidR="00E31D4B" w:rsidRPr="00266875">
        <w:rPr>
          <w:sz w:val="24"/>
          <w:szCs w:val="24"/>
        </w:rPr>
        <w:t>Sn wires, and ultimately help pin down the origins of data discrepancies.</w:t>
      </w:r>
    </w:p>
    <w:p w14:paraId="520BE2CD" w14:textId="77777777" w:rsidR="00266875" w:rsidRPr="00266875" w:rsidRDefault="00266875" w:rsidP="00E31D4B">
      <w:pPr>
        <w:rPr>
          <w:sz w:val="24"/>
          <w:szCs w:val="24"/>
        </w:rPr>
      </w:pPr>
    </w:p>
    <w:p w14:paraId="42BB1E4D" w14:textId="553510FA" w:rsidR="00E31D4B" w:rsidRPr="00266875" w:rsidRDefault="00266875" w:rsidP="00E31D4B">
      <w:pPr>
        <w:rPr>
          <w:sz w:val="24"/>
          <w:szCs w:val="24"/>
        </w:rPr>
      </w:pPr>
      <w:r w:rsidRPr="00266875">
        <w:rPr>
          <w:sz w:val="24"/>
          <w:szCs w:val="24"/>
        </w:rPr>
        <w:t>Finally</w:t>
      </w:r>
      <w:r w:rsidR="00E31D4B" w:rsidRPr="00266875">
        <w:rPr>
          <w:sz w:val="24"/>
          <w:szCs w:val="24"/>
        </w:rPr>
        <w:t xml:space="preserve">, benchmarking experiments (for both </w:t>
      </w:r>
      <w:proofErr w:type="spellStart"/>
      <w:r w:rsidR="00E31D4B" w:rsidRPr="00266875">
        <w:rPr>
          <w:i/>
          <w:sz w:val="24"/>
          <w:szCs w:val="24"/>
        </w:rPr>
        <w:t>I</w:t>
      </w:r>
      <w:r w:rsidR="00E31D4B" w:rsidRPr="00266875">
        <w:rPr>
          <w:sz w:val="24"/>
          <w:szCs w:val="24"/>
          <w:vertAlign w:val="subscript"/>
        </w:rPr>
        <w:t>c</w:t>
      </w:r>
      <w:proofErr w:type="spellEnd"/>
      <w:r w:rsidR="00E31D4B" w:rsidRPr="00266875">
        <w:rPr>
          <w:sz w:val="24"/>
          <w:szCs w:val="24"/>
        </w:rPr>
        <w:t xml:space="preserve"> and </w:t>
      </w:r>
      <w:r w:rsidR="00E31D4B" w:rsidRPr="00266875">
        <w:rPr>
          <w:i/>
          <w:sz w:val="24"/>
          <w:szCs w:val="24"/>
        </w:rPr>
        <w:t>RRR</w:t>
      </w:r>
      <w:r w:rsidR="00E31D4B" w:rsidRPr="00266875">
        <w:rPr>
          <w:sz w:val="24"/>
          <w:szCs w:val="24"/>
        </w:rPr>
        <w:t xml:space="preserve"> measurements) should be done in the </w:t>
      </w:r>
      <w:r w:rsidR="009D12B7">
        <w:rPr>
          <w:sz w:val="24"/>
          <w:szCs w:val="24"/>
        </w:rPr>
        <w:t>test facilities</w:t>
      </w:r>
      <w:r w:rsidR="00E31D4B" w:rsidRPr="00266875">
        <w:rPr>
          <w:sz w:val="24"/>
          <w:szCs w:val="24"/>
        </w:rPr>
        <w:t xml:space="preserve"> normally used in the labs involved as well, </w:t>
      </w:r>
      <w:r w:rsidR="009D12B7">
        <w:rPr>
          <w:sz w:val="24"/>
          <w:szCs w:val="24"/>
        </w:rPr>
        <w:t xml:space="preserve">to provide back up in the future </w:t>
      </w:r>
      <w:r w:rsidR="00E31D4B" w:rsidRPr="00266875">
        <w:rPr>
          <w:sz w:val="24"/>
          <w:szCs w:val="24"/>
        </w:rPr>
        <w:t>if the need arises.</w:t>
      </w:r>
    </w:p>
    <w:p w14:paraId="21003646" w14:textId="77777777" w:rsidR="00E31D4B" w:rsidRPr="00E31D4B" w:rsidRDefault="00E31D4B" w:rsidP="00E31D4B"/>
    <w:p w14:paraId="78209C37" w14:textId="42A1CBF9" w:rsidR="00E511EE" w:rsidRPr="00EC09A5" w:rsidRDefault="00E511EE" w:rsidP="00EC09A5">
      <w:pPr>
        <w:pStyle w:val="Level1"/>
        <w:rPr>
          <w:rFonts w:ascii="Times New Roman" w:hAnsi="Times New Roman" w:cs="Times New Roman"/>
          <w:sz w:val="28"/>
          <w:szCs w:val="28"/>
        </w:rPr>
      </w:pPr>
      <w:r w:rsidRPr="00EC09A5">
        <w:rPr>
          <w:rFonts w:ascii="Times New Roman" w:hAnsi="Times New Roman" w:cs="Times New Roman"/>
          <w:sz w:val="28"/>
          <w:szCs w:val="28"/>
        </w:rPr>
        <w:t>Recommendation</w:t>
      </w:r>
      <w:bookmarkEnd w:id="6"/>
      <w:r w:rsidR="00A85620">
        <w:rPr>
          <w:rFonts w:ascii="Times New Roman" w:hAnsi="Times New Roman" w:cs="Times New Roman"/>
          <w:sz w:val="28"/>
          <w:szCs w:val="28"/>
        </w:rPr>
        <w:t>s</w:t>
      </w:r>
    </w:p>
    <w:p w14:paraId="1C3A6266" w14:textId="77777777" w:rsidR="00E511EE" w:rsidRPr="00701CAD" w:rsidRDefault="00E511EE" w:rsidP="00E511EE">
      <w:pPr>
        <w:rPr>
          <w:rFonts w:cstheme="minorHAnsi"/>
          <w:color w:val="000000" w:themeColor="text1"/>
          <w:sz w:val="24"/>
          <w:szCs w:val="24"/>
        </w:rPr>
      </w:pPr>
    </w:p>
    <w:p w14:paraId="61F5B600" w14:textId="287A006E" w:rsidR="00E511EE" w:rsidRPr="00701CAD" w:rsidRDefault="00266875" w:rsidP="00E511EE">
      <w:pPr>
        <w:rPr>
          <w:sz w:val="24"/>
          <w:szCs w:val="24"/>
        </w:rPr>
      </w:pPr>
      <w:r>
        <w:rPr>
          <w:sz w:val="24"/>
          <w:szCs w:val="24"/>
        </w:rPr>
        <w:t>None</w:t>
      </w:r>
    </w:p>
    <w:p w14:paraId="7271A0E9" w14:textId="77777777" w:rsidR="00E511EE" w:rsidRPr="00701CAD" w:rsidRDefault="00E511EE" w:rsidP="005455C6">
      <w:pPr>
        <w:rPr>
          <w:sz w:val="24"/>
          <w:szCs w:val="24"/>
        </w:rPr>
      </w:pPr>
    </w:p>
    <w:p w14:paraId="20505441" w14:textId="7E1456D9" w:rsidR="00024CFA" w:rsidRPr="000B6E4D" w:rsidRDefault="00024CFA" w:rsidP="000B6E4D">
      <w:pPr>
        <w:spacing w:before="0" w:after="160" w:line="259" w:lineRule="auto"/>
        <w:rPr>
          <w:rFonts w:cstheme="minorHAnsi"/>
          <w:sz w:val="24"/>
          <w:szCs w:val="24"/>
        </w:rPr>
      </w:pPr>
    </w:p>
    <w:bookmarkEnd w:id="1"/>
    <w:p w14:paraId="44BD10BD" w14:textId="77777777" w:rsidR="00024CFA" w:rsidRDefault="00024CFA" w:rsidP="00952F16"/>
    <w:sectPr w:rsidR="00024CFA" w:rsidSect="004639BF">
      <w:headerReference w:type="default" r:id="rId8"/>
      <w:footerReference w:type="default" r:id="rId9"/>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DC6F" w14:textId="77777777" w:rsidR="00266875" w:rsidRDefault="00266875">
      <w:r>
        <w:separator/>
      </w:r>
    </w:p>
  </w:endnote>
  <w:endnote w:type="continuationSeparator" w:id="0">
    <w:p w14:paraId="475A4A8C" w14:textId="77777777" w:rsidR="00266875" w:rsidRDefault="0026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ermiLg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3C7E" w14:textId="77777777" w:rsidR="00266875" w:rsidRPr="001445A8" w:rsidRDefault="00266875"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2084" w14:textId="77777777" w:rsidR="00266875" w:rsidRDefault="00266875">
      <w:r>
        <w:separator/>
      </w:r>
    </w:p>
  </w:footnote>
  <w:footnote w:type="continuationSeparator" w:id="0">
    <w:p w14:paraId="14ED41F0" w14:textId="77777777" w:rsidR="00266875" w:rsidRDefault="00266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266875" w14:paraId="7FD9089C" w14:textId="77777777" w:rsidTr="00835972">
      <w:trPr>
        <w:trHeight w:val="980"/>
        <w:jc w:val="center"/>
      </w:trPr>
      <w:tc>
        <w:tcPr>
          <w:tcW w:w="1980" w:type="dxa"/>
          <w:vAlign w:val="center"/>
        </w:tcPr>
        <w:p w14:paraId="7CD82192" w14:textId="755CEB2A" w:rsidR="00266875" w:rsidRDefault="00266875"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5731598C" w14:textId="22DC34F6" w:rsidR="00266875" w:rsidRPr="00EE31F1" w:rsidRDefault="00266875" w:rsidP="00EE31F1">
          <w:pPr>
            <w:pStyle w:val="Default"/>
            <w:jc w:val="center"/>
          </w:pPr>
          <w:r w:rsidRPr="00CE101A">
            <w:rPr>
              <w:color w:val="000000" w:themeColor="text1"/>
              <w:sz w:val="32"/>
              <w:szCs w:val="32"/>
            </w:rPr>
            <w:t xml:space="preserve">Report of </w:t>
          </w:r>
          <w:r>
            <w:rPr>
              <w:color w:val="000000" w:themeColor="text1"/>
              <w:sz w:val="32"/>
              <w:szCs w:val="32"/>
            </w:rPr>
            <w:t>the</w:t>
          </w:r>
          <w:r>
            <w:t xml:space="preserve"> </w:t>
          </w:r>
          <w:r w:rsidRPr="00EE31F1">
            <w:rPr>
              <w:bCs/>
              <w:sz w:val="32"/>
              <w:szCs w:val="32"/>
            </w:rPr>
            <w:t>Production Readiness Review of the HL-LHC AUP MQXF Strand Procurement</w:t>
          </w:r>
        </w:p>
      </w:tc>
      <w:tc>
        <w:tcPr>
          <w:tcW w:w="2137" w:type="dxa"/>
          <w:vAlign w:val="center"/>
        </w:tcPr>
        <w:p w14:paraId="1B453D1B" w14:textId="4CCBD8EB" w:rsidR="00266875" w:rsidRDefault="00266875">
          <w:pPr>
            <w:pStyle w:val="Header"/>
            <w:tabs>
              <w:tab w:val="clear" w:pos="8640"/>
              <w:tab w:val="right" w:pos="9963"/>
            </w:tabs>
            <w:ind w:right="-108"/>
            <w:rPr>
              <w:rFonts w:ascii="Arial" w:hAnsi="Arial" w:cs="Arial"/>
              <w:b/>
              <w:color w:val="FF0000"/>
            </w:rPr>
          </w:pPr>
          <w:r w:rsidRPr="001445A8">
            <w:rPr>
              <w:rFonts w:ascii="Arial" w:hAnsi="Arial" w:cs="Arial"/>
              <w:b/>
            </w:rPr>
            <w:t>US-HiLumi-doc-</w:t>
          </w:r>
          <w:r w:rsidR="000B6E4D">
            <w:rPr>
              <w:rFonts w:ascii="Arial" w:hAnsi="Arial" w:cs="Arial"/>
              <w:b/>
            </w:rPr>
            <w:t>3749</w:t>
          </w:r>
        </w:p>
        <w:p w14:paraId="34CC4602" w14:textId="1BA678EB" w:rsidR="00266875" w:rsidRPr="000C5708" w:rsidRDefault="00266875">
          <w:pPr>
            <w:pStyle w:val="Header"/>
            <w:tabs>
              <w:tab w:val="clear" w:pos="8640"/>
              <w:tab w:val="right" w:pos="9963"/>
            </w:tabs>
            <w:ind w:right="-108"/>
            <w:rPr>
              <w:rFonts w:ascii="Arial" w:hAnsi="Arial" w:cs="Arial"/>
              <w:b/>
            </w:rPr>
          </w:pPr>
          <w:r w:rsidRPr="000C5708">
            <w:rPr>
              <w:rFonts w:ascii="Arial" w:hAnsi="Arial" w:cs="Arial"/>
              <w:b/>
            </w:rPr>
            <w:t>Other:</w:t>
          </w:r>
        </w:p>
        <w:p w14:paraId="3A48DFDC" w14:textId="18C0D31D" w:rsidR="00266875" w:rsidRPr="001445A8" w:rsidRDefault="00266875">
          <w:pPr>
            <w:pStyle w:val="Header"/>
            <w:tabs>
              <w:tab w:val="clear" w:pos="8640"/>
              <w:tab w:val="right" w:pos="9963"/>
            </w:tabs>
            <w:ind w:right="-108"/>
            <w:rPr>
              <w:rFonts w:ascii="Arial" w:hAnsi="Arial" w:cs="Arial"/>
              <w:b/>
            </w:rPr>
          </w:pPr>
          <w:r w:rsidRPr="001445A8">
            <w:rPr>
              <w:rFonts w:ascii="Arial" w:hAnsi="Arial" w:cs="Arial"/>
              <w:b/>
            </w:rPr>
            <w:t xml:space="preserve">Date: </w:t>
          </w:r>
          <w:r>
            <w:rPr>
              <w:rFonts w:ascii="Arial" w:hAnsi="Arial" w:cs="Arial"/>
              <w:b/>
            </w:rPr>
            <w:t>08/22/2019</w:t>
          </w:r>
        </w:p>
        <w:p w14:paraId="7BB59318" w14:textId="59464E9A" w:rsidR="00266875" w:rsidRDefault="00266875">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5F65B7">
            <w:rPr>
              <w:rStyle w:val="PageNumber"/>
              <w:rFonts w:ascii="Arial" w:hAnsi="Arial" w:cs="Arial"/>
              <w:noProof/>
            </w:rPr>
            <w:t>5</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5F65B7">
            <w:rPr>
              <w:rStyle w:val="PageNumber"/>
              <w:rFonts w:ascii="Arial" w:hAnsi="Arial" w:cs="Arial"/>
              <w:noProof/>
            </w:rPr>
            <w:t>6</w:t>
          </w:r>
          <w:r w:rsidRPr="001445A8">
            <w:rPr>
              <w:rStyle w:val="PageNumber"/>
              <w:rFonts w:ascii="Arial" w:hAnsi="Arial" w:cs="Arial"/>
            </w:rPr>
            <w:fldChar w:fldCharType="end"/>
          </w:r>
        </w:p>
      </w:tc>
    </w:tr>
  </w:tbl>
  <w:p w14:paraId="442C437B" w14:textId="3CFF4870" w:rsidR="00266875" w:rsidRDefault="00266875">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555D97"/>
    <w:multiLevelType w:val="hybridMultilevel"/>
    <w:tmpl w:val="AA54C788"/>
    <w:lvl w:ilvl="0" w:tplc="18DC25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9F02F9"/>
    <w:multiLevelType w:val="hybridMultilevel"/>
    <w:tmpl w:val="673E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29E20AA"/>
    <w:multiLevelType w:val="hybridMultilevel"/>
    <w:tmpl w:val="B23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6E1560"/>
    <w:multiLevelType w:val="hybridMultilevel"/>
    <w:tmpl w:val="C5C6B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643F8"/>
    <w:multiLevelType w:val="hybridMultilevel"/>
    <w:tmpl w:val="9CD0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5E12EC"/>
    <w:multiLevelType w:val="multilevel"/>
    <w:tmpl w:val="34C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6"/>
  </w:num>
  <w:num w:numId="3">
    <w:abstractNumId w:val="23"/>
  </w:num>
  <w:num w:numId="4">
    <w:abstractNumId w:val="11"/>
  </w:num>
  <w:num w:numId="5">
    <w:abstractNumId w:val="21"/>
  </w:num>
  <w:num w:numId="6">
    <w:abstractNumId w:val="29"/>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17"/>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6"/>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4"/>
  </w:num>
  <w:num w:numId="40">
    <w:abstractNumId w:val="28"/>
  </w:num>
  <w:num w:numId="41">
    <w:abstractNumId w:val="22"/>
  </w:num>
  <w:num w:numId="42">
    <w:abstractNumId w:val="27"/>
  </w:num>
  <w:num w:numId="43">
    <w:abstractNumId w:val="18"/>
  </w:num>
  <w:num w:numId="44">
    <w:abstractNumId w:val="24"/>
  </w:num>
  <w:num w:numId="4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A8"/>
    <w:rsid w:val="0000656C"/>
    <w:rsid w:val="00006E98"/>
    <w:rsid w:val="00007458"/>
    <w:rsid w:val="00010588"/>
    <w:rsid w:val="0001179C"/>
    <w:rsid w:val="000229AF"/>
    <w:rsid w:val="00024CFA"/>
    <w:rsid w:val="00025FB7"/>
    <w:rsid w:val="00036A00"/>
    <w:rsid w:val="00040AAE"/>
    <w:rsid w:val="00050BBA"/>
    <w:rsid w:val="0005160F"/>
    <w:rsid w:val="000522AD"/>
    <w:rsid w:val="0005741F"/>
    <w:rsid w:val="000616A9"/>
    <w:rsid w:val="000717F0"/>
    <w:rsid w:val="00075204"/>
    <w:rsid w:val="00081960"/>
    <w:rsid w:val="0008474B"/>
    <w:rsid w:val="00094F2C"/>
    <w:rsid w:val="000B6E4D"/>
    <w:rsid w:val="000C2D36"/>
    <w:rsid w:val="000C3FAF"/>
    <w:rsid w:val="000C5708"/>
    <w:rsid w:val="000C738E"/>
    <w:rsid w:val="000D04F3"/>
    <w:rsid w:val="000D0B2F"/>
    <w:rsid w:val="000E05E5"/>
    <w:rsid w:val="000E0EF6"/>
    <w:rsid w:val="000E42CD"/>
    <w:rsid w:val="000F4A53"/>
    <w:rsid w:val="000F65EA"/>
    <w:rsid w:val="0011033A"/>
    <w:rsid w:val="001108B3"/>
    <w:rsid w:val="0011496C"/>
    <w:rsid w:val="001166E2"/>
    <w:rsid w:val="00132C16"/>
    <w:rsid w:val="001445A8"/>
    <w:rsid w:val="001449EA"/>
    <w:rsid w:val="00145FDC"/>
    <w:rsid w:val="001516CE"/>
    <w:rsid w:val="0015680E"/>
    <w:rsid w:val="00161E53"/>
    <w:rsid w:val="00172235"/>
    <w:rsid w:val="0017415F"/>
    <w:rsid w:val="00177A5C"/>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4356"/>
    <w:rsid w:val="00225F37"/>
    <w:rsid w:val="00226EBA"/>
    <w:rsid w:val="00231676"/>
    <w:rsid w:val="00232C83"/>
    <w:rsid w:val="0024571A"/>
    <w:rsid w:val="002458C2"/>
    <w:rsid w:val="002462A7"/>
    <w:rsid w:val="0025122D"/>
    <w:rsid w:val="00251505"/>
    <w:rsid w:val="002543A4"/>
    <w:rsid w:val="00254F4C"/>
    <w:rsid w:val="0026364A"/>
    <w:rsid w:val="00266875"/>
    <w:rsid w:val="0027447B"/>
    <w:rsid w:val="002777C3"/>
    <w:rsid w:val="00282013"/>
    <w:rsid w:val="002852F8"/>
    <w:rsid w:val="00287DB3"/>
    <w:rsid w:val="002906D0"/>
    <w:rsid w:val="002A7E94"/>
    <w:rsid w:val="002B4C51"/>
    <w:rsid w:val="002B696A"/>
    <w:rsid w:val="002C3550"/>
    <w:rsid w:val="002D6DDE"/>
    <w:rsid w:val="002E3D23"/>
    <w:rsid w:val="002F3B85"/>
    <w:rsid w:val="002F5D37"/>
    <w:rsid w:val="002F6063"/>
    <w:rsid w:val="00305C81"/>
    <w:rsid w:val="00314170"/>
    <w:rsid w:val="003163A8"/>
    <w:rsid w:val="00335B9C"/>
    <w:rsid w:val="00336CD5"/>
    <w:rsid w:val="00340F9B"/>
    <w:rsid w:val="00342895"/>
    <w:rsid w:val="00346CDF"/>
    <w:rsid w:val="00347730"/>
    <w:rsid w:val="00365AE3"/>
    <w:rsid w:val="0037089E"/>
    <w:rsid w:val="003817A4"/>
    <w:rsid w:val="00381D07"/>
    <w:rsid w:val="00382BD8"/>
    <w:rsid w:val="003832AA"/>
    <w:rsid w:val="003947E5"/>
    <w:rsid w:val="00394A03"/>
    <w:rsid w:val="00396524"/>
    <w:rsid w:val="003B176F"/>
    <w:rsid w:val="003C5E11"/>
    <w:rsid w:val="003D4A18"/>
    <w:rsid w:val="003E1D0E"/>
    <w:rsid w:val="003E4F24"/>
    <w:rsid w:val="003E5A2B"/>
    <w:rsid w:val="003E70C1"/>
    <w:rsid w:val="003F562C"/>
    <w:rsid w:val="00403434"/>
    <w:rsid w:val="004050DB"/>
    <w:rsid w:val="004063E5"/>
    <w:rsid w:val="00412271"/>
    <w:rsid w:val="0041428E"/>
    <w:rsid w:val="004148DA"/>
    <w:rsid w:val="004155FC"/>
    <w:rsid w:val="00417A06"/>
    <w:rsid w:val="0042392D"/>
    <w:rsid w:val="00432078"/>
    <w:rsid w:val="0044091B"/>
    <w:rsid w:val="00462604"/>
    <w:rsid w:val="00462DA3"/>
    <w:rsid w:val="004639BF"/>
    <w:rsid w:val="004677E5"/>
    <w:rsid w:val="004746B2"/>
    <w:rsid w:val="00491481"/>
    <w:rsid w:val="00497A9A"/>
    <w:rsid w:val="004A0256"/>
    <w:rsid w:val="004A04A9"/>
    <w:rsid w:val="004A189D"/>
    <w:rsid w:val="004A5FC2"/>
    <w:rsid w:val="004B3D68"/>
    <w:rsid w:val="004C3007"/>
    <w:rsid w:val="004D3FF3"/>
    <w:rsid w:val="004D5B12"/>
    <w:rsid w:val="004D6A1C"/>
    <w:rsid w:val="004F7184"/>
    <w:rsid w:val="005021DB"/>
    <w:rsid w:val="005110A0"/>
    <w:rsid w:val="00515BAB"/>
    <w:rsid w:val="00520BC9"/>
    <w:rsid w:val="00522D4F"/>
    <w:rsid w:val="00522FC7"/>
    <w:rsid w:val="00530034"/>
    <w:rsid w:val="005313B3"/>
    <w:rsid w:val="0054134B"/>
    <w:rsid w:val="005443B7"/>
    <w:rsid w:val="005455C6"/>
    <w:rsid w:val="005540B3"/>
    <w:rsid w:val="00555981"/>
    <w:rsid w:val="00556DFC"/>
    <w:rsid w:val="0056275C"/>
    <w:rsid w:val="00562E38"/>
    <w:rsid w:val="00563B1F"/>
    <w:rsid w:val="00563DE3"/>
    <w:rsid w:val="0056506A"/>
    <w:rsid w:val="00580CEB"/>
    <w:rsid w:val="00597C63"/>
    <w:rsid w:val="005A06A4"/>
    <w:rsid w:val="005A23D3"/>
    <w:rsid w:val="005A26E9"/>
    <w:rsid w:val="005A62C2"/>
    <w:rsid w:val="005A711C"/>
    <w:rsid w:val="005B332C"/>
    <w:rsid w:val="005B36D6"/>
    <w:rsid w:val="005C09DD"/>
    <w:rsid w:val="005C2680"/>
    <w:rsid w:val="005C641C"/>
    <w:rsid w:val="005D0CB3"/>
    <w:rsid w:val="005D1D5A"/>
    <w:rsid w:val="005D6618"/>
    <w:rsid w:val="005D7ECA"/>
    <w:rsid w:val="005E0B26"/>
    <w:rsid w:val="005E17CB"/>
    <w:rsid w:val="005F5AE7"/>
    <w:rsid w:val="005F65B7"/>
    <w:rsid w:val="00604871"/>
    <w:rsid w:val="00605D19"/>
    <w:rsid w:val="00621753"/>
    <w:rsid w:val="0062640E"/>
    <w:rsid w:val="00627237"/>
    <w:rsid w:val="00632576"/>
    <w:rsid w:val="00645943"/>
    <w:rsid w:val="0065287A"/>
    <w:rsid w:val="00655CE6"/>
    <w:rsid w:val="0066637E"/>
    <w:rsid w:val="006673FB"/>
    <w:rsid w:val="00667EBD"/>
    <w:rsid w:val="00671B75"/>
    <w:rsid w:val="006727C2"/>
    <w:rsid w:val="006738B4"/>
    <w:rsid w:val="0067547F"/>
    <w:rsid w:val="00682BDA"/>
    <w:rsid w:val="006879A1"/>
    <w:rsid w:val="006974A3"/>
    <w:rsid w:val="006A3832"/>
    <w:rsid w:val="006A595F"/>
    <w:rsid w:val="006B0616"/>
    <w:rsid w:val="006B2544"/>
    <w:rsid w:val="006B4D8C"/>
    <w:rsid w:val="006C7ACD"/>
    <w:rsid w:val="006D3727"/>
    <w:rsid w:val="006E4C55"/>
    <w:rsid w:val="006E6673"/>
    <w:rsid w:val="00700022"/>
    <w:rsid w:val="007013C9"/>
    <w:rsid w:val="00701CAD"/>
    <w:rsid w:val="00705757"/>
    <w:rsid w:val="0071490D"/>
    <w:rsid w:val="00717B93"/>
    <w:rsid w:val="007225FD"/>
    <w:rsid w:val="0073533C"/>
    <w:rsid w:val="0075425C"/>
    <w:rsid w:val="00754E79"/>
    <w:rsid w:val="00755AB7"/>
    <w:rsid w:val="00756F81"/>
    <w:rsid w:val="0075715C"/>
    <w:rsid w:val="007672D3"/>
    <w:rsid w:val="007741B2"/>
    <w:rsid w:val="00784FF8"/>
    <w:rsid w:val="00793D1D"/>
    <w:rsid w:val="007B0180"/>
    <w:rsid w:val="007B3D99"/>
    <w:rsid w:val="007B4150"/>
    <w:rsid w:val="007C6A88"/>
    <w:rsid w:val="007D17F3"/>
    <w:rsid w:val="007D4B31"/>
    <w:rsid w:val="007D678C"/>
    <w:rsid w:val="007E0E56"/>
    <w:rsid w:val="007F234A"/>
    <w:rsid w:val="007F4EC9"/>
    <w:rsid w:val="008000CB"/>
    <w:rsid w:val="00813C43"/>
    <w:rsid w:val="008205BF"/>
    <w:rsid w:val="008226D0"/>
    <w:rsid w:val="00833344"/>
    <w:rsid w:val="00835972"/>
    <w:rsid w:val="00840AD7"/>
    <w:rsid w:val="00843729"/>
    <w:rsid w:val="00855B51"/>
    <w:rsid w:val="00860725"/>
    <w:rsid w:val="00867D87"/>
    <w:rsid w:val="008806DE"/>
    <w:rsid w:val="00882173"/>
    <w:rsid w:val="008A0A7D"/>
    <w:rsid w:val="008C6402"/>
    <w:rsid w:val="008D058D"/>
    <w:rsid w:val="008D2EEE"/>
    <w:rsid w:val="008D43A8"/>
    <w:rsid w:val="008D62FA"/>
    <w:rsid w:val="008D73D7"/>
    <w:rsid w:val="008E0462"/>
    <w:rsid w:val="008E42FD"/>
    <w:rsid w:val="008F418A"/>
    <w:rsid w:val="00901C6B"/>
    <w:rsid w:val="009150C3"/>
    <w:rsid w:val="00915972"/>
    <w:rsid w:val="00920567"/>
    <w:rsid w:val="00931EC6"/>
    <w:rsid w:val="00933B36"/>
    <w:rsid w:val="00942AA8"/>
    <w:rsid w:val="00945846"/>
    <w:rsid w:val="00947F61"/>
    <w:rsid w:val="00952F16"/>
    <w:rsid w:val="00954D89"/>
    <w:rsid w:val="00962822"/>
    <w:rsid w:val="00963C6F"/>
    <w:rsid w:val="00981DCB"/>
    <w:rsid w:val="00987CDC"/>
    <w:rsid w:val="00993ACB"/>
    <w:rsid w:val="0099578F"/>
    <w:rsid w:val="009A1172"/>
    <w:rsid w:val="009A1273"/>
    <w:rsid w:val="009A188A"/>
    <w:rsid w:val="009B0ED2"/>
    <w:rsid w:val="009B4C8F"/>
    <w:rsid w:val="009C0917"/>
    <w:rsid w:val="009C5716"/>
    <w:rsid w:val="009C6C08"/>
    <w:rsid w:val="009D12B7"/>
    <w:rsid w:val="009D4045"/>
    <w:rsid w:val="009E4997"/>
    <w:rsid w:val="009F1BA8"/>
    <w:rsid w:val="009F7AD4"/>
    <w:rsid w:val="00A03559"/>
    <w:rsid w:val="00A112EC"/>
    <w:rsid w:val="00A20F0C"/>
    <w:rsid w:val="00A33138"/>
    <w:rsid w:val="00A33CDB"/>
    <w:rsid w:val="00A41F89"/>
    <w:rsid w:val="00A4347E"/>
    <w:rsid w:val="00A5157C"/>
    <w:rsid w:val="00A53E55"/>
    <w:rsid w:val="00A54607"/>
    <w:rsid w:val="00A57ED8"/>
    <w:rsid w:val="00A64AB2"/>
    <w:rsid w:val="00A848D7"/>
    <w:rsid w:val="00A85620"/>
    <w:rsid w:val="00A87744"/>
    <w:rsid w:val="00A91127"/>
    <w:rsid w:val="00A92CD0"/>
    <w:rsid w:val="00A94786"/>
    <w:rsid w:val="00A94CC2"/>
    <w:rsid w:val="00AA7D52"/>
    <w:rsid w:val="00AA7D5B"/>
    <w:rsid w:val="00AB6912"/>
    <w:rsid w:val="00AC6302"/>
    <w:rsid w:val="00AD4510"/>
    <w:rsid w:val="00AE0918"/>
    <w:rsid w:val="00AE4581"/>
    <w:rsid w:val="00AF09BF"/>
    <w:rsid w:val="00B0004B"/>
    <w:rsid w:val="00B01E5C"/>
    <w:rsid w:val="00B02C56"/>
    <w:rsid w:val="00B02C5C"/>
    <w:rsid w:val="00B11FCE"/>
    <w:rsid w:val="00B13E73"/>
    <w:rsid w:val="00B26790"/>
    <w:rsid w:val="00B32058"/>
    <w:rsid w:val="00B3470A"/>
    <w:rsid w:val="00B35D2C"/>
    <w:rsid w:val="00B36B36"/>
    <w:rsid w:val="00B46671"/>
    <w:rsid w:val="00B54464"/>
    <w:rsid w:val="00B5467E"/>
    <w:rsid w:val="00B675E2"/>
    <w:rsid w:val="00B67B15"/>
    <w:rsid w:val="00B67D71"/>
    <w:rsid w:val="00B71E49"/>
    <w:rsid w:val="00B93272"/>
    <w:rsid w:val="00B97FE8"/>
    <w:rsid w:val="00BA5AFB"/>
    <w:rsid w:val="00BA6F3D"/>
    <w:rsid w:val="00BB0804"/>
    <w:rsid w:val="00BB13FB"/>
    <w:rsid w:val="00BB38D6"/>
    <w:rsid w:val="00BC171E"/>
    <w:rsid w:val="00BC54A7"/>
    <w:rsid w:val="00BD4254"/>
    <w:rsid w:val="00BE69E9"/>
    <w:rsid w:val="00BF2256"/>
    <w:rsid w:val="00BF34B3"/>
    <w:rsid w:val="00BF4E42"/>
    <w:rsid w:val="00BF6102"/>
    <w:rsid w:val="00BF6A34"/>
    <w:rsid w:val="00BF6D00"/>
    <w:rsid w:val="00BF7904"/>
    <w:rsid w:val="00C067C8"/>
    <w:rsid w:val="00C1170A"/>
    <w:rsid w:val="00C15756"/>
    <w:rsid w:val="00C16671"/>
    <w:rsid w:val="00C17EBE"/>
    <w:rsid w:val="00C314C2"/>
    <w:rsid w:val="00C31858"/>
    <w:rsid w:val="00C56AE6"/>
    <w:rsid w:val="00C66EC8"/>
    <w:rsid w:val="00C74766"/>
    <w:rsid w:val="00C82154"/>
    <w:rsid w:val="00C9287A"/>
    <w:rsid w:val="00C9425B"/>
    <w:rsid w:val="00C96517"/>
    <w:rsid w:val="00CB03D2"/>
    <w:rsid w:val="00CC2B7A"/>
    <w:rsid w:val="00CC320E"/>
    <w:rsid w:val="00CD01ED"/>
    <w:rsid w:val="00CD137C"/>
    <w:rsid w:val="00CD3B1F"/>
    <w:rsid w:val="00CE101A"/>
    <w:rsid w:val="00CF31FA"/>
    <w:rsid w:val="00CF7A8B"/>
    <w:rsid w:val="00D07D5F"/>
    <w:rsid w:val="00D10906"/>
    <w:rsid w:val="00D272ED"/>
    <w:rsid w:val="00D3041A"/>
    <w:rsid w:val="00D40871"/>
    <w:rsid w:val="00D4540E"/>
    <w:rsid w:val="00D45831"/>
    <w:rsid w:val="00D502FC"/>
    <w:rsid w:val="00D53EBC"/>
    <w:rsid w:val="00D6081D"/>
    <w:rsid w:val="00D63E4E"/>
    <w:rsid w:val="00D73A79"/>
    <w:rsid w:val="00D76D24"/>
    <w:rsid w:val="00D869BC"/>
    <w:rsid w:val="00D90D87"/>
    <w:rsid w:val="00D95672"/>
    <w:rsid w:val="00DB6283"/>
    <w:rsid w:val="00DB649B"/>
    <w:rsid w:val="00DC551C"/>
    <w:rsid w:val="00DD6157"/>
    <w:rsid w:val="00DD67F7"/>
    <w:rsid w:val="00DF3B0E"/>
    <w:rsid w:val="00E0281A"/>
    <w:rsid w:val="00E03731"/>
    <w:rsid w:val="00E107E1"/>
    <w:rsid w:val="00E11C45"/>
    <w:rsid w:val="00E16101"/>
    <w:rsid w:val="00E17DD1"/>
    <w:rsid w:val="00E20278"/>
    <w:rsid w:val="00E2605A"/>
    <w:rsid w:val="00E30FE3"/>
    <w:rsid w:val="00E31D4B"/>
    <w:rsid w:val="00E358D1"/>
    <w:rsid w:val="00E35ABA"/>
    <w:rsid w:val="00E36696"/>
    <w:rsid w:val="00E41634"/>
    <w:rsid w:val="00E45839"/>
    <w:rsid w:val="00E511EE"/>
    <w:rsid w:val="00E5424F"/>
    <w:rsid w:val="00E61F9D"/>
    <w:rsid w:val="00E65F7E"/>
    <w:rsid w:val="00E77773"/>
    <w:rsid w:val="00E84BB1"/>
    <w:rsid w:val="00E86E13"/>
    <w:rsid w:val="00E873E3"/>
    <w:rsid w:val="00E879CD"/>
    <w:rsid w:val="00E976C3"/>
    <w:rsid w:val="00EA4DF5"/>
    <w:rsid w:val="00EB1068"/>
    <w:rsid w:val="00EB1D0A"/>
    <w:rsid w:val="00EB31A6"/>
    <w:rsid w:val="00EB4D3A"/>
    <w:rsid w:val="00EB7B4B"/>
    <w:rsid w:val="00EC09A5"/>
    <w:rsid w:val="00EC5225"/>
    <w:rsid w:val="00ED4DC5"/>
    <w:rsid w:val="00EE0FAC"/>
    <w:rsid w:val="00EE31F1"/>
    <w:rsid w:val="00EE5263"/>
    <w:rsid w:val="00EE58AD"/>
    <w:rsid w:val="00EE5EDF"/>
    <w:rsid w:val="00EF18F8"/>
    <w:rsid w:val="00F06049"/>
    <w:rsid w:val="00F11908"/>
    <w:rsid w:val="00F14111"/>
    <w:rsid w:val="00F2131A"/>
    <w:rsid w:val="00F22B22"/>
    <w:rsid w:val="00F25451"/>
    <w:rsid w:val="00F255F7"/>
    <w:rsid w:val="00F37B44"/>
    <w:rsid w:val="00F43737"/>
    <w:rsid w:val="00F52B3B"/>
    <w:rsid w:val="00F53224"/>
    <w:rsid w:val="00F6074F"/>
    <w:rsid w:val="00F62D5C"/>
    <w:rsid w:val="00F760FF"/>
    <w:rsid w:val="00F85D89"/>
    <w:rsid w:val="00F92150"/>
    <w:rsid w:val="00F94413"/>
    <w:rsid w:val="00FA571B"/>
    <w:rsid w:val="00FB586C"/>
    <w:rsid w:val="00FB6984"/>
    <w:rsid w:val="00FC3965"/>
    <w:rsid w:val="00FC7A50"/>
    <w:rsid w:val="00FD42E9"/>
    <w:rsid w:val="00FE2EB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13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843729"/>
    <w:rPr>
      <w:color w:val="605E5C"/>
      <w:shd w:val="clear" w:color="auto" w:fill="E1DFDD"/>
    </w:rPr>
  </w:style>
  <w:style w:type="paragraph" w:customStyle="1" w:styleId="Default">
    <w:name w:val="Default"/>
    <w:rsid w:val="00EE31F1"/>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2020-10-16T20:19:00Z</dcterms:created>
  <dcterms:modified xsi:type="dcterms:W3CDTF">2020-10-16T20:19:00Z</dcterms:modified>
</cp:coreProperties>
</file>