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4267B6AA" w:rsidR="00C55814" w:rsidRDefault="00C55814" w:rsidP="00C67AFD">
      <w:pPr>
        <w:pStyle w:val="NotesBody11pt"/>
        <w:spacing w:line="240" w:lineRule="auto"/>
        <w:rPr>
          <w:rFonts w:eastAsia="SimSun"/>
          <w:color w:val="004C97"/>
          <w:lang w:eastAsia="zh-CN"/>
        </w:rPr>
      </w:pPr>
      <w:bookmarkStart w:id="0" w:name="_GoBack"/>
      <w:bookmarkEnd w:id="0"/>
    </w:p>
    <w:p w14:paraId="1FD75FEB" w14:textId="77777777" w:rsidR="00E65375" w:rsidRPr="00EC3D28" w:rsidRDefault="00E65375" w:rsidP="00C67AFD">
      <w:pPr>
        <w:pStyle w:val="NotesBody11pt"/>
        <w:spacing w:line="240" w:lineRule="auto"/>
        <w:rPr>
          <w:rFonts w:eastAsia="SimSun"/>
          <w:color w:val="004C97"/>
          <w:lang w:eastAsia="zh-CN"/>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130B5D90"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Pr>
          <w:b w:val="0"/>
        </w:rPr>
        <w:t xml:space="preserve"> </w:t>
      </w:r>
      <w:r w:rsidR="004B2C22">
        <w:rPr>
          <w:b w:val="0"/>
        </w:rPr>
        <w:fldChar w:fldCharType="begin"/>
      </w:r>
      <w:r w:rsidR="004B2C22">
        <w:rPr>
          <w:b w:val="0"/>
        </w:rPr>
        <w:instrText xml:space="preserve"> SUBJECT  \* FirstCap  \* MERGEFORMAT </w:instrText>
      </w:r>
      <w:r w:rsidR="004B2C22">
        <w:rPr>
          <w:b w:val="0"/>
        </w:rPr>
        <w:fldChar w:fldCharType="separate"/>
      </w:r>
      <w:r w:rsidR="004B2C22">
        <w:rPr>
          <w:b w:val="0"/>
        </w:rPr>
        <w:t>Transfer Line and Beam Absorber</w:t>
      </w:r>
      <w:r w:rsidR="004B2C22">
        <w:rPr>
          <w:b w:val="0"/>
        </w:rPr>
        <w:fldChar w:fldCharType="end"/>
      </w:r>
      <w:r w:rsidR="004B2C22" w:rsidRPr="00E60C48">
        <w:rPr>
          <w:b w:val="0"/>
        </w:rPr>
        <w:t xml:space="preserve"> </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4808A3B1"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w:t>
      </w:r>
      <w:r w:rsidR="004B2C22">
        <w:rPr>
          <w:color w:val="004C97"/>
          <w:sz w:val="24"/>
          <w:szCs w:val="24"/>
        </w:rPr>
        <w:t>ED0008140</w:t>
      </w:r>
      <w:r w:rsidR="00B478F8">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846D29">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846D29">
        <w:trPr>
          <w:trHeight w:val="458"/>
        </w:trPr>
        <w:tc>
          <w:tcPr>
            <w:tcW w:w="7740" w:type="dxa"/>
          </w:tcPr>
          <w:p w14:paraId="41B55E04" w14:textId="77777777" w:rsidR="00846D29" w:rsidRDefault="006E626D" w:rsidP="00F8522B">
            <w:r>
              <w:t xml:space="preserve">Originator: </w:t>
            </w:r>
            <w:r w:rsidR="00846D29">
              <w:t>Meiqin Xiao, Transfer Line and Beam Absorber (TLBA) L3 Manager</w:t>
            </w:r>
          </w:p>
          <w:p w14:paraId="48FAEF63" w14:textId="65E49D1D" w:rsidR="006E626D" w:rsidRDefault="006E626D" w:rsidP="00F8522B"/>
        </w:tc>
        <w:tc>
          <w:tcPr>
            <w:tcW w:w="2340" w:type="dxa"/>
          </w:tcPr>
          <w:p w14:paraId="5DBE7757" w14:textId="77777777" w:rsidR="006E626D" w:rsidRDefault="006E626D" w:rsidP="00F8522B"/>
        </w:tc>
      </w:tr>
      <w:tr w:rsidR="00FF245F" w14:paraId="35C18A1E" w14:textId="77777777" w:rsidTr="00846D29">
        <w:trPr>
          <w:trHeight w:val="458"/>
        </w:trPr>
        <w:tc>
          <w:tcPr>
            <w:tcW w:w="7740" w:type="dxa"/>
          </w:tcPr>
          <w:p w14:paraId="60448157" w14:textId="302D8F97" w:rsidR="00FF245F" w:rsidRDefault="00FF245F" w:rsidP="00F8522B">
            <w:r>
              <w:t>Approver:</w:t>
            </w:r>
            <w:r w:rsidR="004522D3">
              <w:t xml:space="preserve"> </w:t>
            </w:r>
            <w:r w:rsidR="00846D29">
              <w:t>Ioanis Kourbanis, Accelerator Complex Upgrades L2 Manager</w:t>
            </w:r>
          </w:p>
        </w:tc>
        <w:tc>
          <w:tcPr>
            <w:tcW w:w="2340" w:type="dxa"/>
          </w:tcPr>
          <w:p w14:paraId="3F22D13B" w14:textId="77777777" w:rsidR="00FF245F" w:rsidRDefault="00FF245F" w:rsidP="00F8522B"/>
        </w:tc>
      </w:tr>
      <w:tr w:rsidR="00846D29" w14:paraId="21C1DA83" w14:textId="77777777" w:rsidTr="00846D29">
        <w:trPr>
          <w:trHeight w:val="458"/>
        </w:trPr>
        <w:tc>
          <w:tcPr>
            <w:tcW w:w="7740" w:type="dxa"/>
          </w:tcPr>
          <w:p w14:paraId="7B59655C" w14:textId="2236D07B" w:rsidR="00846D29" w:rsidRDefault="00846D29" w:rsidP="00F8522B">
            <w:r>
              <w:t>Approver: Alex Martinez, Integration Coordinator</w:t>
            </w:r>
          </w:p>
        </w:tc>
        <w:tc>
          <w:tcPr>
            <w:tcW w:w="2340" w:type="dxa"/>
          </w:tcPr>
          <w:p w14:paraId="2F927C93" w14:textId="77777777" w:rsidR="00846D29" w:rsidRDefault="00846D29"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163B11E8" w:rsidR="006E626D" w:rsidRDefault="008E3412" w:rsidP="00F8522B">
            <w:pPr>
              <w:pStyle w:val="NotesBody11pt"/>
              <w:spacing w:line="240" w:lineRule="auto"/>
              <w:rPr>
                <w:color w:val="004C97"/>
              </w:rPr>
            </w:pPr>
            <w:r>
              <w:rPr>
                <w:color w:val="004C97"/>
              </w:rPr>
              <w:t>R</w:t>
            </w:r>
            <w:r w:rsidR="00EE0596">
              <w:rPr>
                <w:color w:val="004C97"/>
              </w:rPr>
              <w:t>0</w:t>
            </w: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2C65E80F" w:rsidR="006E626D" w:rsidRDefault="00EE0596" w:rsidP="00F8522B">
            <w:pPr>
              <w:pStyle w:val="NotesBody11pt"/>
              <w:spacing w:line="240" w:lineRule="auto"/>
              <w:rPr>
                <w:color w:val="004C97"/>
              </w:rPr>
            </w:pPr>
            <w:r>
              <w:rPr>
                <w:color w:val="004C97"/>
              </w:rPr>
              <w:t>Initial Draft</w:t>
            </w: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5262FCD1" w14:textId="390794B1" w:rsidR="00412781"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9256976" w:history="1">
            <w:r w:rsidR="00412781" w:rsidRPr="00C40D79">
              <w:rPr>
                <w:rStyle w:val="Hyperlink"/>
              </w:rPr>
              <w:t>1.</w:t>
            </w:r>
            <w:r w:rsidR="00412781">
              <w:rPr>
                <w:rFonts w:asciiTheme="minorHAnsi" w:eastAsiaTheme="minorEastAsia" w:hAnsiTheme="minorHAnsi" w:cstheme="minorBidi"/>
                <w:szCs w:val="22"/>
              </w:rPr>
              <w:tab/>
            </w:r>
            <w:r w:rsidR="00412781" w:rsidRPr="00C40D79">
              <w:rPr>
                <w:rStyle w:val="Hyperlink"/>
              </w:rPr>
              <w:t>Purpose</w:t>
            </w:r>
            <w:r w:rsidR="00412781">
              <w:rPr>
                <w:webHidden/>
              </w:rPr>
              <w:tab/>
            </w:r>
            <w:r w:rsidR="00412781">
              <w:rPr>
                <w:webHidden/>
              </w:rPr>
              <w:fldChar w:fldCharType="begin"/>
            </w:r>
            <w:r w:rsidR="00412781">
              <w:rPr>
                <w:webHidden/>
              </w:rPr>
              <w:instrText xml:space="preserve"> PAGEREF _Toc9256976 \h </w:instrText>
            </w:r>
            <w:r w:rsidR="00412781">
              <w:rPr>
                <w:webHidden/>
              </w:rPr>
            </w:r>
            <w:r w:rsidR="00412781">
              <w:rPr>
                <w:webHidden/>
              </w:rPr>
              <w:fldChar w:fldCharType="separate"/>
            </w:r>
            <w:r w:rsidR="00412781">
              <w:rPr>
                <w:webHidden/>
              </w:rPr>
              <w:t>4</w:t>
            </w:r>
            <w:r w:rsidR="00412781">
              <w:rPr>
                <w:webHidden/>
              </w:rPr>
              <w:fldChar w:fldCharType="end"/>
            </w:r>
          </w:hyperlink>
        </w:p>
        <w:p w14:paraId="3A89B07F" w14:textId="1984902A" w:rsidR="00412781" w:rsidRDefault="00FE1676">
          <w:pPr>
            <w:pStyle w:val="TOC1"/>
            <w:rPr>
              <w:rFonts w:asciiTheme="minorHAnsi" w:eastAsiaTheme="minorEastAsia" w:hAnsiTheme="minorHAnsi" w:cstheme="minorBidi"/>
              <w:szCs w:val="22"/>
            </w:rPr>
          </w:pPr>
          <w:hyperlink w:anchor="_Toc9256977" w:history="1">
            <w:r w:rsidR="00412781" w:rsidRPr="00C40D79">
              <w:rPr>
                <w:rStyle w:val="Hyperlink"/>
              </w:rPr>
              <w:t>2.</w:t>
            </w:r>
            <w:r w:rsidR="00412781">
              <w:rPr>
                <w:rFonts w:asciiTheme="minorHAnsi" w:eastAsiaTheme="minorEastAsia" w:hAnsiTheme="minorHAnsi" w:cstheme="minorBidi"/>
                <w:szCs w:val="22"/>
              </w:rPr>
              <w:tab/>
            </w:r>
            <w:r w:rsidR="00412781" w:rsidRPr="00C40D79">
              <w:rPr>
                <w:rStyle w:val="Hyperlink"/>
              </w:rPr>
              <w:t>Scope</w:t>
            </w:r>
            <w:r w:rsidR="00412781">
              <w:rPr>
                <w:webHidden/>
              </w:rPr>
              <w:tab/>
            </w:r>
            <w:r w:rsidR="00412781">
              <w:rPr>
                <w:webHidden/>
              </w:rPr>
              <w:fldChar w:fldCharType="begin"/>
            </w:r>
            <w:r w:rsidR="00412781">
              <w:rPr>
                <w:webHidden/>
              </w:rPr>
              <w:instrText xml:space="preserve"> PAGEREF _Toc9256977 \h </w:instrText>
            </w:r>
            <w:r w:rsidR="00412781">
              <w:rPr>
                <w:webHidden/>
              </w:rPr>
            </w:r>
            <w:r w:rsidR="00412781">
              <w:rPr>
                <w:webHidden/>
              </w:rPr>
              <w:fldChar w:fldCharType="separate"/>
            </w:r>
            <w:r w:rsidR="00412781">
              <w:rPr>
                <w:webHidden/>
              </w:rPr>
              <w:t>4</w:t>
            </w:r>
            <w:r w:rsidR="00412781">
              <w:rPr>
                <w:webHidden/>
              </w:rPr>
              <w:fldChar w:fldCharType="end"/>
            </w:r>
          </w:hyperlink>
        </w:p>
        <w:p w14:paraId="4F44D86B" w14:textId="1B562664" w:rsidR="00412781" w:rsidRDefault="00FE1676">
          <w:pPr>
            <w:pStyle w:val="TOC1"/>
            <w:rPr>
              <w:rFonts w:asciiTheme="minorHAnsi" w:eastAsiaTheme="minorEastAsia" w:hAnsiTheme="minorHAnsi" w:cstheme="minorBidi"/>
              <w:szCs w:val="22"/>
            </w:rPr>
          </w:pPr>
          <w:hyperlink w:anchor="_Toc9256978" w:history="1">
            <w:r w:rsidR="00412781" w:rsidRPr="00C40D79">
              <w:rPr>
                <w:rStyle w:val="Hyperlink"/>
              </w:rPr>
              <w:t>3.</w:t>
            </w:r>
            <w:r w:rsidR="00412781">
              <w:rPr>
                <w:rFonts w:asciiTheme="minorHAnsi" w:eastAsiaTheme="minorEastAsia" w:hAnsiTheme="minorHAnsi" w:cstheme="minorBidi"/>
                <w:szCs w:val="22"/>
              </w:rPr>
              <w:tab/>
            </w:r>
            <w:r w:rsidR="00412781" w:rsidRPr="00C40D79">
              <w:rPr>
                <w:rStyle w:val="Hyperlink"/>
              </w:rPr>
              <w:t>Acronyms</w:t>
            </w:r>
            <w:r w:rsidR="00412781">
              <w:rPr>
                <w:webHidden/>
              </w:rPr>
              <w:tab/>
            </w:r>
            <w:r w:rsidR="00412781">
              <w:rPr>
                <w:webHidden/>
              </w:rPr>
              <w:fldChar w:fldCharType="begin"/>
            </w:r>
            <w:r w:rsidR="00412781">
              <w:rPr>
                <w:webHidden/>
              </w:rPr>
              <w:instrText xml:space="preserve"> PAGEREF _Toc9256978 \h </w:instrText>
            </w:r>
            <w:r w:rsidR="00412781">
              <w:rPr>
                <w:webHidden/>
              </w:rPr>
            </w:r>
            <w:r w:rsidR="00412781">
              <w:rPr>
                <w:webHidden/>
              </w:rPr>
              <w:fldChar w:fldCharType="separate"/>
            </w:r>
            <w:r w:rsidR="00412781">
              <w:rPr>
                <w:webHidden/>
              </w:rPr>
              <w:t>4</w:t>
            </w:r>
            <w:r w:rsidR="00412781">
              <w:rPr>
                <w:webHidden/>
              </w:rPr>
              <w:fldChar w:fldCharType="end"/>
            </w:r>
          </w:hyperlink>
        </w:p>
        <w:p w14:paraId="1F2F6A5F" w14:textId="7EF98A8F" w:rsidR="00412781" w:rsidRDefault="00FE1676">
          <w:pPr>
            <w:pStyle w:val="TOC1"/>
            <w:rPr>
              <w:rFonts w:asciiTheme="minorHAnsi" w:eastAsiaTheme="minorEastAsia" w:hAnsiTheme="minorHAnsi" w:cstheme="minorBidi"/>
              <w:szCs w:val="22"/>
            </w:rPr>
          </w:pPr>
          <w:hyperlink w:anchor="_Toc9256979" w:history="1">
            <w:r w:rsidR="00412781" w:rsidRPr="00C40D79">
              <w:rPr>
                <w:rStyle w:val="Hyperlink"/>
              </w:rPr>
              <w:t>4.</w:t>
            </w:r>
            <w:r w:rsidR="00412781">
              <w:rPr>
                <w:rFonts w:asciiTheme="minorHAnsi" w:eastAsiaTheme="minorEastAsia" w:hAnsiTheme="minorHAnsi" w:cstheme="minorBidi"/>
                <w:szCs w:val="22"/>
              </w:rPr>
              <w:tab/>
            </w:r>
            <w:r w:rsidR="00412781" w:rsidRPr="00C40D79">
              <w:rPr>
                <w:rStyle w:val="Hyperlink"/>
              </w:rPr>
              <w:t>Reference</w:t>
            </w:r>
            <w:r w:rsidR="00412781">
              <w:rPr>
                <w:webHidden/>
              </w:rPr>
              <w:tab/>
            </w:r>
            <w:r w:rsidR="00412781">
              <w:rPr>
                <w:webHidden/>
              </w:rPr>
              <w:fldChar w:fldCharType="begin"/>
            </w:r>
            <w:r w:rsidR="00412781">
              <w:rPr>
                <w:webHidden/>
              </w:rPr>
              <w:instrText xml:space="preserve"> PAGEREF _Toc9256979 \h </w:instrText>
            </w:r>
            <w:r w:rsidR="00412781">
              <w:rPr>
                <w:webHidden/>
              </w:rPr>
            </w:r>
            <w:r w:rsidR="00412781">
              <w:rPr>
                <w:webHidden/>
              </w:rPr>
              <w:fldChar w:fldCharType="separate"/>
            </w:r>
            <w:r w:rsidR="00412781">
              <w:rPr>
                <w:webHidden/>
              </w:rPr>
              <w:t>4</w:t>
            </w:r>
            <w:r w:rsidR="00412781">
              <w:rPr>
                <w:webHidden/>
              </w:rPr>
              <w:fldChar w:fldCharType="end"/>
            </w:r>
          </w:hyperlink>
        </w:p>
        <w:p w14:paraId="79108EC2" w14:textId="75AF5A3A" w:rsidR="00412781" w:rsidRDefault="00FE1676">
          <w:pPr>
            <w:pStyle w:val="TOC1"/>
            <w:rPr>
              <w:rFonts w:asciiTheme="minorHAnsi" w:eastAsiaTheme="minorEastAsia" w:hAnsiTheme="minorHAnsi" w:cstheme="minorBidi"/>
              <w:szCs w:val="22"/>
            </w:rPr>
          </w:pPr>
          <w:hyperlink w:anchor="_Toc9256980" w:history="1">
            <w:r w:rsidR="00412781" w:rsidRPr="00C40D79">
              <w:rPr>
                <w:rStyle w:val="Hyperlink"/>
              </w:rPr>
              <w:t>5.</w:t>
            </w:r>
            <w:r w:rsidR="00412781">
              <w:rPr>
                <w:rFonts w:asciiTheme="minorHAnsi" w:eastAsiaTheme="minorEastAsia" w:hAnsiTheme="minorHAnsi" w:cstheme="minorBidi"/>
                <w:szCs w:val="22"/>
              </w:rPr>
              <w:tab/>
            </w:r>
            <w:r w:rsidR="00412781" w:rsidRPr="00C40D79">
              <w:rPr>
                <w:rStyle w:val="Hyperlink"/>
              </w:rPr>
              <w:t>Key Assumptions</w:t>
            </w:r>
            <w:r w:rsidR="00412781">
              <w:rPr>
                <w:webHidden/>
              </w:rPr>
              <w:tab/>
            </w:r>
            <w:r w:rsidR="00412781">
              <w:rPr>
                <w:webHidden/>
              </w:rPr>
              <w:fldChar w:fldCharType="begin"/>
            </w:r>
            <w:r w:rsidR="00412781">
              <w:rPr>
                <w:webHidden/>
              </w:rPr>
              <w:instrText xml:space="preserve"> PAGEREF _Toc9256980 \h </w:instrText>
            </w:r>
            <w:r w:rsidR="00412781">
              <w:rPr>
                <w:webHidden/>
              </w:rPr>
            </w:r>
            <w:r w:rsidR="00412781">
              <w:rPr>
                <w:webHidden/>
              </w:rPr>
              <w:fldChar w:fldCharType="separate"/>
            </w:r>
            <w:r w:rsidR="00412781">
              <w:rPr>
                <w:webHidden/>
              </w:rPr>
              <w:t>5</w:t>
            </w:r>
            <w:r w:rsidR="00412781">
              <w:rPr>
                <w:webHidden/>
              </w:rPr>
              <w:fldChar w:fldCharType="end"/>
            </w:r>
          </w:hyperlink>
        </w:p>
        <w:p w14:paraId="0B4196ED" w14:textId="286793E8" w:rsidR="00412781" w:rsidRDefault="00FE1676">
          <w:pPr>
            <w:pStyle w:val="TOC1"/>
            <w:rPr>
              <w:rFonts w:asciiTheme="minorHAnsi" w:eastAsiaTheme="minorEastAsia" w:hAnsiTheme="minorHAnsi" w:cstheme="minorBidi"/>
              <w:szCs w:val="22"/>
            </w:rPr>
          </w:pPr>
          <w:hyperlink w:anchor="_Toc9256981" w:history="1">
            <w:r w:rsidR="00412781" w:rsidRPr="00C40D79">
              <w:rPr>
                <w:rStyle w:val="Hyperlink"/>
              </w:rPr>
              <w:t>6.</w:t>
            </w:r>
            <w:r w:rsidR="00412781">
              <w:rPr>
                <w:rFonts w:asciiTheme="minorHAnsi" w:eastAsiaTheme="minorEastAsia" w:hAnsiTheme="minorHAnsi" w:cstheme="minorBidi"/>
                <w:szCs w:val="22"/>
              </w:rPr>
              <w:tab/>
            </w:r>
            <w:r w:rsidR="00412781" w:rsidRPr="00C40D79">
              <w:rPr>
                <w:rStyle w:val="Hyperlink"/>
              </w:rPr>
              <w:t>Functional Requirements</w:t>
            </w:r>
            <w:r w:rsidR="00412781">
              <w:rPr>
                <w:webHidden/>
              </w:rPr>
              <w:tab/>
            </w:r>
            <w:r w:rsidR="00412781">
              <w:rPr>
                <w:webHidden/>
              </w:rPr>
              <w:fldChar w:fldCharType="begin"/>
            </w:r>
            <w:r w:rsidR="00412781">
              <w:rPr>
                <w:webHidden/>
              </w:rPr>
              <w:instrText xml:space="preserve"> PAGEREF _Toc9256981 \h </w:instrText>
            </w:r>
            <w:r w:rsidR="00412781">
              <w:rPr>
                <w:webHidden/>
              </w:rPr>
            </w:r>
            <w:r w:rsidR="00412781">
              <w:rPr>
                <w:webHidden/>
              </w:rPr>
              <w:fldChar w:fldCharType="separate"/>
            </w:r>
            <w:r w:rsidR="00412781">
              <w:rPr>
                <w:webHidden/>
              </w:rPr>
              <w:t>5</w:t>
            </w:r>
            <w:r w:rsidR="00412781">
              <w:rPr>
                <w:webHidden/>
              </w:rPr>
              <w:fldChar w:fldCharType="end"/>
            </w:r>
          </w:hyperlink>
        </w:p>
        <w:p w14:paraId="6E47ABAE" w14:textId="667B182C" w:rsidR="00412781" w:rsidRDefault="00FE1676">
          <w:pPr>
            <w:pStyle w:val="TOC1"/>
            <w:rPr>
              <w:rFonts w:asciiTheme="minorHAnsi" w:eastAsiaTheme="minorEastAsia" w:hAnsiTheme="minorHAnsi" w:cstheme="minorBidi"/>
              <w:szCs w:val="22"/>
            </w:rPr>
          </w:pPr>
          <w:hyperlink w:anchor="_Toc9256982" w:history="1">
            <w:r w:rsidR="00412781" w:rsidRPr="00C40D79">
              <w:rPr>
                <w:rStyle w:val="Hyperlink"/>
              </w:rPr>
              <w:t>7.</w:t>
            </w:r>
            <w:r w:rsidR="00412781">
              <w:rPr>
                <w:rFonts w:asciiTheme="minorHAnsi" w:eastAsiaTheme="minorEastAsia" w:hAnsiTheme="minorHAnsi" w:cstheme="minorBidi"/>
                <w:szCs w:val="22"/>
              </w:rPr>
              <w:tab/>
            </w:r>
            <w:r w:rsidR="00412781" w:rsidRPr="00C40D79">
              <w:rPr>
                <w:rStyle w:val="Hyperlink"/>
              </w:rPr>
              <w:t>Safety Requirements</w:t>
            </w:r>
            <w:r w:rsidR="00412781">
              <w:rPr>
                <w:webHidden/>
              </w:rPr>
              <w:tab/>
            </w:r>
            <w:r w:rsidR="00412781">
              <w:rPr>
                <w:webHidden/>
              </w:rPr>
              <w:fldChar w:fldCharType="begin"/>
            </w:r>
            <w:r w:rsidR="00412781">
              <w:rPr>
                <w:webHidden/>
              </w:rPr>
              <w:instrText xml:space="preserve"> PAGEREF _Toc9256982 \h </w:instrText>
            </w:r>
            <w:r w:rsidR="00412781">
              <w:rPr>
                <w:webHidden/>
              </w:rPr>
            </w:r>
            <w:r w:rsidR="00412781">
              <w:rPr>
                <w:webHidden/>
              </w:rPr>
              <w:fldChar w:fldCharType="separate"/>
            </w:r>
            <w:r w:rsidR="00412781">
              <w:rPr>
                <w:webHidden/>
              </w:rPr>
              <w:t>6</w:t>
            </w:r>
            <w:r w:rsidR="00412781">
              <w:rPr>
                <w:webHidden/>
              </w:rPr>
              <w:fldChar w:fldCharType="end"/>
            </w:r>
          </w:hyperlink>
        </w:p>
        <w:p w14:paraId="74ABD4E6" w14:textId="43529676"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1" w:name="_Toc9256976"/>
      <w:r>
        <w:lastRenderedPageBreak/>
        <w:t>Purpose</w:t>
      </w:r>
      <w:bookmarkEnd w:id="1"/>
    </w:p>
    <w:p w14:paraId="4B908194" w14:textId="4673DFF9" w:rsidR="00FA1792" w:rsidRDefault="005069ED" w:rsidP="00C67AFD">
      <w:pPr>
        <w:jc w:val="both"/>
        <w:rPr>
          <w:rFonts w:ascii="Helvetica" w:hAnsi="Helvetica" w:cs="Helvetica"/>
          <w:sz w:val="22"/>
          <w:szCs w:val="22"/>
        </w:rPr>
      </w:pPr>
      <w:bookmarkStart w:id="2" w:name="3_Scope"/>
      <w:bookmarkStart w:id="3" w:name="_bookmark8"/>
      <w:bookmarkStart w:id="4" w:name="_Toc509474829"/>
      <w:bookmarkEnd w:id="2"/>
      <w:bookmarkEnd w:id="3"/>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5" w:name="_Toc9256977"/>
      <w:r>
        <w:t>Scope</w:t>
      </w:r>
      <w:bookmarkEnd w:id="5"/>
    </w:p>
    <w:p w14:paraId="0DC64749" w14:textId="2E343220" w:rsidR="007C29A9" w:rsidRDefault="007C29A9" w:rsidP="007C29A9">
      <w:pPr>
        <w:jc w:val="both"/>
        <w:rPr>
          <w:rFonts w:ascii="Helvetica" w:hAnsi="Helvetica" w:cs="Helvetica"/>
          <w:sz w:val="22"/>
          <w:szCs w:val="22"/>
        </w:rPr>
      </w:pPr>
      <w:r>
        <w:rPr>
          <w:rFonts w:ascii="Helvetica" w:hAnsi="Helvetica" w:cs="Helvetica"/>
          <w:sz w:val="22"/>
          <w:szCs w:val="22"/>
        </w:rPr>
        <w:t xml:space="preserve">This FRS documents functional requirements for systems designed by and work performed by </w:t>
      </w:r>
      <w:r>
        <w:rPr>
          <w:rFonts w:ascii="Arial" w:hAnsi="Arial" w:cs="Arial"/>
          <w:color w:val="212121"/>
          <w:sz w:val="22"/>
          <w:szCs w:val="22"/>
          <w:shd w:val="clear" w:color="auto" w:fill="FFFFFF"/>
        </w:rPr>
        <w:t xml:space="preserve">Transfer Line and Beam Absorber (TLBA) </w:t>
      </w:r>
      <w:r>
        <w:rPr>
          <w:rFonts w:ascii="Helvetica" w:hAnsi="Helvetica" w:cs="Helvetica"/>
          <w:sz w:val="22"/>
          <w:szCs w:val="22"/>
        </w:rPr>
        <w:t xml:space="preserve">WBS element.  </w:t>
      </w:r>
    </w:p>
    <w:p w14:paraId="0AA98301" w14:textId="77777777" w:rsidR="007C29A9" w:rsidRDefault="007C29A9" w:rsidP="007C29A9">
      <w:pPr>
        <w:jc w:val="both"/>
        <w:rPr>
          <w:rFonts w:ascii="Helvetica" w:hAnsi="Helvetica" w:cs="Helvetica"/>
          <w:sz w:val="22"/>
          <w:szCs w:val="22"/>
        </w:rPr>
      </w:pPr>
    </w:p>
    <w:p w14:paraId="5922E8D6" w14:textId="2B1F18F6" w:rsidR="007C29A9" w:rsidRDefault="007C29A9" w:rsidP="007C29A9">
      <w:pPr>
        <w:jc w:val="both"/>
        <w:rPr>
          <w:rFonts w:ascii="Helvetica" w:hAnsi="Helvetica" w:cs="Helvetica"/>
          <w:sz w:val="22"/>
          <w:szCs w:val="22"/>
        </w:rPr>
      </w:pPr>
      <w:r>
        <w:rPr>
          <w:rFonts w:ascii="Helvetica" w:hAnsi="Helvetica" w:cs="Helvetica"/>
          <w:sz w:val="22"/>
          <w:szCs w:val="22"/>
        </w:rPr>
        <w:t xml:space="preserve">This FRS addresses the functional requirements of the design and the specifications of the Beam Transport Line (BTL) from the PIP-II Linac to the Booster accelerator and Beam Absorber Line (BAL) to the dump. </w:t>
      </w:r>
    </w:p>
    <w:p w14:paraId="7F8AE6D9" w14:textId="77777777" w:rsidR="007C29A9" w:rsidRDefault="007C29A9" w:rsidP="007C29A9">
      <w:pPr>
        <w:jc w:val="both"/>
        <w:rPr>
          <w:rFonts w:ascii="Helvetica" w:hAnsi="Helvetica" w:cs="Helvetica"/>
          <w:sz w:val="22"/>
          <w:szCs w:val="22"/>
        </w:rPr>
      </w:pPr>
    </w:p>
    <w:p w14:paraId="24137BC8" w14:textId="0EC4E47F" w:rsidR="007C29A9" w:rsidRDefault="007C29A9" w:rsidP="007C29A9">
      <w:pPr>
        <w:jc w:val="both"/>
        <w:rPr>
          <w:rFonts w:ascii="Helvetica" w:hAnsi="Helvetica" w:cs="Helvetica"/>
          <w:sz w:val="22"/>
          <w:szCs w:val="22"/>
        </w:rPr>
      </w:pPr>
      <w:r>
        <w:rPr>
          <w:rFonts w:ascii="Helvetica" w:hAnsi="Helvetica" w:cs="Helvetica"/>
          <w:sz w:val="22"/>
          <w:szCs w:val="22"/>
        </w:rPr>
        <w:t xml:space="preserve">This FRS addresses the functional requirements of the </w:t>
      </w:r>
      <w:r w:rsidR="007A7EE6">
        <w:rPr>
          <w:rFonts w:ascii="Helvetica" w:hAnsi="Helvetica" w:cs="Helvetica"/>
          <w:sz w:val="22"/>
          <w:szCs w:val="22"/>
        </w:rPr>
        <w:t xml:space="preserve">specifications and </w:t>
      </w:r>
      <w:r>
        <w:rPr>
          <w:rFonts w:ascii="Helvetica" w:hAnsi="Helvetica" w:cs="Helvetica"/>
          <w:sz w:val="22"/>
          <w:szCs w:val="22"/>
        </w:rPr>
        <w:t>design of the collimators, a full power abort absorber</w:t>
      </w:r>
      <w:r w:rsidR="001E7A8C">
        <w:rPr>
          <w:rFonts w:ascii="Helvetica" w:hAnsi="Helvetica" w:cs="Helvetica"/>
          <w:sz w:val="22"/>
          <w:szCs w:val="22"/>
        </w:rPr>
        <w:t>, transfer line optics</w:t>
      </w:r>
      <w:r>
        <w:rPr>
          <w:rFonts w:ascii="Helvetica" w:hAnsi="Helvetica" w:cs="Helvetica"/>
          <w:sz w:val="22"/>
          <w:szCs w:val="22"/>
        </w:rPr>
        <w:t xml:space="preserve">, and a movable low power absorber for Beam Transport Line (BTL) from the PIP-II Linac to the Booster accelerator and Beam Absorber Line (BAL) to the dump. </w:t>
      </w:r>
      <w:r w:rsidR="00B15DE4">
        <w:rPr>
          <w:rFonts w:ascii="Helvetica" w:hAnsi="Helvetica" w:cs="Helvetica"/>
          <w:sz w:val="22"/>
          <w:szCs w:val="22"/>
        </w:rPr>
        <w:t>It also addresses the functional requirements of a gamma-t jump system in Main Injector.</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6" w:name="_Toc9256978"/>
      <w:bookmarkEnd w:id="4"/>
      <w:r>
        <w:t>A</w:t>
      </w:r>
      <w:r w:rsidR="008A1B1C">
        <w:t>cronyms</w:t>
      </w:r>
      <w:bookmarkEnd w:id="6"/>
    </w:p>
    <w:tbl>
      <w:tblPr>
        <w:tblStyle w:val="TableGrid"/>
        <w:tblW w:w="9245" w:type="dxa"/>
        <w:tblInd w:w="740" w:type="dxa"/>
        <w:tblLook w:val="04A0" w:firstRow="1" w:lastRow="0" w:firstColumn="1" w:lastColumn="0" w:noHBand="0" w:noVBand="1"/>
      </w:tblPr>
      <w:tblGrid>
        <w:gridCol w:w="2675"/>
        <w:gridCol w:w="6570"/>
      </w:tblGrid>
      <w:tr w:rsidR="00CA0BCC" w14:paraId="15B8F885" w14:textId="77777777" w:rsidTr="001C62AC">
        <w:tc>
          <w:tcPr>
            <w:tcW w:w="2675" w:type="dxa"/>
            <w:vAlign w:val="center"/>
          </w:tcPr>
          <w:p w14:paraId="5175B5C1" w14:textId="693C1E04" w:rsidR="00CA0BCC" w:rsidRDefault="00CA0BCC" w:rsidP="00CA0BCC">
            <w:pPr>
              <w:pStyle w:val="BodyText"/>
              <w:ind w:left="0" w:firstLine="0"/>
              <w:jc w:val="both"/>
            </w:pPr>
            <w:r>
              <w:t>BAL</w:t>
            </w:r>
          </w:p>
        </w:tc>
        <w:tc>
          <w:tcPr>
            <w:tcW w:w="6570" w:type="dxa"/>
            <w:vAlign w:val="center"/>
          </w:tcPr>
          <w:p w14:paraId="2BCA94BE" w14:textId="42585CD0" w:rsidR="00CA0BCC" w:rsidRDefault="00CA0BCC" w:rsidP="00CA0BCC">
            <w:pPr>
              <w:pStyle w:val="BodyText"/>
              <w:ind w:left="0" w:firstLine="71"/>
              <w:jc w:val="both"/>
            </w:pPr>
            <w:r>
              <w:rPr>
                <w:rFonts w:ascii="Helvetica" w:hAnsi="Helvetica" w:cs="Helvetica"/>
              </w:rPr>
              <w:t>Beam Absorber Line</w:t>
            </w:r>
          </w:p>
        </w:tc>
      </w:tr>
      <w:tr w:rsidR="006B0FF0" w14:paraId="04086288" w14:textId="77777777" w:rsidTr="001C62AC">
        <w:tc>
          <w:tcPr>
            <w:tcW w:w="2675" w:type="dxa"/>
            <w:vAlign w:val="center"/>
          </w:tcPr>
          <w:p w14:paraId="2031F921" w14:textId="1F8055B0" w:rsidR="006B0FF0" w:rsidRDefault="006B0FF0" w:rsidP="00CA0BCC">
            <w:pPr>
              <w:pStyle w:val="BodyText"/>
              <w:ind w:left="0" w:firstLine="0"/>
              <w:jc w:val="both"/>
            </w:pPr>
            <w:r>
              <w:t>BLM</w:t>
            </w:r>
          </w:p>
        </w:tc>
        <w:tc>
          <w:tcPr>
            <w:tcW w:w="6570" w:type="dxa"/>
            <w:vAlign w:val="center"/>
          </w:tcPr>
          <w:p w14:paraId="382F276D" w14:textId="78D11699" w:rsidR="006B0FF0" w:rsidRDefault="006B0FF0" w:rsidP="00CA0BCC">
            <w:pPr>
              <w:pStyle w:val="BodyText"/>
              <w:ind w:left="0" w:firstLine="71"/>
              <w:jc w:val="both"/>
              <w:rPr>
                <w:rFonts w:ascii="Helvetica" w:hAnsi="Helvetica" w:cs="Helvetica"/>
              </w:rPr>
            </w:pPr>
            <w:r>
              <w:rPr>
                <w:rFonts w:ascii="Helvetica" w:hAnsi="Helvetica" w:cs="Helvetica"/>
              </w:rPr>
              <w:t>Beam Loss Monitor</w:t>
            </w:r>
          </w:p>
        </w:tc>
      </w:tr>
      <w:tr w:rsidR="0095594C" w14:paraId="7F7884A5" w14:textId="77777777" w:rsidTr="001C62AC">
        <w:tc>
          <w:tcPr>
            <w:tcW w:w="2675" w:type="dxa"/>
            <w:vAlign w:val="center"/>
          </w:tcPr>
          <w:p w14:paraId="657837FD" w14:textId="12089C71" w:rsidR="0095594C" w:rsidRDefault="0095594C" w:rsidP="00CA0BCC">
            <w:pPr>
              <w:pStyle w:val="BodyText"/>
              <w:ind w:left="0" w:firstLine="0"/>
              <w:jc w:val="both"/>
            </w:pPr>
            <w:r>
              <w:t>BPM</w:t>
            </w:r>
          </w:p>
        </w:tc>
        <w:tc>
          <w:tcPr>
            <w:tcW w:w="6570" w:type="dxa"/>
            <w:vAlign w:val="center"/>
          </w:tcPr>
          <w:p w14:paraId="5008DFA4" w14:textId="27CDE29E" w:rsidR="0095594C" w:rsidRDefault="0095594C" w:rsidP="00CA0BCC">
            <w:pPr>
              <w:pStyle w:val="BodyText"/>
              <w:ind w:left="0" w:firstLine="71"/>
              <w:jc w:val="both"/>
              <w:rPr>
                <w:rFonts w:ascii="Helvetica" w:hAnsi="Helvetica" w:cs="Helvetica"/>
              </w:rPr>
            </w:pPr>
            <w:r>
              <w:rPr>
                <w:rFonts w:ascii="Helvetica" w:hAnsi="Helvetica" w:cs="Helvetica"/>
              </w:rPr>
              <w:t>Beam Position Monitor</w:t>
            </w:r>
          </w:p>
        </w:tc>
      </w:tr>
      <w:tr w:rsidR="00CA0BCC" w14:paraId="0FC91EAD" w14:textId="77777777" w:rsidTr="001C62AC">
        <w:tc>
          <w:tcPr>
            <w:tcW w:w="2675" w:type="dxa"/>
            <w:vAlign w:val="center"/>
          </w:tcPr>
          <w:p w14:paraId="037F104E" w14:textId="52ED7DD7" w:rsidR="00CA0BCC" w:rsidRDefault="00CA0BCC" w:rsidP="00CA0BCC">
            <w:pPr>
              <w:pStyle w:val="BodyText"/>
              <w:ind w:left="0" w:firstLine="0"/>
              <w:jc w:val="both"/>
            </w:pPr>
            <w:r>
              <w:t>BTL</w:t>
            </w:r>
          </w:p>
        </w:tc>
        <w:tc>
          <w:tcPr>
            <w:tcW w:w="6570" w:type="dxa"/>
            <w:vAlign w:val="center"/>
          </w:tcPr>
          <w:p w14:paraId="3CA13709" w14:textId="7C01789E" w:rsidR="00CA0BCC" w:rsidRDefault="00CA0BCC" w:rsidP="00CA0BCC">
            <w:pPr>
              <w:pStyle w:val="BodyText"/>
              <w:ind w:left="0" w:firstLine="71"/>
              <w:jc w:val="both"/>
            </w:pPr>
            <w:r>
              <w:rPr>
                <w:rFonts w:ascii="Helvetica" w:hAnsi="Helvetica" w:cs="Helvetica"/>
              </w:rPr>
              <w:t>Beam Transport Line</w:t>
            </w:r>
          </w:p>
        </w:tc>
      </w:tr>
      <w:tr w:rsidR="00F00D44" w14:paraId="6344F829" w14:textId="77777777" w:rsidTr="001C62AC">
        <w:tc>
          <w:tcPr>
            <w:tcW w:w="2675" w:type="dxa"/>
            <w:vAlign w:val="center"/>
          </w:tcPr>
          <w:p w14:paraId="3BAC34A8" w14:textId="3D5A0C11" w:rsidR="00F00D44" w:rsidRDefault="00F00D44" w:rsidP="00CA0BCC">
            <w:pPr>
              <w:pStyle w:val="BodyText"/>
              <w:ind w:left="0" w:firstLine="0"/>
              <w:jc w:val="both"/>
            </w:pPr>
            <w:r>
              <w:t>FEM</w:t>
            </w:r>
          </w:p>
        </w:tc>
        <w:tc>
          <w:tcPr>
            <w:tcW w:w="6570" w:type="dxa"/>
            <w:vAlign w:val="center"/>
          </w:tcPr>
          <w:p w14:paraId="586CDC1C" w14:textId="244CD4E6" w:rsidR="00F00D44" w:rsidRDefault="00F00D44" w:rsidP="00CA0BCC">
            <w:pPr>
              <w:pStyle w:val="BodyText"/>
              <w:ind w:left="0" w:firstLine="71"/>
              <w:jc w:val="both"/>
              <w:rPr>
                <w:rFonts w:ascii="Helvetica" w:hAnsi="Helvetica" w:cs="Helvetica"/>
              </w:rPr>
            </w:pPr>
            <w:r>
              <w:rPr>
                <w:rFonts w:ascii="Helvetica" w:hAnsi="Helvetica" w:cs="Helvetica"/>
              </w:rPr>
              <w:t>Fermilab Engineering Manual</w:t>
            </w:r>
          </w:p>
        </w:tc>
      </w:tr>
      <w:tr w:rsidR="00CA0BCC" w14:paraId="591373CC" w14:textId="77777777" w:rsidTr="001C62AC">
        <w:tc>
          <w:tcPr>
            <w:tcW w:w="2675" w:type="dxa"/>
            <w:vAlign w:val="center"/>
          </w:tcPr>
          <w:p w14:paraId="7422C255" w14:textId="03D1E8F1" w:rsidR="00CA0BCC" w:rsidRDefault="00CA0BCC" w:rsidP="00A33623">
            <w:pPr>
              <w:pStyle w:val="BodyText"/>
              <w:ind w:left="0" w:firstLine="0"/>
              <w:jc w:val="both"/>
            </w:pPr>
            <w:r>
              <w:t>FESHM</w:t>
            </w:r>
          </w:p>
        </w:tc>
        <w:tc>
          <w:tcPr>
            <w:tcW w:w="6570" w:type="dxa"/>
            <w:vAlign w:val="center"/>
          </w:tcPr>
          <w:p w14:paraId="748623AC" w14:textId="001E4E67" w:rsidR="00CA0BCC" w:rsidRDefault="00CA0BCC" w:rsidP="00A33623">
            <w:pPr>
              <w:pStyle w:val="BodyText"/>
              <w:ind w:left="0" w:firstLine="71"/>
              <w:jc w:val="both"/>
            </w:pPr>
            <w:r>
              <w:t>Fermilab ES&amp;H Manual</w:t>
            </w:r>
          </w:p>
        </w:tc>
      </w:tr>
      <w:tr w:rsidR="00CA0BCC" w14:paraId="60BD3F29" w14:textId="77777777" w:rsidTr="001C62AC">
        <w:tc>
          <w:tcPr>
            <w:tcW w:w="2675" w:type="dxa"/>
            <w:vAlign w:val="center"/>
          </w:tcPr>
          <w:p w14:paraId="5A4E2BC1" w14:textId="4D3FB82F" w:rsidR="00CA0BCC" w:rsidRDefault="00CA0BCC" w:rsidP="00A33623">
            <w:pPr>
              <w:pStyle w:val="BodyText"/>
              <w:ind w:left="0" w:firstLine="0"/>
              <w:jc w:val="both"/>
            </w:pPr>
            <w:r>
              <w:t>FRCM</w:t>
            </w:r>
          </w:p>
        </w:tc>
        <w:tc>
          <w:tcPr>
            <w:tcW w:w="6570" w:type="dxa"/>
            <w:vAlign w:val="center"/>
          </w:tcPr>
          <w:p w14:paraId="03F1725E" w14:textId="493F6D19" w:rsidR="00CA0BCC" w:rsidRDefault="00CA0BCC" w:rsidP="00A33623">
            <w:pPr>
              <w:pStyle w:val="BodyText"/>
              <w:ind w:left="0" w:firstLine="71"/>
              <w:jc w:val="both"/>
            </w:pPr>
            <w:r>
              <w:rPr>
                <w:rFonts w:ascii="Helvetica" w:hAnsi="Helvetica" w:cs="Helvetica"/>
              </w:rPr>
              <w:t>Fermilab Radiological Control Manual</w:t>
            </w:r>
          </w:p>
        </w:tc>
      </w:tr>
      <w:tr w:rsidR="00CA0BCC" w14:paraId="2DB3BC61" w14:textId="77777777" w:rsidTr="001C62AC">
        <w:tc>
          <w:tcPr>
            <w:tcW w:w="2675" w:type="dxa"/>
            <w:vAlign w:val="center"/>
          </w:tcPr>
          <w:p w14:paraId="1D46B3E4" w14:textId="6237AB1D" w:rsidR="00CA0BCC" w:rsidRDefault="00CA0BCC" w:rsidP="00A33623">
            <w:pPr>
              <w:pStyle w:val="BodyText"/>
              <w:ind w:left="0" w:firstLine="0"/>
              <w:jc w:val="both"/>
            </w:pPr>
            <w:r>
              <w:t>FRS</w:t>
            </w:r>
          </w:p>
        </w:tc>
        <w:tc>
          <w:tcPr>
            <w:tcW w:w="6570" w:type="dxa"/>
            <w:vAlign w:val="center"/>
          </w:tcPr>
          <w:p w14:paraId="3C6FF26B" w14:textId="12FB3AA8" w:rsidR="00CA0BCC" w:rsidRDefault="00CA0BCC" w:rsidP="00A33623">
            <w:pPr>
              <w:pStyle w:val="BodyText"/>
              <w:ind w:left="0" w:firstLine="71"/>
              <w:jc w:val="both"/>
            </w:pPr>
            <w:r>
              <w:t>Functional Requirements Specification</w:t>
            </w:r>
          </w:p>
        </w:tc>
      </w:tr>
      <w:tr w:rsidR="00CA0BCC" w14:paraId="25A41EF4" w14:textId="77777777" w:rsidTr="001C62AC">
        <w:tc>
          <w:tcPr>
            <w:tcW w:w="2675" w:type="dxa"/>
            <w:vAlign w:val="center"/>
          </w:tcPr>
          <w:p w14:paraId="634E8FFB" w14:textId="4C4CE3EE" w:rsidR="00CA0BCC" w:rsidRDefault="00CA0BCC" w:rsidP="00A33623">
            <w:pPr>
              <w:pStyle w:val="BodyText"/>
              <w:ind w:left="0" w:firstLine="0"/>
              <w:jc w:val="both"/>
            </w:pPr>
            <w:r>
              <w:t>L2</w:t>
            </w:r>
          </w:p>
        </w:tc>
        <w:tc>
          <w:tcPr>
            <w:tcW w:w="6570" w:type="dxa"/>
            <w:vAlign w:val="center"/>
          </w:tcPr>
          <w:p w14:paraId="57F6799B" w14:textId="3DED5A22" w:rsidR="00CA0BCC" w:rsidRDefault="00CA0BCC" w:rsidP="00A33623">
            <w:pPr>
              <w:pStyle w:val="BodyText"/>
              <w:ind w:left="0" w:firstLine="71"/>
              <w:jc w:val="both"/>
            </w:pPr>
            <w:r>
              <w:t>WBS Level 2</w:t>
            </w:r>
          </w:p>
        </w:tc>
      </w:tr>
      <w:tr w:rsidR="00CA0BCC" w14:paraId="6A95E025" w14:textId="77777777" w:rsidTr="001C62AC">
        <w:tc>
          <w:tcPr>
            <w:tcW w:w="2675" w:type="dxa"/>
            <w:vAlign w:val="center"/>
          </w:tcPr>
          <w:p w14:paraId="29884A49" w14:textId="3A8190E9" w:rsidR="00CA0BCC" w:rsidRDefault="00CA0BCC" w:rsidP="00A33623">
            <w:pPr>
              <w:pStyle w:val="BodyText"/>
              <w:ind w:left="0" w:firstLine="0"/>
              <w:jc w:val="both"/>
            </w:pPr>
            <w:r>
              <w:t>L3</w:t>
            </w:r>
          </w:p>
        </w:tc>
        <w:tc>
          <w:tcPr>
            <w:tcW w:w="6570" w:type="dxa"/>
            <w:vAlign w:val="center"/>
          </w:tcPr>
          <w:p w14:paraId="6C96A71C" w14:textId="1972B313" w:rsidR="00CA0BCC" w:rsidRDefault="00CA0BCC" w:rsidP="00A33623">
            <w:pPr>
              <w:pStyle w:val="BodyText"/>
              <w:ind w:left="0" w:firstLine="71"/>
              <w:jc w:val="both"/>
            </w:pPr>
            <w:r>
              <w:t>WBS Level 3</w:t>
            </w:r>
          </w:p>
        </w:tc>
      </w:tr>
      <w:tr w:rsidR="00CA0BCC" w14:paraId="5530B43A" w14:textId="77777777" w:rsidTr="001C62AC">
        <w:tc>
          <w:tcPr>
            <w:tcW w:w="2675" w:type="dxa"/>
            <w:vAlign w:val="center"/>
          </w:tcPr>
          <w:p w14:paraId="056AA9C5" w14:textId="175FA475" w:rsidR="00CA0BCC" w:rsidRDefault="00CA0BCC" w:rsidP="00A33623">
            <w:pPr>
              <w:pStyle w:val="BodyText"/>
              <w:ind w:left="0" w:firstLine="0"/>
              <w:jc w:val="both"/>
            </w:pPr>
            <w:r>
              <w:t>PIP-II</w:t>
            </w:r>
          </w:p>
        </w:tc>
        <w:tc>
          <w:tcPr>
            <w:tcW w:w="6570" w:type="dxa"/>
            <w:vAlign w:val="center"/>
          </w:tcPr>
          <w:p w14:paraId="67FFA383" w14:textId="745466B1" w:rsidR="00CA0BCC" w:rsidRDefault="00CA0BCC" w:rsidP="00A33623">
            <w:pPr>
              <w:pStyle w:val="BodyText"/>
              <w:ind w:left="0" w:firstLine="71"/>
              <w:jc w:val="both"/>
            </w:pPr>
            <w:r>
              <w:t xml:space="preserve">Proton Improvement Plan II Project </w:t>
            </w:r>
          </w:p>
        </w:tc>
      </w:tr>
      <w:tr w:rsidR="00EC3D28" w14:paraId="46CA9097" w14:textId="77777777" w:rsidTr="001C62AC">
        <w:tc>
          <w:tcPr>
            <w:tcW w:w="2675" w:type="dxa"/>
            <w:vAlign w:val="center"/>
          </w:tcPr>
          <w:p w14:paraId="10AD1A4A" w14:textId="2756FC04" w:rsidR="00EC3D28" w:rsidRDefault="00EC3D28" w:rsidP="00A33623">
            <w:pPr>
              <w:pStyle w:val="BodyText"/>
              <w:ind w:left="0" w:firstLine="0"/>
              <w:jc w:val="both"/>
            </w:pPr>
            <w:r>
              <w:t>RAW</w:t>
            </w:r>
          </w:p>
        </w:tc>
        <w:tc>
          <w:tcPr>
            <w:tcW w:w="6570" w:type="dxa"/>
            <w:vAlign w:val="center"/>
          </w:tcPr>
          <w:p w14:paraId="5BD64965" w14:textId="7C05D940" w:rsidR="00EC3D28" w:rsidRDefault="00EC3D28" w:rsidP="00A33623">
            <w:pPr>
              <w:pStyle w:val="BodyText"/>
              <w:ind w:left="0" w:firstLine="71"/>
              <w:jc w:val="both"/>
            </w:pPr>
            <w:r>
              <w:t>Radioactive Water</w:t>
            </w:r>
          </w:p>
        </w:tc>
      </w:tr>
      <w:tr w:rsidR="00CA0BCC" w14:paraId="2E0905C0" w14:textId="77777777" w:rsidTr="001C62AC">
        <w:tc>
          <w:tcPr>
            <w:tcW w:w="2675" w:type="dxa"/>
            <w:vAlign w:val="center"/>
          </w:tcPr>
          <w:p w14:paraId="46B4570C" w14:textId="2950F96C" w:rsidR="00CA0BCC" w:rsidRDefault="00CA0BCC" w:rsidP="00A33623">
            <w:pPr>
              <w:pStyle w:val="BodyText"/>
              <w:ind w:left="0" w:firstLine="0"/>
              <w:jc w:val="both"/>
            </w:pPr>
            <w:r>
              <w:t>TC</w:t>
            </w:r>
          </w:p>
        </w:tc>
        <w:tc>
          <w:tcPr>
            <w:tcW w:w="6570" w:type="dxa"/>
            <w:vAlign w:val="center"/>
          </w:tcPr>
          <w:p w14:paraId="0F7C48FF" w14:textId="16A1F645" w:rsidR="00CA0BCC" w:rsidRDefault="00CA0BCC" w:rsidP="00A33623">
            <w:pPr>
              <w:pStyle w:val="BodyText"/>
              <w:ind w:left="0" w:firstLine="71"/>
              <w:jc w:val="both"/>
            </w:pPr>
            <w:r>
              <w:t>Teamcenter</w:t>
            </w:r>
          </w:p>
        </w:tc>
      </w:tr>
      <w:tr w:rsidR="007251E3" w14:paraId="393B7CCE" w14:textId="77777777" w:rsidTr="001C62AC">
        <w:tc>
          <w:tcPr>
            <w:tcW w:w="2675" w:type="dxa"/>
            <w:vAlign w:val="center"/>
          </w:tcPr>
          <w:p w14:paraId="1165EF77" w14:textId="3B23899E" w:rsidR="007251E3" w:rsidRDefault="007251E3" w:rsidP="00A33623">
            <w:pPr>
              <w:pStyle w:val="BodyText"/>
              <w:ind w:left="0" w:firstLine="0"/>
              <w:jc w:val="both"/>
            </w:pPr>
            <w:r>
              <w:t>TLBA</w:t>
            </w:r>
          </w:p>
        </w:tc>
        <w:tc>
          <w:tcPr>
            <w:tcW w:w="6570" w:type="dxa"/>
            <w:vAlign w:val="center"/>
          </w:tcPr>
          <w:p w14:paraId="0EA05DCF" w14:textId="207CE49D" w:rsidR="007251E3" w:rsidRDefault="007251E3" w:rsidP="00A33623">
            <w:pPr>
              <w:pStyle w:val="BodyText"/>
              <w:ind w:left="0" w:firstLine="71"/>
              <w:jc w:val="both"/>
            </w:pPr>
            <w:r>
              <w:t>Transfer Line &amp; Beam Absorber</w:t>
            </w:r>
          </w:p>
        </w:tc>
      </w:tr>
      <w:tr w:rsidR="00CA0BCC" w14:paraId="031CDCAB" w14:textId="77777777" w:rsidTr="001C62AC">
        <w:tc>
          <w:tcPr>
            <w:tcW w:w="2675" w:type="dxa"/>
            <w:vAlign w:val="center"/>
          </w:tcPr>
          <w:p w14:paraId="683FE0C9" w14:textId="054A3569" w:rsidR="00CA0BCC" w:rsidRDefault="00CA0BCC" w:rsidP="00A33623">
            <w:pPr>
              <w:pStyle w:val="BodyText"/>
              <w:ind w:left="0" w:firstLine="0"/>
              <w:jc w:val="both"/>
            </w:pPr>
            <w:r>
              <w:t>WBS</w:t>
            </w:r>
          </w:p>
        </w:tc>
        <w:tc>
          <w:tcPr>
            <w:tcW w:w="6570" w:type="dxa"/>
            <w:vAlign w:val="center"/>
          </w:tcPr>
          <w:p w14:paraId="759F80CB" w14:textId="5E717700" w:rsidR="00CA0BCC" w:rsidRDefault="00CA0BCC" w:rsidP="00A33623">
            <w:pPr>
              <w:pStyle w:val="BodyText"/>
              <w:ind w:left="0" w:firstLine="71"/>
              <w:jc w:val="both"/>
            </w:pPr>
            <w:r>
              <w:t>Work Breakdown Structure</w:t>
            </w:r>
          </w:p>
        </w:tc>
      </w:tr>
    </w:tbl>
    <w:p w14:paraId="3A3D1E48" w14:textId="77777777" w:rsidR="00F00D44" w:rsidRPr="008A1B1C" w:rsidRDefault="00F00D44"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9256979"/>
      <w:r>
        <w:lastRenderedPageBreak/>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678E71D7" w:rsidR="004A07D7" w:rsidRPr="00CA0BCC" w:rsidRDefault="004A07D7" w:rsidP="001F6270">
            <w:pPr>
              <w:jc w:val="both"/>
              <w:rPr>
                <w:rFonts w:ascii="Helvetica" w:hAnsi="Helvetica" w:cs="Helvetica"/>
                <w:sz w:val="22"/>
                <w:szCs w:val="22"/>
              </w:rPr>
            </w:pPr>
            <w:r w:rsidRPr="00CA0BCC">
              <w:rPr>
                <w:rFonts w:ascii="Helvetica" w:hAnsi="Helvetica" w:cs="Helvetica"/>
                <w:sz w:val="22"/>
                <w:szCs w:val="22"/>
              </w:rPr>
              <w:t>EPDM</w:t>
            </w:r>
            <w:r w:rsidR="00CA0BCC" w:rsidRPr="00CA0BCC">
              <w:rPr>
                <w:rFonts w:ascii="Helvetica" w:hAnsi="Helvetica" w:cs="Helvetica"/>
                <w:sz w:val="22"/>
                <w:szCs w:val="22"/>
              </w:rPr>
              <w:t>,</w:t>
            </w:r>
            <w:r w:rsidRPr="00CA0BCC">
              <w:rPr>
                <w:rFonts w:ascii="Helvetica" w:hAnsi="Helvetica" w:cs="Helvetica"/>
                <w:sz w:val="22"/>
                <w:szCs w:val="22"/>
              </w:rPr>
              <w:t xml:space="preserve"> </w:t>
            </w:r>
            <w:r w:rsidR="00CA0BCC" w:rsidRPr="00CA0BCC">
              <w:rPr>
                <w:rFonts w:ascii="Helvetica" w:hAnsi="Helvetica" w:cs="Helvetica"/>
                <w:sz w:val="22"/>
                <w:szCs w:val="22"/>
              </w:rPr>
              <w:t xml:space="preserve">PIP2 </w:t>
            </w:r>
            <w:r w:rsidR="00CA0BCC" w:rsidRPr="00CA0BCC">
              <w:rPr>
                <w:rFonts w:ascii="Arial" w:hAnsi="Arial" w:cs="Arial"/>
                <w:color w:val="212121"/>
                <w:sz w:val="22"/>
                <w:szCs w:val="22"/>
                <w:shd w:val="clear" w:color="auto" w:fill="FFFFFF"/>
              </w:rPr>
              <w:t>Transfer Line and Beam Absorber (TLBA)</w:t>
            </w:r>
          </w:p>
        </w:tc>
        <w:tc>
          <w:tcPr>
            <w:tcW w:w="1885" w:type="dxa"/>
            <w:vAlign w:val="center"/>
          </w:tcPr>
          <w:p w14:paraId="3113AC50" w14:textId="77B2B2C3" w:rsidR="004A07D7" w:rsidRDefault="00B90B99" w:rsidP="001F6270">
            <w:pPr>
              <w:jc w:val="center"/>
              <w:rPr>
                <w:rFonts w:ascii="Helvetica" w:hAnsi="Helvetica" w:cs="Helvetica"/>
                <w:sz w:val="22"/>
                <w:szCs w:val="22"/>
              </w:rPr>
            </w:pPr>
            <w:r>
              <w:rPr>
                <w:rFonts w:ascii="Helvetica" w:hAnsi="Helvetica" w:cs="Helvetica"/>
                <w:sz w:val="22"/>
                <w:szCs w:val="22"/>
              </w:rPr>
              <w:t>ED0007705</w:t>
            </w:r>
          </w:p>
        </w:tc>
      </w:tr>
      <w:tr w:rsidR="004A07D7" w14:paraId="6D44D584" w14:textId="77777777" w:rsidTr="00817F98">
        <w:trPr>
          <w:trHeight w:val="360"/>
        </w:trPr>
        <w:tc>
          <w:tcPr>
            <w:tcW w:w="540" w:type="dxa"/>
            <w:vAlign w:val="center"/>
          </w:tcPr>
          <w:p w14:paraId="03DA8B71" w14:textId="05262142" w:rsidR="004A07D7" w:rsidRDefault="00412781"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72241A55" w14:textId="73EAEBF8" w:rsidR="004A07D7" w:rsidRPr="00D53BF7" w:rsidRDefault="00FE1676"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r w:rsidR="00243301">
              <w:rPr>
                <w:rStyle w:val="Hyperlink"/>
                <w:rFonts w:ascii="Helvetica" w:hAnsi="Helvetica" w:cs="Helvetica"/>
                <w:sz w:val="22"/>
                <w:szCs w:val="22"/>
              </w:rPr>
              <w:t xml:space="preserve"> (FEM)</w:t>
            </w:r>
          </w:p>
        </w:tc>
        <w:tc>
          <w:tcPr>
            <w:tcW w:w="1885" w:type="dxa"/>
            <w:vAlign w:val="center"/>
          </w:tcPr>
          <w:p w14:paraId="6E131621" w14:textId="4550F24A" w:rsidR="004A07D7" w:rsidRDefault="009C4686" w:rsidP="001F6270">
            <w:pPr>
              <w:jc w:val="center"/>
              <w:rPr>
                <w:rFonts w:ascii="Helvetica" w:hAnsi="Helvetica" w:cs="Helvetica"/>
                <w:sz w:val="22"/>
                <w:szCs w:val="22"/>
              </w:rPr>
            </w:pPr>
            <w:r>
              <w:rPr>
                <w:rFonts w:ascii="Helvetica" w:hAnsi="Helvetica" w:cs="Helvetica"/>
                <w:sz w:val="22"/>
                <w:szCs w:val="22"/>
              </w:rPr>
              <w:t>-</w:t>
            </w:r>
          </w:p>
        </w:tc>
      </w:tr>
      <w:tr w:rsidR="004A07D7" w14:paraId="02C75870" w14:textId="77777777" w:rsidTr="00817F98">
        <w:trPr>
          <w:trHeight w:val="360"/>
        </w:trPr>
        <w:tc>
          <w:tcPr>
            <w:tcW w:w="540" w:type="dxa"/>
            <w:vAlign w:val="center"/>
          </w:tcPr>
          <w:p w14:paraId="04C00797" w14:textId="1E296AE2" w:rsidR="004A07D7" w:rsidRDefault="00412781"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55EFEF37" w14:textId="5B9F6E7A" w:rsidR="004A07D7" w:rsidRPr="00D53BF7" w:rsidRDefault="00FE1676"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r w:rsidR="00243301">
              <w:rPr>
                <w:rStyle w:val="Hyperlink"/>
                <w:rFonts w:ascii="Helvetica" w:hAnsi="Helvetica" w:cs="Helvetica"/>
                <w:sz w:val="22"/>
                <w:szCs w:val="22"/>
              </w:rPr>
              <w:t xml:space="preserve"> (</w:t>
            </w:r>
            <w:r w:rsidR="00B14D8A">
              <w:rPr>
                <w:rStyle w:val="Hyperlink"/>
                <w:rFonts w:ascii="Helvetica" w:hAnsi="Helvetica" w:cs="Helvetica"/>
                <w:sz w:val="22"/>
                <w:szCs w:val="22"/>
              </w:rPr>
              <w:t>FESHM)</w:t>
            </w:r>
          </w:p>
        </w:tc>
        <w:tc>
          <w:tcPr>
            <w:tcW w:w="1885" w:type="dxa"/>
            <w:vAlign w:val="center"/>
          </w:tcPr>
          <w:p w14:paraId="70B8F622" w14:textId="4D6BD268" w:rsidR="004A07D7" w:rsidRDefault="009C4686" w:rsidP="001F6270">
            <w:pPr>
              <w:jc w:val="center"/>
              <w:rPr>
                <w:rFonts w:ascii="Helvetica" w:hAnsi="Helvetica" w:cs="Helvetica"/>
                <w:sz w:val="22"/>
                <w:szCs w:val="22"/>
              </w:rPr>
            </w:pPr>
            <w:r>
              <w:rPr>
                <w:rFonts w:ascii="Helvetica" w:hAnsi="Helvetica" w:cs="Helvetica"/>
                <w:sz w:val="22"/>
                <w:szCs w:val="22"/>
              </w:rPr>
              <w:t>-</w:t>
            </w:r>
          </w:p>
        </w:tc>
      </w:tr>
      <w:tr w:rsidR="004A07D7" w14:paraId="2CCBD0CB" w14:textId="77777777" w:rsidTr="00817F98">
        <w:trPr>
          <w:trHeight w:val="360"/>
        </w:trPr>
        <w:tc>
          <w:tcPr>
            <w:tcW w:w="540" w:type="dxa"/>
            <w:vAlign w:val="center"/>
          </w:tcPr>
          <w:p w14:paraId="34986B53" w14:textId="3DC41625" w:rsidR="004A07D7" w:rsidRDefault="00412781"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65A1031" w14:textId="7AF8B265"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r w:rsidR="00B14D8A">
              <w:rPr>
                <w:rFonts w:ascii="Helvetica" w:hAnsi="Helvetica" w:cs="Helvetica"/>
                <w:sz w:val="22"/>
                <w:szCs w:val="22"/>
              </w:rPr>
              <w:t xml:space="preserve"> </w:t>
            </w:r>
            <w:r w:rsidR="00B14D8A" w:rsidRPr="00293C05">
              <w:rPr>
                <w:rStyle w:val="Hyperlink"/>
                <w:rFonts w:ascii="Helvetica" w:hAnsi="Helvetica" w:cs="Helvetica"/>
                <w:sz w:val="22"/>
                <w:szCs w:val="22"/>
              </w:rPr>
              <w:t>(FRCM)</w:t>
            </w:r>
          </w:p>
        </w:tc>
        <w:tc>
          <w:tcPr>
            <w:tcW w:w="1885" w:type="dxa"/>
            <w:vAlign w:val="center"/>
          </w:tcPr>
          <w:p w14:paraId="582C0BC1" w14:textId="3C73AB3C" w:rsidR="004A07D7" w:rsidRDefault="009C4686" w:rsidP="001F6270">
            <w:pPr>
              <w:jc w:val="center"/>
              <w:rPr>
                <w:rFonts w:ascii="Helvetica" w:hAnsi="Helvetica" w:cs="Helvetica"/>
                <w:sz w:val="22"/>
                <w:szCs w:val="22"/>
              </w:rPr>
            </w:pPr>
            <w:r>
              <w:rPr>
                <w:rFonts w:ascii="Helvetica" w:hAnsi="Helvetica" w:cs="Helvetica"/>
                <w:sz w:val="22"/>
                <w:szCs w:val="22"/>
              </w:rPr>
              <w:t>-</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9256980"/>
      <w:r>
        <w:t>Key Assumptions</w:t>
      </w:r>
      <w:bookmarkEnd w:id="8"/>
    </w:p>
    <w:p w14:paraId="610D1980" w14:textId="55099F45" w:rsidR="00515181" w:rsidRPr="008E3A3C" w:rsidRDefault="00F00D44" w:rsidP="008E3A3C">
      <w:pPr>
        <w:pStyle w:val="ListParagraph"/>
        <w:numPr>
          <w:ilvl w:val="0"/>
          <w:numId w:val="43"/>
        </w:numPr>
        <w:jc w:val="both"/>
        <w:rPr>
          <w:rFonts w:ascii="Helvetica" w:hAnsi="Helvetica" w:cs="Helvetica"/>
          <w:sz w:val="22"/>
          <w:szCs w:val="22"/>
        </w:rPr>
      </w:pPr>
      <w:r w:rsidRPr="008E3A3C">
        <w:rPr>
          <w:rFonts w:ascii="Helvetica" w:hAnsi="Helvetica" w:cs="Helvetica"/>
          <w:sz w:val="22"/>
          <w:szCs w:val="22"/>
        </w:rPr>
        <w:t>Building infrastructure shall supply the RAW system for the TLBA.</w:t>
      </w:r>
    </w:p>
    <w:p w14:paraId="6D3004E9" w14:textId="24876AC7" w:rsidR="008E3A3C" w:rsidRDefault="008E3A3C" w:rsidP="008E3A3C">
      <w:pPr>
        <w:pStyle w:val="ListParagraph"/>
        <w:numPr>
          <w:ilvl w:val="0"/>
          <w:numId w:val="43"/>
        </w:numPr>
        <w:jc w:val="both"/>
        <w:rPr>
          <w:rFonts w:ascii="Helvetica" w:hAnsi="Helvetica" w:cs="Helvetica"/>
          <w:sz w:val="22"/>
          <w:szCs w:val="22"/>
        </w:rPr>
      </w:pPr>
      <w:r w:rsidRPr="008E3A3C">
        <w:rPr>
          <w:rFonts w:ascii="Helvetica" w:hAnsi="Helvetica" w:cs="Helvetica"/>
          <w:sz w:val="22"/>
          <w:szCs w:val="22"/>
        </w:rPr>
        <w:t>Instrumentation shall provide all beam instrumentation for the TLBA.</w:t>
      </w:r>
    </w:p>
    <w:p w14:paraId="7A1814CE" w14:textId="65CB5B8F" w:rsidR="00E65375" w:rsidRPr="008E3A3C" w:rsidRDefault="00E65375" w:rsidP="008E3A3C">
      <w:pPr>
        <w:pStyle w:val="ListParagraph"/>
        <w:numPr>
          <w:ilvl w:val="0"/>
          <w:numId w:val="43"/>
        </w:numPr>
        <w:jc w:val="both"/>
        <w:rPr>
          <w:rFonts w:ascii="Helvetica" w:hAnsi="Helvetica" w:cs="Helvetica"/>
          <w:sz w:val="22"/>
          <w:szCs w:val="22"/>
        </w:rPr>
      </w:pPr>
      <w:r>
        <w:rPr>
          <w:rFonts w:ascii="Helvetica" w:hAnsi="Helvetica" w:cs="Helvetica"/>
          <w:sz w:val="22"/>
          <w:szCs w:val="22"/>
        </w:rPr>
        <w:t>Vacuum shall provide enough aperture in the beam pipe and components to transfer the beam through the TLBA.</w:t>
      </w:r>
    </w:p>
    <w:p w14:paraId="1E8D511A" w14:textId="77777777" w:rsidR="00F2560F" w:rsidRPr="003723A9" w:rsidRDefault="00F2560F" w:rsidP="003723A9">
      <w:pPr>
        <w:jc w:val="both"/>
        <w:rPr>
          <w:rFonts w:ascii="Helvetica" w:hAnsi="Helvetica" w:cs="Helvetica"/>
          <w:sz w:val="22"/>
          <w:szCs w:val="22"/>
        </w:rPr>
      </w:pPr>
    </w:p>
    <w:p w14:paraId="5027937A" w14:textId="24A3522B" w:rsidR="00BD0DDD" w:rsidRPr="00FC372D" w:rsidRDefault="0042542A" w:rsidP="0042542A">
      <w:pPr>
        <w:pStyle w:val="Heading1"/>
        <w:jc w:val="both"/>
      </w:pPr>
      <w:bookmarkStart w:id="9" w:name="_Ref516143020"/>
      <w:bookmarkStart w:id="10" w:name="_Toc9256981"/>
      <w:r>
        <w:t>Functional Requirements</w:t>
      </w:r>
      <w:bookmarkStart w:id="11" w:name="_Toc509474832"/>
      <w:bookmarkStart w:id="12" w:name="_Toc510692260"/>
      <w:bookmarkEnd w:id="9"/>
      <w:bookmarkEnd w:id="1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26D55BFC" w:rsidR="00573470" w:rsidRPr="00EC3D28"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Statement</w:t>
            </w:r>
            <w:r w:rsidR="00573470">
              <w:rPr>
                <w:rFonts w:ascii="Helvetica" w:eastAsia="Times New Roman" w:hAnsi="Helvetica" w:cs="Helvetica"/>
                <w:b/>
                <w:color w:val="000000"/>
                <w:sz w:val="22"/>
                <w:szCs w:val="22"/>
              </w:rPr>
              <w:t xml:space="preserve"> </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0603CE6A"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855250">
              <w:rPr>
                <w:rFonts w:ascii="Helvetica" w:eastAsia="Times New Roman" w:hAnsi="Helvetica" w:cs="Helvetica"/>
                <w:color w:val="000000"/>
                <w:sz w:val="22"/>
                <w:szCs w:val="22"/>
              </w:rPr>
              <w:t>5</w:t>
            </w:r>
            <w:r w:rsidR="00B347F3">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sidR="000F5484">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6CB8FF11" w:rsidR="00694F3C" w:rsidRPr="00420F99" w:rsidRDefault="00B347F3" w:rsidP="00A33623">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 xml:space="preserve"> The TL</w:t>
            </w:r>
            <w:r w:rsidR="00381CF7">
              <w:rPr>
                <w:rFonts w:ascii="Helvetica" w:eastAsia="Times New Roman" w:hAnsi="Helvetica" w:cs="Helvetica"/>
                <w:color w:val="000000"/>
                <w:sz w:val="22"/>
                <w:szCs w:val="22"/>
              </w:rPr>
              <w:t>B</w:t>
            </w:r>
            <w:r>
              <w:rPr>
                <w:rFonts w:ascii="Helvetica" w:eastAsia="Times New Roman" w:hAnsi="Helvetica" w:cs="Helvetica"/>
                <w:color w:val="000000"/>
                <w:sz w:val="22"/>
                <w:szCs w:val="22"/>
              </w:rPr>
              <w:t xml:space="preserve">A shall </w:t>
            </w:r>
            <w:r w:rsidR="00C4376E">
              <w:rPr>
                <w:rFonts w:ascii="Helvetica" w:eastAsia="Times New Roman" w:hAnsi="Helvetica" w:cs="Helvetica"/>
                <w:color w:val="000000"/>
                <w:sz w:val="22"/>
                <w:szCs w:val="22"/>
              </w:rPr>
              <w:t>provide H</w:t>
            </w:r>
            <w:r w:rsidR="00C4376E" w:rsidRPr="00EC3D28">
              <w:rPr>
                <w:rFonts w:ascii="Helvetica" w:eastAsia="Times New Roman" w:hAnsi="Helvetica" w:cs="Helvetica"/>
                <w:color w:val="000000"/>
                <w:sz w:val="22"/>
                <w:szCs w:val="22"/>
                <w:vertAlign w:val="superscript"/>
              </w:rPr>
              <w:t>-</w:t>
            </w:r>
            <w:r w:rsidR="00C4376E">
              <w:rPr>
                <w:rFonts w:ascii="Helvetica" w:eastAsia="Times New Roman" w:hAnsi="Helvetica" w:cs="Helvetica"/>
                <w:color w:val="000000"/>
                <w:sz w:val="22"/>
                <w:szCs w:val="22"/>
              </w:rPr>
              <w:t xml:space="preserve"> beam transport from the end of the </w:t>
            </w:r>
            <w:r w:rsidR="00573470">
              <w:rPr>
                <w:rFonts w:ascii="Helvetica" w:eastAsia="Times New Roman" w:hAnsi="Helvetica" w:cs="Helvetica"/>
                <w:color w:val="000000"/>
                <w:sz w:val="22"/>
                <w:szCs w:val="22"/>
              </w:rPr>
              <w:t>L</w:t>
            </w:r>
            <w:r w:rsidR="00C4376E">
              <w:rPr>
                <w:rFonts w:ascii="Helvetica" w:eastAsia="Times New Roman" w:hAnsi="Helvetica" w:cs="Helvetica"/>
                <w:color w:val="000000"/>
                <w:sz w:val="22"/>
                <w:szCs w:val="22"/>
              </w:rPr>
              <w:t>inac to the Booster injection girder</w:t>
            </w:r>
            <w:r>
              <w:rPr>
                <w:rFonts w:ascii="Helvetica" w:eastAsia="Times New Roman" w:hAnsi="Helvetica" w:cs="Helvetica"/>
                <w:color w:val="000000"/>
                <w:sz w:val="22"/>
                <w:szCs w:val="22"/>
              </w:rPr>
              <w:t>.</w:t>
            </w:r>
          </w:p>
        </w:tc>
      </w:tr>
      <w:tr w:rsidR="00694F3C" w:rsidRPr="00420F99" w14:paraId="2303A8A3"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14907BA8"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sidR="00B347F3">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sidR="00266160">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3F45AD25"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w:t>
            </w:r>
            <w:r w:rsidR="00E31CE4">
              <w:rPr>
                <w:rFonts w:ascii="Helvetica" w:eastAsia="Times New Roman" w:hAnsi="Helvetica" w:cs="Helvetica"/>
                <w:color w:val="000000"/>
                <w:sz w:val="22"/>
                <w:szCs w:val="22"/>
              </w:rPr>
              <w:t xml:space="preserve"> </w:t>
            </w:r>
            <w:r w:rsidR="00B347F3">
              <w:rPr>
                <w:rFonts w:ascii="Helvetica" w:eastAsia="Times New Roman" w:hAnsi="Helvetica" w:cs="Helvetica"/>
                <w:color w:val="000000"/>
                <w:sz w:val="22"/>
                <w:szCs w:val="22"/>
              </w:rPr>
              <w:t>TL</w:t>
            </w:r>
            <w:r w:rsidR="00381CF7">
              <w:rPr>
                <w:rFonts w:ascii="Helvetica" w:eastAsia="Times New Roman" w:hAnsi="Helvetica" w:cs="Helvetica"/>
                <w:color w:val="000000"/>
                <w:sz w:val="22"/>
                <w:szCs w:val="22"/>
              </w:rPr>
              <w:t>B</w:t>
            </w:r>
            <w:r w:rsidR="00B347F3">
              <w:rPr>
                <w:rFonts w:ascii="Helvetica" w:eastAsia="Times New Roman" w:hAnsi="Helvetica" w:cs="Helvetica"/>
                <w:color w:val="000000"/>
                <w:sz w:val="22"/>
                <w:szCs w:val="22"/>
              </w:rPr>
              <w:t xml:space="preserve">A shall </w:t>
            </w:r>
            <w:r w:rsidR="00C4376E">
              <w:rPr>
                <w:rFonts w:ascii="Helvetica" w:eastAsia="Times New Roman" w:hAnsi="Helvetica" w:cs="Helvetica"/>
                <w:color w:val="000000"/>
                <w:sz w:val="22"/>
                <w:szCs w:val="22"/>
              </w:rPr>
              <w:t xml:space="preserve">have </w:t>
            </w:r>
            <w:r w:rsidR="000A7504">
              <w:rPr>
                <w:rFonts w:ascii="Helvetica" w:eastAsia="Times New Roman" w:hAnsi="Helvetica" w:cs="Helvetica"/>
                <w:color w:val="000000"/>
                <w:sz w:val="22"/>
                <w:szCs w:val="22"/>
              </w:rPr>
              <w:t xml:space="preserve">an appropriate </w:t>
            </w:r>
            <w:r w:rsidR="00E65375">
              <w:rPr>
                <w:rFonts w:ascii="Helvetica" w:eastAsia="Times New Roman" w:hAnsi="Helvetica" w:cs="Helvetica"/>
                <w:color w:val="000000"/>
                <w:sz w:val="22"/>
                <w:szCs w:val="22"/>
              </w:rPr>
              <w:t xml:space="preserve">beam </w:t>
            </w:r>
            <w:r w:rsidR="000A7504">
              <w:rPr>
                <w:rFonts w:ascii="Helvetica" w:eastAsia="Times New Roman" w:hAnsi="Helvetica" w:cs="Helvetica"/>
                <w:color w:val="000000"/>
                <w:sz w:val="22"/>
                <w:szCs w:val="22"/>
              </w:rPr>
              <w:t>size</w:t>
            </w:r>
            <w:r w:rsidR="00C4376E">
              <w:rPr>
                <w:rFonts w:ascii="Helvetica" w:eastAsia="Times New Roman" w:hAnsi="Helvetica" w:cs="Helvetica"/>
                <w:color w:val="000000"/>
                <w:sz w:val="22"/>
                <w:szCs w:val="22"/>
              </w:rPr>
              <w:t xml:space="preserve"> </w:t>
            </w:r>
            <w:r w:rsidR="00E65375">
              <w:rPr>
                <w:rFonts w:ascii="Helvetica" w:eastAsia="Times New Roman" w:hAnsi="Helvetica" w:cs="Helvetica"/>
                <w:color w:val="000000"/>
                <w:sz w:val="22"/>
                <w:szCs w:val="22"/>
              </w:rPr>
              <w:t xml:space="preserve">for the given </w:t>
            </w:r>
            <w:r w:rsidR="00C4376E">
              <w:rPr>
                <w:rFonts w:ascii="Helvetica" w:eastAsia="Times New Roman" w:hAnsi="Helvetica" w:cs="Helvetica"/>
                <w:color w:val="000000"/>
                <w:sz w:val="22"/>
                <w:szCs w:val="22"/>
              </w:rPr>
              <w:t xml:space="preserve">aperture in </w:t>
            </w:r>
            <w:r w:rsidR="00E65375">
              <w:rPr>
                <w:rFonts w:ascii="Helvetica" w:eastAsia="Times New Roman" w:hAnsi="Helvetica" w:cs="Helvetica"/>
                <w:color w:val="000000"/>
                <w:sz w:val="22"/>
                <w:szCs w:val="22"/>
              </w:rPr>
              <w:t>the</w:t>
            </w:r>
            <w:r w:rsidR="001F7167">
              <w:rPr>
                <w:rFonts w:ascii="Helvetica" w:eastAsia="Times New Roman" w:hAnsi="Helvetica" w:cs="Helvetica"/>
                <w:color w:val="000000"/>
                <w:sz w:val="22"/>
                <w:szCs w:val="22"/>
              </w:rPr>
              <w:t xml:space="preserve"> beam pipe and components to transport the beam</w:t>
            </w:r>
            <w:r w:rsidR="00E65375">
              <w:rPr>
                <w:rFonts w:ascii="Helvetica" w:eastAsia="Times New Roman" w:hAnsi="Helvetica" w:cs="Helvetica"/>
                <w:color w:val="000000"/>
                <w:sz w:val="22"/>
                <w:szCs w:val="22"/>
              </w:rPr>
              <w:t>.</w:t>
            </w:r>
          </w:p>
        </w:tc>
      </w:tr>
      <w:tr w:rsidR="00573470" w:rsidRPr="00420F99" w14:paraId="0EA37076"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1E291C4" w14:textId="3FA026E9" w:rsidR="00573470" w:rsidRDefault="00573470"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BFEF254" w14:textId="57D0745D" w:rsidR="00573470" w:rsidRDefault="00573470"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TLBA shall provide the specifications of the magnets and their power supplies.</w:t>
            </w:r>
          </w:p>
        </w:tc>
      </w:tr>
      <w:tr w:rsidR="00694F3C" w:rsidRPr="00420F99" w14:paraId="2950B331" w14:textId="77777777" w:rsidTr="00AE4EA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374F82CA" w:rsidR="00694F3C" w:rsidRPr="00420F99" w:rsidRDefault="00B347F3"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00</w:t>
            </w:r>
            <w:r w:rsidR="00573470">
              <w:rPr>
                <w:rFonts w:ascii="Helvetica" w:eastAsia="Times New Roman" w:hAnsi="Helvetica" w:cs="Helvetica"/>
                <w:color w:val="000000"/>
                <w:sz w:val="22"/>
                <w:szCs w:val="22"/>
              </w:rPr>
              <w:t>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1C38558C" w:rsidR="00694F3C" w:rsidRPr="00420F99" w:rsidRDefault="00B347F3"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w:t>
            </w:r>
            <w:r w:rsidR="00381CF7">
              <w:rPr>
                <w:rFonts w:ascii="Helvetica" w:eastAsia="Times New Roman" w:hAnsi="Helvetica" w:cs="Helvetica"/>
                <w:color w:val="000000"/>
                <w:sz w:val="22"/>
                <w:szCs w:val="22"/>
              </w:rPr>
              <w:t>B</w:t>
            </w:r>
            <w:r>
              <w:rPr>
                <w:rFonts w:ascii="Helvetica" w:eastAsia="Times New Roman" w:hAnsi="Helvetica" w:cs="Helvetica"/>
                <w:color w:val="000000"/>
                <w:sz w:val="22"/>
                <w:szCs w:val="22"/>
              </w:rPr>
              <w:t xml:space="preserve">A shall </w:t>
            </w:r>
            <w:r w:rsidR="001F7167">
              <w:rPr>
                <w:rFonts w:ascii="Helvetica" w:eastAsia="Times New Roman" w:hAnsi="Helvetica" w:cs="Helvetica"/>
                <w:color w:val="000000"/>
                <w:sz w:val="22"/>
                <w:szCs w:val="22"/>
              </w:rPr>
              <w:t xml:space="preserve">provide </w:t>
            </w:r>
            <w:r w:rsidR="0095594C">
              <w:rPr>
                <w:rFonts w:ascii="Helvetica" w:eastAsia="Times New Roman" w:hAnsi="Helvetica" w:cs="Helvetica"/>
                <w:color w:val="000000"/>
                <w:sz w:val="22"/>
                <w:szCs w:val="22"/>
              </w:rPr>
              <w:t>specifications and locations for BPM</w:t>
            </w:r>
            <w:r w:rsidR="006B0FF0">
              <w:rPr>
                <w:rFonts w:ascii="Helvetica" w:eastAsia="Times New Roman" w:hAnsi="Helvetica" w:cs="Helvetica"/>
                <w:color w:val="000000"/>
                <w:sz w:val="22"/>
                <w:szCs w:val="22"/>
              </w:rPr>
              <w:t>’</w:t>
            </w:r>
            <w:r w:rsidR="0095594C">
              <w:rPr>
                <w:rFonts w:ascii="Helvetica" w:eastAsia="Times New Roman" w:hAnsi="Helvetica" w:cs="Helvetica"/>
                <w:color w:val="000000"/>
                <w:sz w:val="22"/>
                <w:szCs w:val="22"/>
              </w:rPr>
              <w:t>s to the Instrumentation L3.</w:t>
            </w:r>
          </w:p>
        </w:tc>
      </w:tr>
      <w:tr w:rsidR="0095594C" w:rsidRPr="00420F99" w14:paraId="538EEDB9" w14:textId="77777777" w:rsidTr="00AE4EA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D215AA3" w14:textId="66772A04" w:rsidR="0095594C" w:rsidRDefault="0095594C"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39EF0F7" w14:textId="3C154C12" w:rsidR="0095594C" w:rsidRDefault="0095594C"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TLBA shall provide specifications and locations for </w:t>
            </w:r>
            <w:r w:rsidR="006B0FF0">
              <w:rPr>
                <w:rFonts w:ascii="Helvetica" w:eastAsia="Times New Roman" w:hAnsi="Helvetica" w:cs="Helvetica"/>
                <w:color w:val="000000"/>
                <w:sz w:val="22"/>
                <w:szCs w:val="22"/>
              </w:rPr>
              <w:t>BLM’s</w:t>
            </w:r>
            <w:r>
              <w:rPr>
                <w:rFonts w:ascii="Helvetica" w:eastAsia="Times New Roman" w:hAnsi="Helvetica" w:cs="Helvetica"/>
                <w:color w:val="000000"/>
                <w:sz w:val="22"/>
                <w:szCs w:val="22"/>
              </w:rPr>
              <w:t xml:space="preserve"> to the Instrumentation L3.</w:t>
            </w:r>
          </w:p>
        </w:tc>
      </w:tr>
      <w:tr w:rsidR="006B0FF0" w:rsidRPr="00420F99" w14:paraId="62BFBB4F" w14:textId="77777777" w:rsidTr="00AE4EA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E59525B" w14:textId="3D5FBCE8" w:rsidR="006B0FF0" w:rsidRDefault="006B0FF0"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3B931FE" w14:textId="02FE8E6B" w:rsidR="006B0FF0" w:rsidRDefault="006B0FF0"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TLBA shall provide specifications and locations for the transverse beam profile monitors to the Instrumentation L3.</w:t>
            </w:r>
          </w:p>
        </w:tc>
      </w:tr>
      <w:tr w:rsidR="006B0FF0" w:rsidRPr="00420F99" w14:paraId="655CDF4C" w14:textId="77777777" w:rsidTr="00AE4EA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4618EB1" w14:textId="32A53ACC" w:rsidR="006B0FF0" w:rsidRDefault="006B0FF0"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007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DABDD7E" w14:textId="70AEB7F1" w:rsidR="006B0FF0" w:rsidRDefault="006B0FF0"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TLBA shall provide specifications and location for the laser-based transverse beam emittance monitors</w:t>
            </w:r>
            <w:r w:rsidR="00E65375">
              <w:rPr>
                <w:rFonts w:ascii="Helvetica" w:eastAsia="Times New Roman" w:hAnsi="Helvetica" w:cs="Helvetica"/>
                <w:color w:val="000000"/>
                <w:sz w:val="22"/>
                <w:szCs w:val="22"/>
              </w:rPr>
              <w:t xml:space="preserve"> to the Instrumentation L3</w:t>
            </w:r>
            <w:r>
              <w:rPr>
                <w:rFonts w:ascii="Helvetica" w:eastAsia="Times New Roman" w:hAnsi="Helvetica" w:cs="Helvetica"/>
                <w:color w:val="000000"/>
                <w:sz w:val="22"/>
                <w:szCs w:val="22"/>
              </w:rPr>
              <w:t>.</w:t>
            </w:r>
          </w:p>
        </w:tc>
      </w:tr>
      <w:tr w:rsidR="00AE4EA2" w:rsidRPr="00420F99" w14:paraId="12D475D2" w14:textId="77777777" w:rsidTr="00AE4EA2">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59EA293" w14:textId="2008087B" w:rsidR="00AE4EA2" w:rsidRDefault="00AE4E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00</w:t>
            </w:r>
            <w:r w:rsidR="006B0FF0">
              <w:rPr>
                <w:rFonts w:ascii="Helvetica" w:eastAsia="Times New Roman" w:hAnsi="Helvetica" w:cs="Helvetica"/>
                <w:color w:val="000000"/>
                <w:sz w:val="22"/>
                <w:szCs w:val="22"/>
              </w:rPr>
              <w:t>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1CF9003" w14:textId="591B7B87" w:rsidR="00AE4EA2" w:rsidRDefault="00AE4E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w:t>
            </w:r>
            <w:r w:rsidR="00381CF7">
              <w:rPr>
                <w:rFonts w:ascii="Helvetica" w:eastAsia="Times New Roman" w:hAnsi="Helvetica" w:cs="Helvetica"/>
                <w:color w:val="000000"/>
                <w:sz w:val="22"/>
                <w:szCs w:val="22"/>
              </w:rPr>
              <w:t>B</w:t>
            </w:r>
            <w:r>
              <w:rPr>
                <w:rFonts w:ascii="Helvetica" w:eastAsia="Times New Roman" w:hAnsi="Helvetica" w:cs="Helvetica"/>
                <w:color w:val="000000"/>
                <w:sz w:val="22"/>
                <w:szCs w:val="22"/>
              </w:rPr>
              <w:t>A shall provide collimators</w:t>
            </w:r>
            <w:r w:rsidR="001F7167">
              <w:rPr>
                <w:rFonts w:ascii="Helvetica" w:eastAsia="Times New Roman" w:hAnsi="Helvetica" w:cs="Helvetica"/>
                <w:color w:val="000000"/>
                <w:sz w:val="22"/>
                <w:szCs w:val="22"/>
              </w:rPr>
              <w:t xml:space="preserve"> that </w:t>
            </w:r>
            <w:r w:rsidR="00E31CE4">
              <w:rPr>
                <w:rFonts w:ascii="Helvetica" w:eastAsia="Times New Roman" w:hAnsi="Helvetica" w:cs="Helvetica"/>
                <w:color w:val="000000"/>
                <w:sz w:val="22"/>
                <w:szCs w:val="22"/>
              </w:rPr>
              <w:t>efficiently remove stray particles and provide protection against uncontrolled losses.</w:t>
            </w:r>
          </w:p>
        </w:tc>
      </w:tr>
      <w:tr w:rsidR="00AE4EA2" w:rsidRPr="00420F99" w14:paraId="5F3AAD24" w14:textId="77777777" w:rsidTr="00EC3D2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406982F" w14:textId="226A94BF" w:rsidR="00AE4EA2" w:rsidRDefault="00AE4EA2" w:rsidP="00AE4E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00</w:t>
            </w:r>
            <w:r w:rsidR="006B0FF0">
              <w:rPr>
                <w:rFonts w:ascii="Helvetica" w:eastAsia="Times New Roman" w:hAnsi="Helvetica" w:cs="Helvetica"/>
                <w:color w:val="000000"/>
                <w:sz w:val="22"/>
                <w:szCs w:val="22"/>
              </w:rPr>
              <w:t>9</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C08F8B9" w14:textId="0CF144DF" w:rsidR="00AE4EA2" w:rsidRDefault="00AE4EA2" w:rsidP="00AE4E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w:t>
            </w:r>
            <w:r w:rsidR="00381CF7">
              <w:rPr>
                <w:rFonts w:ascii="Helvetica" w:eastAsia="Times New Roman" w:hAnsi="Helvetica" w:cs="Helvetica"/>
                <w:color w:val="000000"/>
                <w:sz w:val="22"/>
                <w:szCs w:val="22"/>
              </w:rPr>
              <w:t>B</w:t>
            </w:r>
            <w:r>
              <w:rPr>
                <w:rFonts w:ascii="Helvetica" w:eastAsia="Times New Roman" w:hAnsi="Helvetica" w:cs="Helvetica"/>
                <w:color w:val="000000"/>
                <w:sz w:val="22"/>
                <w:szCs w:val="22"/>
              </w:rPr>
              <w:t xml:space="preserve">A shall provide </w:t>
            </w:r>
            <w:r w:rsidR="008A2B87">
              <w:rPr>
                <w:rFonts w:ascii="Helvetica" w:eastAsia="Times New Roman" w:hAnsi="Helvetica" w:cs="Helvetica"/>
                <w:color w:val="000000"/>
                <w:sz w:val="22"/>
                <w:szCs w:val="22"/>
              </w:rPr>
              <w:t xml:space="preserve">a beam absorber that can handle the impact </w:t>
            </w:r>
            <w:r w:rsidR="00A02649">
              <w:rPr>
                <w:rFonts w:ascii="Helvetica" w:eastAsia="Times New Roman" w:hAnsi="Helvetica" w:cs="Helvetica"/>
                <w:color w:val="000000"/>
                <w:sz w:val="22"/>
                <w:szCs w:val="22"/>
              </w:rPr>
              <w:t xml:space="preserve">and </w:t>
            </w:r>
            <w:r w:rsidR="0082769B">
              <w:rPr>
                <w:rFonts w:ascii="Helvetica" w:eastAsia="Times New Roman" w:hAnsi="Helvetica" w:cs="Helvetica"/>
                <w:color w:val="000000"/>
                <w:sz w:val="22"/>
                <w:szCs w:val="22"/>
              </w:rPr>
              <w:t xml:space="preserve">dissipate the energy </w:t>
            </w:r>
            <w:r w:rsidR="008A2B87">
              <w:rPr>
                <w:rFonts w:ascii="Helvetica" w:eastAsia="Times New Roman" w:hAnsi="Helvetica" w:cs="Helvetica"/>
                <w:color w:val="000000"/>
                <w:sz w:val="22"/>
                <w:szCs w:val="22"/>
              </w:rPr>
              <w:t>of the full beam power specified for injection into the Booster ring.</w:t>
            </w:r>
          </w:p>
        </w:tc>
      </w:tr>
      <w:tr w:rsidR="008A2B87" w:rsidRPr="00420F99" w14:paraId="26E2B573" w14:textId="77777777" w:rsidTr="00EC3D2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E31909D" w14:textId="497415A8" w:rsidR="008A2B87" w:rsidRDefault="00573470" w:rsidP="00AE4E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8A2B87">
              <w:rPr>
                <w:rFonts w:ascii="Helvetica" w:eastAsia="Times New Roman" w:hAnsi="Helvetica" w:cs="Helvetica"/>
                <w:color w:val="000000"/>
                <w:sz w:val="22"/>
                <w:szCs w:val="22"/>
              </w:rPr>
              <w:t>F-121.</w:t>
            </w:r>
            <w:r w:rsidR="00855250">
              <w:rPr>
                <w:rFonts w:ascii="Helvetica" w:eastAsia="Times New Roman" w:hAnsi="Helvetica" w:cs="Helvetica"/>
                <w:color w:val="000000"/>
                <w:sz w:val="22"/>
                <w:szCs w:val="22"/>
              </w:rPr>
              <w:t>5</w:t>
            </w:r>
            <w:r w:rsidR="008A2B87">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sidR="008A2B87">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sidR="008A2B87">
              <w:rPr>
                <w:rFonts w:ascii="Helvetica" w:eastAsia="Times New Roman" w:hAnsi="Helvetica" w:cs="Helvetica"/>
                <w:color w:val="000000"/>
                <w:sz w:val="22"/>
                <w:szCs w:val="22"/>
              </w:rPr>
              <w:t>0</w:t>
            </w:r>
            <w:r w:rsidR="006B0FF0">
              <w:rPr>
                <w:rFonts w:ascii="Helvetica" w:eastAsia="Times New Roman" w:hAnsi="Helvetica" w:cs="Helvetica"/>
                <w:color w:val="000000"/>
                <w:sz w:val="22"/>
                <w:szCs w:val="22"/>
              </w:rPr>
              <w:t>10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E859CF2" w14:textId="6F7AD676" w:rsidR="008A2B87" w:rsidRDefault="008A2B87" w:rsidP="00AE4EA2">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TL</w:t>
            </w:r>
            <w:r w:rsidR="00381CF7">
              <w:rPr>
                <w:rFonts w:ascii="Helvetica" w:eastAsia="Times New Roman" w:hAnsi="Helvetica" w:cs="Helvetica"/>
                <w:color w:val="000000"/>
                <w:sz w:val="22"/>
                <w:szCs w:val="22"/>
              </w:rPr>
              <w:t>B</w:t>
            </w:r>
            <w:r>
              <w:rPr>
                <w:rFonts w:ascii="Helvetica" w:eastAsia="Times New Roman" w:hAnsi="Helvetica" w:cs="Helvetica"/>
                <w:color w:val="000000"/>
                <w:sz w:val="22"/>
                <w:szCs w:val="22"/>
              </w:rPr>
              <w:t xml:space="preserve">A shall provide a </w:t>
            </w:r>
            <w:r w:rsidR="000D0274">
              <w:rPr>
                <w:rFonts w:ascii="Helvetica" w:eastAsia="Times New Roman" w:hAnsi="Helvetica" w:cs="Helvetica"/>
                <w:color w:val="000000"/>
                <w:sz w:val="22"/>
                <w:szCs w:val="22"/>
              </w:rPr>
              <w:t xml:space="preserve">low power </w:t>
            </w:r>
            <w:r>
              <w:rPr>
                <w:rFonts w:ascii="Helvetica" w:eastAsia="Times New Roman" w:hAnsi="Helvetica" w:cs="Helvetica"/>
                <w:color w:val="000000"/>
                <w:sz w:val="22"/>
                <w:szCs w:val="22"/>
              </w:rPr>
              <w:t xml:space="preserve">beam absorber that is movable and can handle </w:t>
            </w:r>
            <w:proofErr w:type="gramStart"/>
            <w:r>
              <w:rPr>
                <w:rFonts w:ascii="Helvetica" w:eastAsia="Times New Roman" w:hAnsi="Helvetica" w:cs="Helvetica"/>
                <w:color w:val="000000"/>
                <w:sz w:val="22"/>
                <w:szCs w:val="22"/>
              </w:rPr>
              <w:t>sufficient</w:t>
            </w:r>
            <w:proofErr w:type="gramEnd"/>
            <w:r>
              <w:rPr>
                <w:rFonts w:ascii="Helvetica" w:eastAsia="Times New Roman" w:hAnsi="Helvetica" w:cs="Helvetica"/>
                <w:color w:val="000000"/>
                <w:sz w:val="22"/>
                <w:szCs w:val="22"/>
              </w:rPr>
              <w:t xml:space="preserve"> beam power </w:t>
            </w:r>
            <w:r w:rsidR="00573470">
              <w:rPr>
                <w:rFonts w:ascii="Helvetica" w:eastAsia="Times New Roman" w:hAnsi="Helvetica" w:cs="Helvetica"/>
                <w:color w:val="000000"/>
                <w:sz w:val="22"/>
                <w:szCs w:val="22"/>
              </w:rPr>
              <w:t>for Linac commissioning</w:t>
            </w:r>
            <w:r>
              <w:rPr>
                <w:rFonts w:ascii="Helvetica" w:eastAsia="Times New Roman" w:hAnsi="Helvetica" w:cs="Helvetica"/>
                <w:color w:val="000000"/>
                <w:sz w:val="22"/>
                <w:szCs w:val="22"/>
              </w:rPr>
              <w:t>.</w:t>
            </w:r>
          </w:p>
        </w:tc>
      </w:tr>
      <w:tr w:rsidR="008A2B87" w:rsidRPr="00420F99" w14:paraId="5134F0C0" w14:textId="77777777" w:rsidTr="00EC3D2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4194AA2" w14:textId="3F19C659" w:rsidR="008A2B87" w:rsidRDefault="008A2B87"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w:t>
            </w:r>
            <w:r w:rsidR="006B0FF0">
              <w:rPr>
                <w:rFonts w:ascii="Helvetica" w:eastAsia="Times New Roman" w:hAnsi="Helvetica" w:cs="Helvetica"/>
                <w:color w:val="000000"/>
                <w:sz w:val="22"/>
                <w:szCs w:val="22"/>
              </w:rPr>
              <w:t>11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950F0DC" w14:textId="63B367E4" w:rsidR="008A2B87" w:rsidRDefault="008A2B87"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TL</w:t>
            </w:r>
            <w:r w:rsidR="00381CF7">
              <w:rPr>
                <w:rFonts w:ascii="Helvetica" w:eastAsia="Times New Roman" w:hAnsi="Helvetica" w:cs="Helvetica"/>
                <w:color w:val="000000"/>
                <w:sz w:val="22"/>
                <w:szCs w:val="22"/>
              </w:rPr>
              <w:t>B</w:t>
            </w:r>
            <w:r>
              <w:rPr>
                <w:rFonts w:ascii="Helvetica" w:eastAsia="Times New Roman" w:hAnsi="Helvetica" w:cs="Helvetica"/>
                <w:color w:val="000000"/>
                <w:sz w:val="22"/>
                <w:szCs w:val="22"/>
              </w:rPr>
              <w:t xml:space="preserve">A shall interface to the Linac in a manner that maintains Linac low-particulate </w:t>
            </w:r>
            <w:r w:rsidR="003B57EB">
              <w:rPr>
                <w:rFonts w:ascii="Helvetica" w:eastAsia="Times New Roman" w:hAnsi="Helvetica" w:cs="Helvetica"/>
                <w:color w:val="000000"/>
                <w:sz w:val="22"/>
                <w:szCs w:val="22"/>
              </w:rPr>
              <w:t xml:space="preserve">ultra-high </w:t>
            </w:r>
            <w:r>
              <w:rPr>
                <w:rFonts w:ascii="Helvetica" w:eastAsia="Times New Roman" w:hAnsi="Helvetica" w:cs="Helvetica"/>
                <w:color w:val="000000"/>
                <w:sz w:val="22"/>
                <w:szCs w:val="22"/>
              </w:rPr>
              <w:t>vacuum.</w:t>
            </w:r>
          </w:p>
        </w:tc>
      </w:tr>
      <w:tr w:rsidR="008A2B87" w:rsidRPr="00420F99" w14:paraId="58234A8D"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0A47E89" w14:textId="2681513F" w:rsidR="008A2B87" w:rsidRDefault="008A2B87"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855250">
              <w:rPr>
                <w:rFonts w:ascii="Helvetica" w:eastAsia="Times New Roman" w:hAnsi="Helvetica" w:cs="Helvetica"/>
                <w:color w:val="000000"/>
                <w:sz w:val="22"/>
                <w:szCs w:val="22"/>
              </w:rPr>
              <w:t>5</w:t>
            </w:r>
            <w:r>
              <w:rPr>
                <w:rFonts w:ascii="Helvetica" w:eastAsia="Times New Roman" w:hAnsi="Helvetica" w:cs="Helvetica"/>
                <w:color w:val="000000"/>
                <w:sz w:val="22"/>
                <w:szCs w:val="22"/>
              </w:rPr>
              <w:t>.0</w:t>
            </w:r>
            <w:r w:rsidR="00855250">
              <w:rPr>
                <w:rFonts w:ascii="Helvetica" w:eastAsia="Times New Roman" w:hAnsi="Helvetica" w:cs="Helvetica"/>
                <w:color w:val="000000"/>
                <w:sz w:val="22"/>
                <w:szCs w:val="22"/>
              </w:rPr>
              <w:t>2</w:t>
            </w:r>
            <w:r>
              <w:rPr>
                <w:rFonts w:ascii="Helvetica" w:eastAsia="Times New Roman" w:hAnsi="Helvetica" w:cs="Helvetica"/>
                <w:color w:val="000000"/>
                <w:sz w:val="22"/>
                <w:szCs w:val="22"/>
              </w:rPr>
              <w:t>-</w:t>
            </w:r>
            <w:r w:rsidR="00E13226">
              <w:rPr>
                <w:rFonts w:ascii="Helvetica" w:eastAsia="Times New Roman" w:hAnsi="Helvetica" w:cs="Helvetica"/>
                <w:color w:val="000000"/>
                <w:sz w:val="22"/>
                <w:szCs w:val="22"/>
              </w:rPr>
              <w:t>A</w:t>
            </w:r>
            <w:r>
              <w:rPr>
                <w:rFonts w:ascii="Helvetica" w:eastAsia="Times New Roman" w:hAnsi="Helvetica" w:cs="Helvetica"/>
                <w:color w:val="000000"/>
                <w:sz w:val="22"/>
                <w:szCs w:val="22"/>
              </w:rPr>
              <w:t>0</w:t>
            </w:r>
            <w:r w:rsidR="0095594C">
              <w:rPr>
                <w:rFonts w:ascii="Helvetica" w:eastAsia="Times New Roman" w:hAnsi="Helvetica" w:cs="Helvetica"/>
                <w:color w:val="000000"/>
                <w:sz w:val="22"/>
                <w:szCs w:val="22"/>
              </w:rPr>
              <w:t>1</w:t>
            </w:r>
            <w:r w:rsidR="006B0FF0">
              <w:rPr>
                <w:rFonts w:ascii="Helvetica" w:eastAsia="Times New Roman" w:hAnsi="Helvetica" w:cs="Helvetica"/>
                <w:color w:val="000000"/>
                <w:sz w:val="22"/>
                <w:szCs w:val="22"/>
              </w:rPr>
              <w:t>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196FAE0" w14:textId="5C95B7A5" w:rsidR="00855250" w:rsidRDefault="008A2B87"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TL</w:t>
            </w:r>
            <w:r w:rsidR="00381CF7">
              <w:rPr>
                <w:rFonts w:ascii="Helvetica" w:eastAsia="Times New Roman" w:hAnsi="Helvetica" w:cs="Helvetica"/>
                <w:color w:val="000000"/>
                <w:sz w:val="22"/>
                <w:szCs w:val="22"/>
              </w:rPr>
              <w:t>B</w:t>
            </w:r>
            <w:r>
              <w:rPr>
                <w:rFonts w:ascii="Helvetica" w:eastAsia="Times New Roman" w:hAnsi="Helvetica" w:cs="Helvetica"/>
                <w:color w:val="000000"/>
                <w:sz w:val="22"/>
                <w:szCs w:val="22"/>
              </w:rPr>
              <w:t xml:space="preserve">A shall connect to the Booster injection girder vacuum with conventional </w:t>
            </w:r>
            <w:r w:rsidR="00535997">
              <w:rPr>
                <w:rFonts w:ascii="Helvetica" w:eastAsia="Times New Roman" w:hAnsi="Helvetica" w:cs="Helvetica"/>
                <w:color w:val="000000"/>
                <w:sz w:val="22"/>
                <w:szCs w:val="22"/>
              </w:rPr>
              <w:t xml:space="preserve">ultra-high </w:t>
            </w:r>
            <w:r>
              <w:rPr>
                <w:rFonts w:ascii="Helvetica" w:eastAsia="Times New Roman" w:hAnsi="Helvetica" w:cs="Helvetica"/>
                <w:color w:val="000000"/>
                <w:sz w:val="22"/>
                <w:szCs w:val="22"/>
              </w:rPr>
              <w:t xml:space="preserve">vacuum </w:t>
            </w:r>
            <w:r w:rsidR="00E000CB">
              <w:rPr>
                <w:rFonts w:ascii="Helvetica" w:eastAsia="Times New Roman" w:hAnsi="Helvetica" w:cs="Helvetica"/>
                <w:color w:val="000000"/>
                <w:sz w:val="22"/>
                <w:szCs w:val="22"/>
              </w:rPr>
              <w:t>design principles</w:t>
            </w:r>
            <w:r>
              <w:rPr>
                <w:rFonts w:ascii="Helvetica" w:eastAsia="Times New Roman" w:hAnsi="Helvetica" w:cs="Helvetica"/>
                <w:color w:val="000000"/>
                <w:sz w:val="22"/>
                <w:szCs w:val="22"/>
              </w:rPr>
              <w:t>.</w:t>
            </w:r>
          </w:p>
        </w:tc>
      </w:tr>
      <w:tr w:rsidR="00855250" w:rsidRPr="00420F99" w14:paraId="24FAAA29"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37B6DE2" w14:textId="573FBFBF" w:rsidR="00855250" w:rsidRDefault="00855250"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 xml:space="preserve"> F-121.5.02-A013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1333812" w14:textId="34A9BD97" w:rsidR="00855250" w:rsidRDefault="00855250"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TLBA shall provide </w:t>
            </w:r>
            <w:r w:rsidR="00B15DE4">
              <w:rPr>
                <w:rFonts w:ascii="Helvetica" w:eastAsia="Times New Roman" w:hAnsi="Helvetica" w:cs="Helvetica"/>
                <w:color w:val="000000"/>
                <w:sz w:val="22"/>
                <w:szCs w:val="22"/>
              </w:rPr>
              <w:t xml:space="preserve">the quadrupole magnets required for the gamma-t jump system in Main Injector. The quadrupole magnets shall have enough strength to </w:t>
            </w:r>
            <w:r w:rsidR="00EE22DD">
              <w:rPr>
                <w:rFonts w:ascii="Helvetica" w:eastAsia="Times New Roman" w:hAnsi="Helvetica" w:cs="Helvetica"/>
                <w:color w:val="000000"/>
                <w:sz w:val="22"/>
                <w:szCs w:val="22"/>
              </w:rPr>
              <w:t>provide a loss free transition crossing in Main Injector.</w:t>
            </w:r>
          </w:p>
        </w:tc>
      </w:tr>
      <w:tr w:rsidR="00855250" w:rsidRPr="00420F99" w14:paraId="588C480E"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F5EB366" w14:textId="46E04CFD" w:rsidR="00855250" w:rsidRDefault="00ED0EBA"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F-121.5.02</w:t>
            </w:r>
            <w:r w:rsidR="00B15DE4">
              <w:rPr>
                <w:rFonts w:ascii="Helvetica" w:eastAsia="Times New Roman" w:hAnsi="Helvetica" w:cs="Helvetica"/>
                <w:color w:val="000000"/>
                <w:sz w:val="22"/>
                <w:szCs w:val="22"/>
              </w:rPr>
              <w:t>-A014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2F15207E" w14:textId="24A7EF28" w:rsidR="00855250" w:rsidRDefault="00ED0EBA" w:rsidP="008A2B8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TLBA shall provide the power supplies require to drive the gamma-t quadrupole magnets in Main Injector</w:t>
            </w:r>
          </w:p>
        </w:tc>
      </w:tr>
      <w:tr w:rsidR="00855250" w:rsidRPr="00420F99" w14:paraId="3A16E8BF"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8B52977"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9046EAD"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02A70C29"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BEBB1A5"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C0ABAA4"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14DA2A2B"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D8A278E"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81C684E"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448BB234"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0905F15"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D9C6998"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6801CC28"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3E404165"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21984A0"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5FB5A6C7"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8021929"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38C12AF"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6A554804"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6CC0D03"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D1C1B6E"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5BEFC4CB"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4B8A16F"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1A161351"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770A3BC3"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85D8CB2"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7EB402F"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690331E2" w14:textId="77777777" w:rsidTr="00855250">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EA3AF3C"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8867354" w14:textId="77777777" w:rsidR="00855250" w:rsidRDefault="00855250" w:rsidP="008A2B87">
            <w:pPr>
              <w:jc w:val="both"/>
              <w:textAlignment w:val="baseline"/>
              <w:rPr>
                <w:rFonts w:ascii="Helvetica" w:eastAsia="Times New Roman" w:hAnsi="Helvetica" w:cs="Helvetica"/>
                <w:color w:val="000000"/>
                <w:sz w:val="22"/>
                <w:szCs w:val="22"/>
              </w:rPr>
            </w:pPr>
          </w:p>
        </w:tc>
      </w:tr>
      <w:tr w:rsidR="00855250" w:rsidRPr="00420F99" w14:paraId="7E6F6B7C" w14:textId="77777777" w:rsidTr="00F03B79">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4896A289" w14:textId="77777777" w:rsidR="00855250" w:rsidRDefault="00855250" w:rsidP="008A2B87">
            <w:pPr>
              <w:jc w:val="both"/>
              <w:textAlignment w:val="baseline"/>
              <w:rPr>
                <w:rFonts w:ascii="Helvetica" w:eastAsia="Times New Roman" w:hAnsi="Helvetica" w:cs="Helvetica"/>
                <w:color w:val="000000"/>
                <w:sz w:val="22"/>
                <w:szCs w:val="22"/>
              </w:rPr>
            </w:pP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55E64845" w14:textId="77777777" w:rsidR="00855250" w:rsidRDefault="00855250" w:rsidP="008A2B87">
            <w:pPr>
              <w:jc w:val="both"/>
              <w:textAlignment w:val="baseline"/>
              <w:rPr>
                <w:rFonts w:ascii="Helvetica" w:eastAsia="Times New Roman" w:hAnsi="Helvetica" w:cs="Helvetica"/>
                <w:color w:val="000000"/>
                <w:sz w:val="22"/>
                <w:szCs w:val="22"/>
              </w:rPr>
            </w:pPr>
          </w:p>
        </w:tc>
      </w:tr>
      <w:bookmarkEnd w:id="11"/>
      <w:bookmarkEnd w:id="1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3" w:name="_Toc9256982"/>
      <w:r>
        <w:t>Safety Requirements</w:t>
      </w:r>
      <w:bookmarkEnd w:id="13"/>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lastRenderedPageBreak/>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87BA" w14:textId="77777777" w:rsidR="00FE1676" w:rsidRDefault="00FE1676" w:rsidP="008C6B3A">
      <w:r>
        <w:separator/>
      </w:r>
    </w:p>
    <w:p w14:paraId="1D53E861" w14:textId="77777777" w:rsidR="00FE1676" w:rsidRDefault="00FE1676"/>
    <w:p w14:paraId="370683BE" w14:textId="77777777" w:rsidR="00FE1676" w:rsidRDefault="00FE1676" w:rsidP="00D346FA"/>
  </w:endnote>
  <w:endnote w:type="continuationSeparator" w:id="0">
    <w:p w14:paraId="57E37AFA" w14:textId="77777777" w:rsidR="00FE1676" w:rsidRDefault="00FE1676" w:rsidP="008C6B3A">
      <w:r>
        <w:continuationSeparator/>
      </w:r>
    </w:p>
    <w:p w14:paraId="4CF1B88A" w14:textId="77777777" w:rsidR="00FE1676" w:rsidRDefault="00FE1676"/>
    <w:p w14:paraId="7041594D" w14:textId="77777777" w:rsidR="00FE1676" w:rsidRDefault="00FE1676" w:rsidP="00D346FA"/>
  </w:endnote>
  <w:endnote w:type="continuationNotice" w:id="1">
    <w:p w14:paraId="5E4FEC2F" w14:textId="77777777" w:rsidR="00FE1676" w:rsidRDefault="00FE1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77777777"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21</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3F6D6EF"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42514C">
      <w:rPr>
        <w:rStyle w:val="PageNumber"/>
        <w:noProof/>
        <w:sz w:val="15"/>
        <w:szCs w:val="15"/>
      </w:rPr>
      <w:t>21</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9B1B" w14:textId="77777777" w:rsidR="00FE1676" w:rsidRDefault="00FE1676" w:rsidP="008C6B3A">
      <w:r>
        <w:separator/>
      </w:r>
    </w:p>
    <w:p w14:paraId="77E64308" w14:textId="77777777" w:rsidR="00FE1676" w:rsidRDefault="00FE1676"/>
    <w:p w14:paraId="57A67D38" w14:textId="77777777" w:rsidR="00FE1676" w:rsidRDefault="00FE1676" w:rsidP="00D346FA"/>
  </w:footnote>
  <w:footnote w:type="continuationSeparator" w:id="0">
    <w:p w14:paraId="1B25638A" w14:textId="77777777" w:rsidR="00FE1676" w:rsidRDefault="00FE1676" w:rsidP="008C6B3A">
      <w:r>
        <w:continuationSeparator/>
      </w:r>
    </w:p>
    <w:p w14:paraId="0468552A" w14:textId="77777777" w:rsidR="00FE1676" w:rsidRDefault="00FE1676"/>
    <w:p w14:paraId="3197F04B" w14:textId="77777777" w:rsidR="00FE1676" w:rsidRDefault="00FE1676" w:rsidP="00D346FA"/>
  </w:footnote>
  <w:footnote w:type="continuationNotice" w:id="1">
    <w:p w14:paraId="324E6D52" w14:textId="77777777" w:rsidR="00FE1676" w:rsidRDefault="00FE1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01C4DF36" w:rsidR="006E626D" w:rsidRPr="008738F9" w:rsidRDefault="006E626D"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676">
      <w:fldChar w:fldCharType="begin"/>
    </w:r>
    <w:r w:rsidR="00FE1676">
      <w:instrText xml:space="preserve"> DOCPROPERTY  Project  \* MERGEFORMAT </w:instrText>
    </w:r>
    <w:r w:rsidR="00FE1676">
      <w:fldChar w:fldCharType="separate"/>
    </w:r>
    <w:r w:rsidR="00412781">
      <w:t>PIP-II</w:t>
    </w:r>
    <w:r w:rsidR="00FE1676">
      <w:fldChar w:fldCharType="end"/>
    </w:r>
    <w:r w:rsidRPr="008738F9">
      <w:t xml:space="preserve"> </w:t>
    </w:r>
    <w:r w:rsidR="00FE1676">
      <w:fldChar w:fldCharType="begin"/>
    </w:r>
    <w:r w:rsidR="00FE1676">
      <w:instrText xml:space="preserve"> SUBJECT  \* FirstCap  \* MERGEFORMAT </w:instrText>
    </w:r>
    <w:r w:rsidR="00FE1676">
      <w:fldChar w:fldCharType="separate"/>
    </w:r>
    <w:r w:rsidR="00412781">
      <w:t>Transfer Line and Beam Absorber FRS</w:t>
    </w:r>
    <w:r w:rsidR="00FE1676">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009B485C" w:rsidR="00C74812" w:rsidRPr="008738F9" w:rsidRDefault="00C74812"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676">
      <w:fldChar w:fldCharType="begin"/>
    </w:r>
    <w:r w:rsidR="00FE1676">
      <w:instrText xml:space="preserve"> DOCPROPERTY  Project  \* MERGEFORMAT </w:instrText>
    </w:r>
    <w:r w:rsidR="00FE1676">
      <w:fldChar w:fldCharType="separate"/>
    </w:r>
    <w:r w:rsidR="00412781">
      <w:t>PIP-II</w:t>
    </w:r>
    <w:r w:rsidR="00FE1676">
      <w:fldChar w:fldCharType="end"/>
    </w:r>
    <w:r w:rsidRPr="008738F9">
      <w:t xml:space="preserve"> </w:t>
    </w:r>
    <w:r w:rsidR="00FE1676">
      <w:fldChar w:fldCharType="begin"/>
    </w:r>
    <w:r w:rsidR="00FE1676">
      <w:instrText xml:space="preserve"> SUBJECT  \* FirstCap  \* MERGEFORMAT </w:instrText>
    </w:r>
    <w:r w:rsidR="00FE1676">
      <w:fldChar w:fldCharType="separate"/>
    </w:r>
    <w:r w:rsidR="00412781">
      <w:t>Transfer Line and Beam Absorber FRS</w:t>
    </w:r>
    <w:r w:rsidR="00FE1676">
      <w:fldChar w:fldCharType="end"/>
    </w:r>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46368"/>
    <w:multiLevelType w:val="hybridMultilevel"/>
    <w:tmpl w:val="EA6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2"/>
  </w:num>
  <w:num w:numId="3">
    <w:abstractNumId w:val="33"/>
  </w:num>
  <w:num w:numId="4">
    <w:abstractNumId w:val="24"/>
  </w:num>
  <w:num w:numId="5">
    <w:abstractNumId w:val="28"/>
  </w:num>
  <w:num w:numId="6">
    <w:abstractNumId w:val="26"/>
  </w:num>
  <w:num w:numId="7">
    <w:abstractNumId w:val="1"/>
  </w:num>
  <w:num w:numId="8">
    <w:abstractNumId w:val="8"/>
  </w:num>
  <w:num w:numId="9">
    <w:abstractNumId w:val="12"/>
  </w:num>
  <w:num w:numId="10">
    <w:abstractNumId w:val="27"/>
  </w:num>
  <w:num w:numId="11">
    <w:abstractNumId w:val="9"/>
  </w:num>
  <w:num w:numId="12">
    <w:abstractNumId w:val="25"/>
  </w:num>
  <w:num w:numId="13">
    <w:abstractNumId w:val="20"/>
  </w:num>
  <w:num w:numId="14">
    <w:abstractNumId w:val="34"/>
  </w:num>
  <w:num w:numId="15">
    <w:abstractNumId w:val="16"/>
  </w:num>
  <w:num w:numId="16">
    <w:abstractNumId w:val="30"/>
  </w:num>
  <w:num w:numId="17">
    <w:abstractNumId w:val="17"/>
  </w:num>
  <w:num w:numId="18">
    <w:abstractNumId w:val="10"/>
  </w:num>
  <w:num w:numId="19">
    <w:abstractNumId w:val="21"/>
  </w:num>
  <w:num w:numId="20">
    <w:abstractNumId w:val="31"/>
  </w:num>
  <w:num w:numId="21">
    <w:abstractNumId w:val="18"/>
  </w:num>
  <w:num w:numId="22">
    <w:abstractNumId w:val="14"/>
  </w:num>
  <w:num w:numId="23">
    <w:abstractNumId w:val="14"/>
  </w:num>
  <w:num w:numId="24">
    <w:abstractNumId w:val="33"/>
  </w:num>
  <w:num w:numId="25">
    <w:abstractNumId w:val="33"/>
  </w:num>
  <w:num w:numId="26">
    <w:abstractNumId w:val="33"/>
  </w:num>
  <w:num w:numId="27">
    <w:abstractNumId w:val="4"/>
  </w:num>
  <w:num w:numId="28">
    <w:abstractNumId w:val="29"/>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9"/>
  </w:num>
  <w:num w:numId="41">
    <w:abstractNumId w:val="6"/>
  </w:num>
  <w:num w:numId="42">
    <w:abstractNumId w:val="23"/>
  </w:num>
  <w:num w:numId="4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7B21"/>
    <w:rsid w:val="00027F12"/>
    <w:rsid w:val="000414EB"/>
    <w:rsid w:val="00043F97"/>
    <w:rsid w:val="0004685C"/>
    <w:rsid w:val="00050A5A"/>
    <w:rsid w:val="000529B7"/>
    <w:rsid w:val="00062F13"/>
    <w:rsid w:val="00063CFB"/>
    <w:rsid w:val="00067F4F"/>
    <w:rsid w:val="000732C6"/>
    <w:rsid w:val="00076FBE"/>
    <w:rsid w:val="00077A08"/>
    <w:rsid w:val="0008072A"/>
    <w:rsid w:val="000821A9"/>
    <w:rsid w:val="00083632"/>
    <w:rsid w:val="0008541C"/>
    <w:rsid w:val="00087370"/>
    <w:rsid w:val="000879A7"/>
    <w:rsid w:val="00095418"/>
    <w:rsid w:val="00097E4F"/>
    <w:rsid w:val="000A326B"/>
    <w:rsid w:val="000A7504"/>
    <w:rsid w:val="000B193E"/>
    <w:rsid w:val="000B3500"/>
    <w:rsid w:val="000B40F6"/>
    <w:rsid w:val="000B4291"/>
    <w:rsid w:val="000B529B"/>
    <w:rsid w:val="000B6145"/>
    <w:rsid w:val="000B7561"/>
    <w:rsid w:val="000C14F6"/>
    <w:rsid w:val="000C619D"/>
    <w:rsid w:val="000D0274"/>
    <w:rsid w:val="000D1025"/>
    <w:rsid w:val="000D515B"/>
    <w:rsid w:val="000D6589"/>
    <w:rsid w:val="000D7680"/>
    <w:rsid w:val="000E380B"/>
    <w:rsid w:val="000E5CF2"/>
    <w:rsid w:val="000E6F03"/>
    <w:rsid w:val="000F1653"/>
    <w:rsid w:val="000F5484"/>
    <w:rsid w:val="000F6F49"/>
    <w:rsid w:val="0010186E"/>
    <w:rsid w:val="00101AA4"/>
    <w:rsid w:val="00103A58"/>
    <w:rsid w:val="00105DC5"/>
    <w:rsid w:val="001067AE"/>
    <w:rsid w:val="00106E0C"/>
    <w:rsid w:val="001107F7"/>
    <w:rsid w:val="00110A9C"/>
    <w:rsid w:val="00111294"/>
    <w:rsid w:val="00112694"/>
    <w:rsid w:val="0012353F"/>
    <w:rsid w:val="001257A6"/>
    <w:rsid w:val="001314BE"/>
    <w:rsid w:val="00131A7F"/>
    <w:rsid w:val="00134954"/>
    <w:rsid w:val="00140851"/>
    <w:rsid w:val="00142DF9"/>
    <w:rsid w:val="00147C42"/>
    <w:rsid w:val="001602A7"/>
    <w:rsid w:val="00165D2D"/>
    <w:rsid w:val="00166DBE"/>
    <w:rsid w:val="00170C35"/>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7CA5"/>
    <w:rsid w:val="001C038B"/>
    <w:rsid w:val="001C6E29"/>
    <w:rsid w:val="001C6F5E"/>
    <w:rsid w:val="001C7AD5"/>
    <w:rsid w:val="001D1A1A"/>
    <w:rsid w:val="001D2432"/>
    <w:rsid w:val="001D3070"/>
    <w:rsid w:val="001D74D1"/>
    <w:rsid w:val="001E2492"/>
    <w:rsid w:val="001E31DB"/>
    <w:rsid w:val="001E7A8C"/>
    <w:rsid w:val="001F7167"/>
    <w:rsid w:val="001F7C54"/>
    <w:rsid w:val="002037D0"/>
    <w:rsid w:val="002066E6"/>
    <w:rsid w:val="002067C9"/>
    <w:rsid w:val="00207BB9"/>
    <w:rsid w:val="00210650"/>
    <w:rsid w:val="00214330"/>
    <w:rsid w:val="002266E6"/>
    <w:rsid w:val="00231727"/>
    <w:rsid w:val="002330D7"/>
    <w:rsid w:val="00235AB7"/>
    <w:rsid w:val="0023668E"/>
    <w:rsid w:val="00243301"/>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3C05"/>
    <w:rsid w:val="00294049"/>
    <w:rsid w:val="00296141"/>
    <w:rsid w:val="00297CC8"/>
    <w:rsid w:val="002A361F"/>
    <w:rsid w:val="002B1998"/>
    <w:rsid w:val="002D0732"/>
    <w:rsid w:val="002D6F65"/>
    <w:rsid w:val="002D72C2"/>
    <w:rsid w:val="002E385F"/>
    <w:rsid w:val="002E5ACB"/>
    <w:rsid w:val="002E6084"/>
    <w:rsid w:val="002E6440"/>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723A9"/>
    <w:rsid w:val="003731BF"/>
    <w:rsid w:val="003775A9"/>
    <w:rsid w:val="00380E4B"/>
    <w:rsid w:val="00381CF7"/>
    <w:rsid w:val="0038319B"/>
    <w:rsid w:val="00386DA9"/>
    <w:rsid w:val="00392394"/>
    <w:rsid w:val="00392C33"/>
    <w:rsid w:val="0039582F"/>
    <w:rsid w:val="003A0651"/>
    <w:rsid w:val="003A1499"/>
    <w:rsid w:val="003A3064"/>
    <w:rsid w:val="003B0980"/>
    <w:rsid w:val="003B22E3"/>
    <w:rsid w:val="003B57EB"/>
    <w:rsid w:val="003B744E"/>
    <w:rsid w:val="003C261B"/>
    <w:rsid w:val="003C2AF5"/>
    <w:rsid w:val="003C5A3A"/>
    <w:rsid w:val="003E7380"/>
    <w:rsid w:val="003F2ED1"/>
    <w:rsid w:val="003F407D"/>
    <w:rsid w:val="003F55EA"/>
    <w:rsid w:val="003F5F52"/>
    <w:rsid w:val="004016C3"/>
    <w:rsid w:val="00401881"/>
    <w:rsid w:val="00402E14"/>
    <w:rsid w:val="0040516A"/>
    <w:rsid w:val="00405BC1"/>
    <w:rsid w:val="00412781"/>
    <w:rsid w:val="004142C6"/>
    <w:rsid w:val="0042514C"/>
    <w:rsid w:val="0042542A"/>
    <w:rsid w:val="00434BDE"/>
    <w:rsid w:val="00440C71"/>
    <w:rsid w:val="00444609"/>
    <w:rsid w:val="00447918"/>
    <w:rsid w:val="004522D3"/>
    <w:rsid w:val="00453904"/>
    <w:rsid w:val="00453FDF"/>
    <w:rsid w:val="0045717D"/>
    <w:rsid w:val="004622D1"/>
    <w:rsid w:val="0046336F"/>
    <w:rsid w:val="00465865"/>
    <w:rsid w:val="00485D08"/>
    <w:rsid w:val="004908A3"/>
    <w:rsid w:val="00493391"/>
    <w:rsid w:val="00496F50"/>
    <w:rsid w:val="004A07D7"/>
    <w:rsid w:val="004A65FF"/>
    <w:rsid w:val="004A7B7F"/>
    <w:rsid w:val="004B2C22"/>
    <w:rsid w:val="004B4F28"/>
    <w:rsid w:val="004C4255"/>
    <w:rsid w:val="004D30C8"/>
    <w:rsid w:val="004D3ED7"/>
    <w:rsid w:val="004D707B"/>
    <w:rsid w:val="004D7764"/>
    <w:rsid w:val="004D78D0"/>
    <w:rsid w:val="004E2C52"/>
    <w:rsid w:val="004F175D"/>
    <w:rsid w:val="004F4722"/>
    <w:rsid w:val="004F4937"/>
    <w:rsid w:val="005000C7"/>
    <w:rsid w:val="00501F50"/>
    <w:rsid w:val="005069ED"/>
    <w:rsid w:val="00511433"/>
    <w:rsid w:val="00515181"/>
    <w:rsid w:val="00530B88"/>
    <w:rsid w:val="0053126F"/>
    <w:rsid w:val="00534410"/>
    <w:rsid w:val="00535997"/>
    <w:rsid w:val="00540A46"/>
    <w:rsid w:val="00541AF2"/>
    <w:rsid w:val="00542A6E"/>
    <w:rsid w:val="005454C8"/>
    <w:rsid w:val="00545914"/>
    <w:rsid w:val="005608C1"/>
    <w:rsid w:val="00563290"/>
    <w:rsid w:val="00565602"/>
    <w:rsid w:val="00570A4A"/>
    <w:rsid w:val="005725F5"/>
    <w:rsid w:val="00573470"/>
    <w:rsid w:val="005755EE"/>
    <w:rsid w:val="00575749"/>
    <w:rsid w:val="00581327"/>
    <w:rsid w:val="00581B47"/>
    <w:rsid w:val="005850B0"/>
    <w:rsid w:val="005858E8"/>
    <w:rsid w:val="00586869"/>
    <w:rsid w:val="00586CBB"/>
    <w:rsid w:val="0059235B"/>
    <w:rsid w:val="00596237"/>
    <w:rsid w:val="00597A68"/>
    <w:rsid w:val="00597C5C"/>
    <w:rsid w:val="005A2021"/>
    <w:rsid w:val="005A536A"/>
    <w:rsid w:val="005A59BE"/>
    <w:rsid w:val="005A5CE5"/>
    <w:rsid w:val="005A6215"/>
    <w:rsid w:val="005A734A"/>
    <w:rsid w:val="005B1C2F"/>
    <w:rsid w:val="005B4499"/>
    <w:rsid w:val="005B5B8D"/>
    <w:rsid w:val="005C2AE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3C48"/>
    <w:rsid w:val="0066168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0FF0"/>
    <w:rsid w:val="006B4405"/>
    <w:rsid w:val="006C21A5"/>
    <w:rsid w:val="006D0C89"/>
    <w:rsid w:val="006D4B90"/>
    <w:rsid w:val="006E5B2C"/>
    <w:rsid w:val="006E5C2C"/>
    <w:rsid w:val="006E626D"/>
    <w:rsid w:val="006E7B7D"/>
    <w:rsid w:val="006F0CFF"/>
    <w:rsid w:val="006F10CE"/>
    <w:rsid w:val="006F2319"/>
    <w:rsid w:val="006F53A5"/>
    <w:rsid w:val="00701F2D"/>
    <w:rsid w:val="007126EC"/>
    <w:rsid w:val="00712F7E"/>
    <w:rsid w:val="0071440D"/>
    <w:rsid w:val="007149A1"/>
    <w:rsid w:val="007161B6"/>
    <w:rsid w:val="0071725F"/>
    <w:rsid w:val="007177A7"/>
    <w:rsid w:val="007240CC"/>
    <w:rsid w:val="007251E3"/>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87547"/>
    <w:rsid w:val="007A33EB"/>
    <w:rsid w:val="007A7EE6"/>
    <w:rsid w:val="007B249D"/>
    <w:rsid w:val="007B2E8F"/>
    <w:rsid w:val="007C195D"/>
    <w:rsid w:val="007C29A9"/>
    <w:rsid w:val="007D030C"/>
    <w:rsid w:val="007D2CEB"/>
    <w:rsid w:val="007D4C35"/>
    <w:rsid w:val="007D60D4"/>
    <w:rsid w:val="007D6C06"/>
    <w:rsid w:val="007D753F"/>
    <w:rsid w:val="007D7DC3"/>
    <w:rsid w:val="007D7EDE"/>
    <w:rsid w:val="007E0EDB"/>
    <w:rsid w:val="007E307C"/>
    <w:rsid w:val="007E46FB"/>
    <w:rsid w:val="007E4D34"/>
    <w:rsid w:val="007E5AFC"/>
    <w:rsid w:val="007E69EF"/>
    <w:rsid w:val="007F442C"/>
    <w:rsid w:val="007F51F0"/>
    <w:rsid w:val="0080271D"/>
    <w:rsid w:val="00811326"/>
    <w:rsid w:val="00813418"/>
    <w:rsid w:val="0081341C"/>
    <w:rsid w:val="0081370E"/>
    <w:rsid w:val="00817DFD"/>
    <w:rsid w:val="00817F98"/>
    <w:rsid w:val="0082002B"/>
    <w:rsid w:val="00820E6B"/>
    <w:rsid w:val="00821A60"/>
    <w:rsid w:val="00822084"/>
    <w:rsid w:val="008247C7"/>
    <w:rsid w:val="00825A50"/>
    <w:rsid w:val="0082769B"/>
    <w:rsid w:val="00827FF3"/>
    <w:rsid w:val="008318E8"/>
    <w:rsid w:val="00831EEC"/>
    <w:rsid w:val="00835B8F"/>
    <w:rsid w:val="00840BBF"/>
    <w:rsid w:val="008455C1"/>
    <w:rsid w:val="00846D29"/>
    <w:rsid w:val="00852C39"/>
    <w:rsid w:val="00855250"/>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2B87"/>
    <w:rsid w:val="008A65EC"/>
    <w:rsid w:val="008B011F"/>
    <w:rsid w:val="008B1172"/>
    <w:rsid w:val="008B189A"/>
    <w:rsid w:val="008B49B3"/>
    <w:rsid w:val="008B6135"/>
    <w:rsid w:val="008C056C"/>
    <w:rsid w:val="008C597C"/>
    <w:rsid w:val="008C6B3A"/>
    <w:rsid w:val="008D0073"/>
    <w:rsid w:val="008D3005"/>
    <w:rsid w:val="008D5DCD"/>
    <w:rsid w:val="008D762F"/>
    <w:rsid w:val="008E0F57"/>
    <w:rsid w:val="008E3412"/>
    <w:rsid w:val="008E3A3C"/>
    <w:rsid w:val="008E5345"/>
    <w:rsid w:val="008F3CD1"/>
    <w:rsid w:val="008F4073"/>
    <w:rsid w:val="008F4F67"/>
    <w:rsid w:val="008F694E"/>
    <w:rsid w:val="00901D37"/>
    <w:rsid w:val="00907CFA"/>
    <w:rsid w:val="009127E2"/>
    <w:rsid w:val="0091296B"/>
    <w:rsid w:val="00916068"/>
    <w:rsid w:val="00916B3E"/>
    <w:rsid w:val="00921DA4"/>
    <w:rsid w:val="00927A0D"/>
    <w:rsid w:val="00932199"/>
    <w:rsid w:val="009407F8"/>
    <w:rsid w:val="009416DF"/>
    <w:rsid w:val="009466F3"/>
    <w:rsid w:val="009476B2"/>
    <w:rsid w:val="0095594C"/>
    <w:rsid w:val="00956A0C"/>
    <w:rsid w:val="00960097"/>
    <w:rsid w:val="00965E04"/>
    <w:rsid w:val="00972C83"/>
    <w:rsid w:val="00983303"/>
    <w:rsid w:val="00986435"/>
    <w:rsid w:val="00990A11"/>
    <w:rsid w:val="00996DDF"/>
    <w:rsid w:val="009A16E9"/>
    <w:rsid w:val="009A4119"/>
    <w:rsid w:val="009A553A"/>
    <w:rsid w:val="009A5DA0"/>
    <w:rsid w:val="009B2C8A"/>
    <w:rsid w:val="009C1A25"/>
    <w:rsid w:val="009C4686"/>
    <w:rsid w:val="009D3D9E"/>
    <w:rsid w:val="009D4FEE"/>
    <w:rsid w:val="009F528B"/>
    <w:rsid w:val="009F5982"/>
    <w:rsid w:val="009F5EAF"/>
    <w:rsid w:val="009F6E73"/>
    <w:rsid w:val="00A0207B"/>
    <w:rsid w:val="00A02649"/>
    <w:rsid w:val="00A065A6"/>
    <w:rsid w:val="00A0665F"/>
    <w:rsid w:val="00A06EFF"/>
    <w:rsid w:val="00A101F9"/>
    <w:rsid w:val="00A1084F"/>
    <w:rsid w:val="00A10877"/>
    <w:rsid w:val="00A12E82"/>
    <w:rsid w:val="00A131A9"/>
    <w:rsid w:val="00A16405"/>
    <w:rsid w:val="00A16910"/>
    <w:rsid w:val="00A24B9F"/>
    <w:rsid w:val="00A24CF7"/>
    <w:rsid w:val="00A251C4"/>
    <w:rsid w:val="00A3556E"/>
    <w:rsid w:val="00A42842"/>
    <w:rsid w:val="00A43000"/>
    <w:rsid w:val="00A47E27"/>
    <w:rsid w:val="00A5162D"/>
    <w:rsid w:val="00A53F3F"/>
    <w:rsid w:val="00A540C2"/>
    <w:rsid w:val="00A64734"/>
    <w:rsid w:val="00A64B42"/>
    <w:rsid w:val="00A66435"/>
    <w:rsid w:val="00A66E4E"/>
    <w:rsid w:val="00A67A8C"/>
    <w:rsid w:val="00A7176B"/>
    <w:rsid w:val="00A830EB"/>
    <w:rsid w:val="00A84F05"/>
    <w:rsid w:val="00A861EF"/>
    <w:rsid w:val="00A90405"/>
    <w:rsid w:val="00A90DA5"/>
    <w:rsid w:val="00A927E6"/>
    <w:rsid w:val="00A95CC6"/>
    <w:rsid w:val="00A97999"/>
    <w:rsid w:val="00AA1574"/>
    <w:rsid w:val="00AB1613"/>
    <w:rsid w:val="00AB3FF8"/>
    <w:rsid w:val="00AB5ED1"/>
    <w:rsid w:val="00AB757F"/>
    <w:rsid w:val="00AC35ED"/>
    <w:rsid w:val="00AC4433"/>
    <w:rsid w:val="00AC6D2E"/>
    <w:rsid w:val="00AD0A15"/>
    <w:rsid w:val="00AD27D1"/>
    <w:rsid w:val="00AD6E33"/>
    <w:rsid w:val="00AD7112"/>
    <w:rsid w:val="00AE1EB0"/>
    <w:rsid w:val="00AE2CE9"/>
    <w:rsid w:val="00AE4EA2"/>
    <w:rsid w:val="00AE4F8C"/>
    <w:rsid w:val="00AE7E63"/>
    <w:rsid w:val="00AF3ABD"/>
    <w:rsid w:val="00AF3DE1"/>
    <w:rsid w:val="00AF3E4B"/>
    <w:rsid w:val="00AF7531"/>
    <w:rsid w:val="00B02433"/>
    <w:rsid w:val="00B025B9"/>
    <w:rsid w:val="00B02A4F"/>
    <w:rsid w:val="00B10A13"/>
    <w:rsid w:val="00B10BB0"/>
    <w:rsid w:val="00B10E94"/>
    <w:rsid w:val="00B10FD2"/>
    <w:rsid w:val="00B1164B"/>
    <w:rsid w:val="00B14D8A"/>
    <w:rsid w:val="00B15DE4"/>
    <w:rsid w:val="00B1702C"/>
    <w:rsid w:val="00B21559"/>
    <w:rsid w:val="00B2383D"/>
    <w:rsid w:val="00B24F16"/>
    <w:rsid w:val="00B25406"/>
    <w:rsid w:val="00B2722B"/>
    <w:rsid w:val="00B3039F"/>
    <w:rsid w:val="00B31794"/>
    <w:rsid w:val="00B31D3A"/>
    <w:rsid w:val="00B33B89"/>
    <w:rsid w:val="00B347F3"/>
    <w:rsid w:val="00B40ADB"/>
    <w:rsid w:val="00B4298F"/>
    <w:rsid w:val="00B4687E"/>
    <w:rsid w:val="00B478F8"/>
    <w:rsid w:val="00B47F54"/>
    <w:rsid w:val="00B562F3"/>
    <w:rsid w:val="00B578DA"/>
    <w:rsid w:val="00B633A5"/>
    <w:rsid w:val="00B63A9B"/>
    <w:rsid w:val="00B63DBD"/>
    <w:rsid w:val="00B6495B"/>
    <w:rsid w:val="00B64E1B"/>
    <w:rsid w:val="00B678AC"/>
    <w:rsid w:val="00B75161"/>
    <w:rsid w:val="00B76B06"/>
    <w:rsid w:val="00B81F4B"/>
    <w:rsid w:val="00B8602D"/>
    <w:rsid w:val="00B87006"/>
    <w:rsid w:val="00B87641"/>
    <w:rsid w:val="00B9083B"/>
    <w:rsid w:val="00B90B99"/>
    <w:rsid w:val="00B912B0"/>
    <w:rsid w:val="00B95548"/>
    <w:rsid w:val="00B95FB3"/>
    <w:rsid w:val="00B9785E"/>
    <w:rsid w:val="00BB0A47"/>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211A4"/>
    <w:rsid w:val="00C34AC8"/>
    <w:rsid w:val="00C3536C"/>
    <w:rsid w:val="00C42210"/>
    <w:rsid w:val="00C4376E"/>
    <w:rsid w:val="00C43E12"/>
    <w:rsid w:val="00C447F3"/>
    <w:rsid w:val="00C46129"/>
    <w:rsid w:val="00C50B57"/>
    <w:rsid w:val="00C51377"/>
    <w:rsid w:val="00C55814"/>
    <w:rsid w:val="00C635CF"/>
    <w:rsid w:val="00C6639B"/>
    <w:rsid w:val="00C678FF"/>
    <w:rsid w:val="00C67AFD"/>
    <w:rsid w:val="00C73FD2"/>
    <w:rsid w:val="00C7422F"/>
    <w:rsid w:val="00C74812"/>
    <w:rsid w:val="00C808BC"/>
    <w:rsid w:val="00C90AE4"/>
    <w:rsid w:val="00C97494"/>
    <w:rsid w:val="00C97EBF"/>
    <w:rsid w:val="00CA093B"/>
    <w:rsid w:val="00CA0BCC"/>
    <w:rsid w:val="00CB7CB5"/>
    <w:rsid w:val="00CC27FE"/>
    <w:rsid w:val="00CC4A10"/>
    <w:rsid w:val="00CC59BB"/>
    <w:rsid w:val="00CD2A5E"/>
    <w:rsid w:val="00CD68A7"/>
    <w:rsid w:val="00CE0488"/>
    <w:rsid w:val="00CE53D3"/>
    <w:rsid w:val="00CE6368"/>
    <w:rsid w:val="00CE6588"/>
    <w:rsid w:val="00CF0921"/>
    <w:rsid w:val="00CF2B5A"/>
    <w:rsid w:val="00CF4F04"/>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249D"/>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0CB"/>
    <w:rsid w:val="00E00D37"/>
    <w:rsid w:val="00E03446"/>
    <w:rsid w:val="00E04533"/>
    <w:rsid w:val="00E0621E"/>
    <w:rsid w:val="00E11BE2"/>
    <w:rsid w:val="00E13226"/>
    <w:rsid w:val="00E1654E"/>
    <w:rsid w:val="00E170F6"/>
    <w:rsid w:val="00E22FAD"/>
    <w:rsid w:val="00E31CE4"/>
    <w:rsid w:val="00E33D03"/>
    <w:rsid w:val="00E346D1"/>
    <w:rsid w:val="00E440F4"/>
    <w:rsid w:val="00E500C3"/>
    <w:rsid w:val="00E60C48"/>
    <w:rsid w:val="00E65375"/>
    <w:rsid w:val="00E70EEA"/>
    <w:rsid w:val="00E72535"/>
    <w:rsid w:val="00E7260E"/>
    <w:rsid w:val="00E73B11"/>
    <w:rsid w:val="00E8373A"/>
    <w:rsid w:val="00E848D5"/>
    <w:rsid w:val="00E91CD1"/>
    <w:rsid w:val="00EA1316"/>
    <w:rsid w:val="00EA1AFA"/>
    <w:rsid w:val="00EA2A27"/>
    <w:rsid w:val="00EA5856"/>
    <w:rsid w:val="00EA6F8B"/>
    <w:rsid w:val="00EB34E0"/>
    <w:rsid w:val="00EB6B0F"/>
    <w:rsid w:val="00EB7EFB"/>
    <w:rsid w:val="00EC3A72"/>
    <w:rsid w:val="00EC3D28"/>
    <w:rsid w:val="00EC5FAE"/>
    <w:rsid w:val="00EC7B59"/>
    <w:rsid w:val="00ED0E41"/>
    <w:rsid w:val="00ED0EBA"/>
    <w:rsid w:val="00ED6DFD"/>
    <w:rsid w:val="00EE0596"/>
    <w:rsid w:val="00EE11BD"/>
    <w:rsid w:val="00EE22DD"/>
    <w:rsid w:val="00EE7CC8"/>
    <w:rsid w:val="00EF12BE"/>
    <w:rsid w:val="00EF269C"/>
    <w:rsid w:val="00F000DC"/>
    <w:rsid w:val="00F00D44"/>
    <w:rsid w:val="00F01014"/>
    <w:rsid w:val="00F03053"/>
    <w:rsid w:val="00F03B79"/>
    <w:rsid w:val="00F03BB3"/>
    <w:rsid w:val="00F065FC"/>
    <w:rsid w:val="00F10D4A"/>
    <w:rsid w:val="00F1184E"/>
    <w:rsid w:val="00F17FF8"/>
    <w:rsid w:val="00F228D7"/>
    <w:rsid w:val="00F2560F"/>
    <w:rsid w:val="00F2722A"/>
    <w:rsid w:val="00F33926"/>
    <w:rsid w:val="00F37AE1"/>
    <w:rsid w:val="00F40DD6"/>
    <w:rsid w:val="00F41BA6"/>
    <w:rsid w:val="00F42F7A"/>
    <w:rsid w:val="00F506F6"/>
    <w:rsid w:val="00F70F3D"/>
    <w:rsid w:val="00F74404"/>
    <w:rsid w:val="00F83569"/>
    <w:rsid w:val="00F8505C"/>
    <w:rsid w:val="00F92C3A"/>
    <w:rsid w:val="00F92D2A"/>
    <w:rsid w:val="00F956C3"/>
    <w:rsid w:val="00FA1792"/>
    <w:rsid w:val="00FA208E"/>
    <w:rsid w:val="00FC3721"/>
    <w:rsid w:val="00FC372D"/>
    <w:rsid w:val="00FC3FE0"/>
    <w:rsid w:val="00FC460B"/>
    <w:rsid w:val="00FD4B2A"/>
    <w:rsid w:val="00FD526C"/>
    <w:rsid w:val="00FE1676"/>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858029-B1C3-4D01-AE97-E396001E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7555</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Transfer Line and Beam Absorber FRS</dc:subject>
  <dc:creator>Tatiana Hamilton x8486 32216N</dc:creator>
  <cp:keywords/>
  <cp:lastModifiedBy>Ioanis Kourbanis x4423 09037N</cp:lastModifiedBy>
  <cp:revision>2</cp:revision>
  <cp:lastPrinted>2019-05-20T20:03:00Z</cp:lastPrinted>
  <dcterms:created xsi:type="dcterms:W3CDTF">2019-12-03T15:50:00Z</dcterms:created>
  <dcterms:modified xsi:type="dcterms:W3CDTF">2019-12-03T15:50:00Z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