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99AE" w14:textId="5C5FB25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3D0525F1" w14:textId="0C991AA2" w:rsidR="00246393" w:rsidRDefault="004908A3" w:rsidP="00C67AFD">
      <w:pPr>
        <w:pStyle w:val="Title24pt"/>
        <w:spacing w:line="240" w:lineRule="auto"/>
        <w:jc w:val="both"/>
        <w:rPr>
          <w:b w:val="0"/>
        </w:rPr>
      </w:pPr>
      <w:r>
        <w:rPr>
          <w:b w:val="0"/>
        </w:rPr>
        <w:fldChar w:fldCharType="begin"/>
      </w:r>
      <w:r>
        <w:rPr>
          <w:b w:val="0"/>
        </w:rPr>
        <w:instrText xml:space="preserve"> DOCPROPERTY  Project  \* MERGEFORMAT </w:instrText>
      </w:r>
      <w:r>
        <w:rPr>
          <w:b w:val="0"/>
        </w:rPr>
        <w:fldChar w:fldCharType="separate"/>
      </w:r>
      <w:r w:rsidR="0063065E">
        <w:rPr>
          <w:b w:val="0"/>
        </w:rPr>
        <w:t>PIP-II</w:t>
      </w:r>
      <w:r>
        <w:rPr>
          <w:b w:val="0"/>
        </w:rPr>
        <w:fldChar w:fldCharType="end"/>
      </w:r>
      <w:r w:rsidR="00D07ED8">
        <w:rPr>
          <w:b w:val="0"/>
        </w:rPr>
        <w:t xml:space="preserve"> Linac RF Systems</w:t>
      </w:r>
    </w:p>
    <w:p w14:paraId="104B4A38" w14:textId="26B1AA07" w:rsidR="009C1A25" w:rsidRPr="00E60C48" w:rsidRDefault="0063065E" w:rsidP="00C67AFD">
      <w:pPr>
        <w:pStyle w:val="Title24pt"/>
        <w:spacing w:line="240" w:lineRule="auto"/>
        <w:jc w:val="both"/>
        <w:rPr>
          <w:b w:val="0"/>
        </w:rPr>
      </w:pPr>
      <w:r>
        <w:rPr>
          <w:b w:val="0"/>
        </w:rPr>
        <w:fldChar w:fldCharType="begin"/>
      </w:r>
      <w:r>
        <w:rPr>
          <w:b w:val="0"/>
        </w:rPr>
        <w:instrText xml:space="preserve"> TITLE  \* MERGEFORMAT </w:instrText>
      </w:r>
      <w:r>
        <w:rPr>
          <w:b w:val="0"/>
        </w:rPr>
        <w:fldChar w:fldCharType="separate"/>
      </w:r>
      <w:r w:rsidR="00034FCA">
        <w:rPr>
          <w:b w:val="0"/>
        </w:rPr>
        <w:t>Physics Requirement Document (PRD)</w:t>
      </w:r>
      <w:r>
        <w:rPr>
          <w:b w:val="0"/>
        </w:rPr>
        <w:fldChar w:fldCharType="end"/>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28EBD796"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63065E">
        <w:rPr>
          <w:color w:val="004C97"/>
          <w:sz w:val="24"/>
          <w:szCs w:val="24"/>
        </w:rPr>
        <w:t xml:space="preserve"> </w:t>
      </w:r>
      <w:r w:rsidR="0063065E">
        <w:rPr>
          <w:color w:val="004C97"/>
          <w:sz w:val="24"/>
          <w:szCs w:val="24"/>
        </w:rPr>
        <w:fldChar w:fldCharType="begin"/>
      </w:r>
      <w:r w:rsidR="0063065E">
        <w:rPr>
          <w:color w:val="004C97"/>
          <w:sz w:val="24"/>
          <w:szCs w:val="24"/>
        </w:rPr>
        <w:instrText xml:space="preserve"> DOCPROPERTY "Document number"  \* MERGEFORMAT </w:instrText>
      </w:r>
      <w:r w:rsidR="0063065E">
        <w:rPr>
          <w:color w:val="004C97"/>
          <w:sz w:val="24"/>
          <w:szCs w:val="24"/>
        </w:rPr>
        <w:fldChar w:fldCharType="separate"/>
      </w:r>
      <w:r w:rsidR="00496DA5">
        <w:rPr>
          <w:color w:val="004C97"/>
          <w:sz w:val="24"/>
          <w:szCs w:val="24"/>
        </w:rPr>
        <w:t>ED0010220</w:t>
      </w:r>
      <w:r w:rsidR="0063065E">
        <w:rPr>
          <w:color w:val="004C97"/>
          <w:sz w:val="24"/>
          <w:szCs w:val="24"/>
        </w:rPr>
        <w:fldChar w:fldCharType="end"/>
      </w:r>
    </w:p>
    <w:p w14:paraId="4868A4F9" w14:textId="77777777" w:rsidR="003002EB" w:rsidRPr="00A42842" w:rsidRDefault="003002EB" w:rsidP="00C67AFD">
      <w:pPr>
        <w:pStyle w:val="NotesBody11pt"/>
        <w:spacing w:line="240" w:lineRule="auto"/>
        <w:rPr>
          <w:color w:val="004C97"/>
        </w:rPr>
      </w:pPr>
    </w:p>
    <w:p w14:paraId="1798E62B" w14:textId="77777777" w:rsidR="007D183F" w:rsidRDefault="007D183F" w:rsidP="00231D54">
      <w:pPr>
        <w:rPr>
          <w:b/>
          <w:sz w:val="24"/>
        </w:rPr>
      </w:pPr>
    </w:p>
    <w:p w14:paraId="20388EF3" w14:textId="79B201D1" w:rsidR="00231D54" w:rsidRDefault="00231D54" w:rsidP="00472FA3">
      <w:pPr>
        <w:pStyle w:val="NotesBody11pt"/>
        <w:spacing w:line="240" w:lineRule="auto"/>
        <w:rPr>
          <w:color w:val="004C97"/>
          <w:sz w:val="24"/>
          <w:szCs w:val="24"/>
        </w:rPr>
      </w:pPr>
      <w:r w:rsidRPr="00472FA3">
        <w:rPr>
          <w:color w:val="004C97"/>
          <w:sz w:val="24"/>
          <w:szCs w:val="24"/>
        </w:rPr>
        <w:t>Document Approval</w:t>
      </w:r>
    </w:p>
    <w:p w14:paraId="3CFCB559" w14:textId="77777777" w:rsidR="009C0BA2" w:rsidRPr="00472FA3" w:rsidRDefault="009C0BA2" w:rsidP="00472FA3">
      <w:pPr>
        <w:pStyle w:val="NotesBody11pt"/>
        <w:spacing w:line="240" w:lineRule="auto"/>
        <w:rPr>
          <w:color w:val="004C97"/>
          <w:sz w:val="24"/>
          <w:szCs w:val="24"/>
        </w:rPr>
      </w:pPr>
    </w:p>
    <w:tbl>
      <w:tblPr>
        <w:tblStyle w:val="PIP-IITable"/>
        <w:tblW w:w="0" w:type="auto"/>
        <w:tblLook w:val="04A0" w:firstRow="1" w:lastRow="0" w:firstColumn="1" w:lastColumn="0" w:noHBand="0" w:noVBand="1"/>
      </w:tblPr>
      <w:tblGrid>
        <w:gridCol w:w="7740"/>
        <w:gridCol w:w="2340"/>
      </w:tblGrid>
      <w:tr w:rsidR="00231D54" w14:paraId="6F74E8E1" w14:textId="77777777" w:rsidTr="0073303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34D0BE65" w14:textId="77777777" w:rsidR="00231D54" w:rsidRDefault="00231D54" w:rsidP="0073303B">
            <w:r>
              <w:t>Signatures Required</w:t>
            </w:r>
          </w:p>
        </w:tc>
        <w:tc>
          <w:tcPr>
            <w:tcW w:w="2340" w:type="dxa"/>
          </w:tcPr>
          <w:p w14:paraId="4724F26C" w14:textId="77777777" w:rsidR="00231D54" w:rsidRDefault="00231D54" w:rsidP="0073303B">
            <w:r>
              <w:t>Date Approved</w:t>
            </w:r>
          </w:p>
        </w:tc>
      </w:tr>
      <w:tr w:rsidR="00231D54" w14:paraId="2E251F09" w14:textId="77777777" w:rsidTr="0073303B">
        <w:trPr>
          <w:trHeight w:val="458"/>
        </w:trPr>
        <w:tc>
          <w:tcPr>
            <w:tcW w:w="7740" w:type="dxa"/>
          </w:tcPr>
          <w:p w14:paraId="3798AFAE" w14:textId="183EFBAD" w:rsidR="00231D54" w:rsidRDefault="00390AD6" w:rsidP="0073303B">
            <w:r>
              <w:t>Originator</w:t>
            </w:r>
            <w:r w:rsidR="00231D54">
              <w:t>:</w:t>
            </w:r>
            <w:r w:rsidR="00EA01B3">
              <w:t xml:space="preserve"> </w:t>
            </w:r>
            <w:r w:rsidR="00D92108">
              <w:t xml:space="preserve">James Steimel, </w:t>
            </w:r>
            <w:r w:rsidR="00143D79">
              <w:t>HPRF L3 Manager</w:t>
            </w:r>
          </w:p>
        </w:tc>
        <w:tc>
          <w:tcPr>
            <w:tcW w:w="2340" w:type="dxa"/>
          </w:tcPr>
          <w:p w14:paraId="7798709D" w14:textId="298C8C0D" w:rsidR="00231D54" w:rsidRDefault="00537054" w:rsidP="0073303B">
            <w:r>
              <w:t>-</w:t>
            </w:r>
          </w:p>
        </w:tc>
      </w:tr>
      <w:tr w:rsidR="00C243CF" w14:paraId="24C8774E" w14:textId="77777777" w:rsidTr="0073303B">
        <w:trPr>
          <w:trHeight w:val="458"/>
        </w:trPr>
        <w:tc>
          <w:tcPr>
            <w:tcW w:w="7740" w:type="dxa"/>
          </w:tcPr>
          <w:p w14:paraId="08DB09B0" w14:textId="45F1DC59" w:rsidR="00C243CF" w:rsidRDefault="00C243CF" w:rsidP="0073303B">
            <w:r>
              <w:t>Originator: Brian Chase, LLRF L3 Manager</w:t>
            </w:r>
          </w:p>
        </w:tc>
        <w:tc>
          <w:tcPr>
            <w:tcW w:w="2340" w:type="dxa"/>
          </w:tcPr>
          <w:p w14:paraId="560F51F8" w14:textId="6A9F0FCE" w:rsidR="00C243CF" w:rsidRDefault="00C243CF" w:rsidP="0073303B">
            <w:r>
              <w:t>-</w:t>
            </w:r>
          </w:p>
        </w:tc>
      </w:tr>
      <w:tr w:rsidR="007A1D53" w14:paraId="31222BEF" w14:textId="77777777" w:rsidTr="0073303B">
        <w:trPr>
          <w:trHeight w:val="458"/>
        </w:trPr>
        <w:tc>
          <w:tcPr>
            <w:tcW w:w="7740" w:type="dxa"/>
          </w:tcPr>
          <w:p w14:paraId="3DAD59B4" w14:textId="7BD15A92" w:rsidR="007A1D53" w:rsidRDefault="00537054" w:rsidP="0073303B">
            <w:r>
              <w:t>Concurrence</w:t>
            </w:r>
            <w:r w:rsidR="007A1D53">
              <w:t>: Alex Martinez, Integration Coordinator</w:t>
            </w:r>
          </w:p>
        </w:tc>
        <w:tc>
          <w:tcPr>
            <w:tcW w:w="2340" w:type="dxa"/>
          </w:tcPr>
          <w:p w14:paraId="3E572B3A" w14:textId="0FE58FB0" w:rsidR="007A1D53" w:rsidRDefault="00537054" w:rsidP="0073303B">
            <w:r>
              <w:t>-</w:t>
            </w:r>
          </w:p>
        </w:tc>
      </w:tr>
      <w:tr w:rsidR="00231D54" w14:paraId="0A0CC64D" w14:textId="77777777" w:rsidTr="0073303B">
        <w:trPr>
          <w:trHeight w:val="458"/>
        </w:trPr>
        <w:tc>
          <w:tcPr>
            <w:tcW w:w="7740" w:type="dxa"/>
          </w:tcPr>
          <w:p w14:paraId="61247A9A" w14:textId="15A3BD12" w:rsidR="00231D54" w:rsidRDefault="00231D54" w:rsidP="0073303B">
            <w:r>
              <w:t xml:space="preserve">Approver: </w:t>
            </w:r>
            <w:r w:rsidR="00537054">
              <w:t>Elvin Harms</w:t>
            </w:r>
            <w:r>
              <w:t xml:space="preserve">, </w:t>
            </w:r>
            <w:r w:rsidR="00537054">
              <w:t>Accelerator Systems L2 Manager</w:t>
            </w:r>
          </w:p>
        </w:tc>
        <w:tc>
          <w:tcPr>
            <w:tcW w:w="2340" w:type="dxa"/>
          </w:tcPr>
          <w:p w14:paraId="4F805A15" w14:textId="0A01899E" w:rsidR="00231D54" w:rsidRDefault="00537054" w:rsidP="0073303B">
            <w:r>
              <w:t>Approved in Teamcenter</w:t>
            </w:r>
          </w:p>
        </w:tc>
      </w:tr>
      <w:tr w:rsidR="00231D54" w14:paraId="6DD98B4F" w14:textId="77777777" w:rsidTr="0073303B">
        <w:trPr>
          <w:trHeight w:val="458"/>
        </w:trPr>
        <w:tc>
          <w:tcPr>
            <w:tcW w:w="7740" w:type="dxa"/>
          </w:tcPr>
          <w:p w14:paraId="27203651" w14:textId="10258D81" w:rsidR="00231D54" w:rsidRDefault="00231D54" w:rsidP="0073303B">
            <w:r>
              <w:t xml:space="preserve">Approver: </w:t>
            </w:r>
            <w:r w:rsidR="00366DD2">
              <w:t>Eduard Pozdeyev</w:t>
            </w:r>
            <w:r w:rsidR="00836B90">
              <w:t>, Project Scientist</w:t>
            </w:r>
          </w:p>
        </w:tc>
        <w:tc>
          <w:tcPr>
            <w:tcW w:w="2340" w:type="dxa"/>
          </w:tcPr>
          <w:p w14:paraId="19D079B3" w14:textId="2B7E6C68" w:rsidR="00231D54" w:rsidRDefault="00537054" w:rsidP="0073303B">
            <w:r>
              <w:t>Approved in Teamcenter</w:t>
            </w:r>
          </w:p>
        </w:tc>
      </w:tr>
    </w:tbl>
    <w:p w14:paraId="3E3F3BAC" w14:textId="77777777" w:rsidR="00231D54" w:rsidRDefault="00231D54" w:rsidP="00231D54">
      <w:pPr>
        <w:rPr>
          <w:b/>
          <w:sz w:val="24"/>
        </w:rPr>
      </w:pPr>
    </w:p>
    <w:p w14:paraId="672D4EEA" w14:textId="77777777" w:rsidR="00472FA3" w:rsidRDefault="00472FA3" w:rsidP="00925DFE">
      <w:pPr>
        <w:pStyle w:val="Subtitle16pt"/>
        <w:jc w:val="both"/>
      </w:pPr>
    </w:p>
    <w:p w14:paraId="382C925E" w14:textId="77777777" w:rsidR="00472FA3" w:rsidRDefault="00472FA3" w:rsidP="00925DFE">
      <w:pPr>
        <w:pStyle w:val="Subtitle16pt"/>
        <w:jc w:val="both"/>
      </w:pPr>
    </w:p>
    <w:p w14:paraId="66E88FC0" w14:textId="77777777" w:rsidR="00472FA3" w:rsidRDefault="00472FA3" w:rsidP="00925DFE">
      <w:pPr>
        <w:pStyle w:val="Subtitle16pt"/>
        <w:jc w:val="both"/>
      </w:pPr>
    </w:p>
    <w:p w14:paraId="28689A56" w14:textId="77777777" w:rsidR="00472FA3" w:rsidRDefault="00472FA3" w:rsidP="00925DFE">
      <w:pPr>
        <w:pStyle w:val="Subtitle16pt"/>
        <w:jc w:val="both"/>
      </w:pPr>
    </w:p>
    <w:p w14:paraId="39C30339" w14:textId="77777777" w:rsidR="00472FA3" w:rsidRDefault="00472FA3" w:rsidP="00925DFE">
      <w:pPr>
        <w:pStyle w:val="Subtitle16pt"/>
        <w:jc w:val="both"/>
      </w:pPr>
    </w:p>
    <w:p w14:paraId="18D96983" w14:textId="77777777" w:rsidR="00472FA3" w:rsidRDefault="00472FA3" w:rsidP="00925DFE">
      <w:pPr>
        <w:pStyle w:val="Subtitle16pt"/>
        <w:jc w:val="both"/>
      </w:pPr>
    </w:p>
    <w:p w14:paraId="4A650CAA" w14:textId="78F63843" w:rsidR="00925DFE" w:rsidRPr="007B2E8F" w:rsidRDefault="00925DFE" w:rsidP="00925DFE">
      <w:pPr>
        <w:pStyle w:val="Subtitle16pt"/>
        <w:jc w:val="both"/>
      </w:pPr>
      <w:r>
        <w:t>Revision History</w:t>
      </w:r>
    </w:p>
    <w:p w14:paraId="21A3BD16" w14:textId="77777777" w:rsidR="00925DFE" w:rsidRPr="00A42842" w:rsidRDefault="00925DFE" w:rsidP="00925DFE">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925DFE" w14:paraId="3354A807" w14:textId="77777777" w:rsidTr="0073303B">
        <w:tc>
          <w:tcPr>
            <w:tcW w:w="985" w:type="dxa"/>
          </w:tcPr>
          <w:p w14:paraId="2199BAFA" w14:textId="77777777" w:rsidR="00925DFE" w:rsidRDefault="00925DFE" w:rsidP="0073303B">
            <w:pPr>
              <w:pStyle w:val="NotesBody11pt"/>
              <w:spacing w:line="240" w:lineRule="auto"/>
              <w:rPr>
                <w:color w:val="004C97"/>
              </w:rPr>
            </w:pPr>
            <w:r>
              <w:rPr>
                <w:color w:val="004C97"/>
              </w:rPr>
              <w:t>Revision</w:t>
            </w:r>
          </w:p>
        </w:tc>
        <w:tc>
          <w:tcPr>
            <w:tcW w:w="2070" w:type="dxa"/>
          </w:tcPr>
          <w:p w14:paraId="21A6D553" w14:textId="49890EAC" w:rsidR="00925DFE" w:rsidRDefault="00925DFE" w:rsidP="0073303B">
            <w:pPr>
              <w:pStyle w:val="NotesBody11pt"/>
              <w:spacing w:line="240" w:lineRule="auto"/>
              <w:rPr>
                <w:color w:val="004C97"/>
              </w:rPr>
            </w:pPr>
            <w:r>
              <w:rPr>
                <w:color w:val="004C97"/>
              </w:rPr>
              <w:t xml:space="preserve">Date </w:t>
            </w:r>
            <w:r w:rsidR="00EC2506">
              <w:rPr>
                <w:color w:val="004C97"/>
              </w:rPr>
              <w:t>of</w:t>
            </w:r>
            <w:r>
              <w:rPr>
                <w:color w:val="004C97"/>
              </w:rPr>
              <w:t xml:space="preserve"> Release</w:t>
            </w:r>
          </w:p>
        </w:tc>
        <w:tc>
          <w:tcPr>
            <w:tcW w:w="7015" w:type="dxa"/>
          </w:tcPr>
          <w:p w14:paraId="18529617" w14:textId="77777777" w:rsidR="00925DFE" w:rsidRDefault="00925DFE" w:rsidP="0073303B">
            <w:pPr>
              <w:pStyle w:val="NotesBody11pt"/>
              <w:spacing w:line="240" w:lineRule="auto"/>
              <w:rPr>
                <w:color w:val="004C97"/>
              </w:rPr>
            </w:pPr>
            <w:r>
              <w:rPr>
                <w:color w:val="004C97"/>
              </w:rPr>
              <w:t>Description of Change</w:t>
            </w:r>
          </w:p>
        </w:tc>
      </w:tr>
      <w:tr w:rsidR="00925DFE" w14:paraId="66A7DF41" w14:textId="77777777" w:rsidTr="0073303B">
        <w:tc>
          <w:tcPr>
            <w:tcW w:w="985" w:type="dxa"/>
          </w:tcPr>
          <w:p w14:paraId="51BEECCF" w14:textId="044D02E3" w:rsidR="00925DFE" w:rsidRDefault="00537054" w:rsidP="00537054">
            <w:pPr>
              <w:pStyle w:val="NotesBody11pt"/>
              <w:spacing w:line="240" w:lineRule="auto"/>
              <w:jc w:val="center"/>
              <w:rPr>
                <w:color w:val="004C97"/>
              </w:rPr>
            </w:pPr>
            <w:r>
              <w:rPr>
                <w:color w:val="004C97"/>
              </w:rPr>
              <w:t>-</w:t>
            </w:r>
          </w:p>
        </w:tc>
        <w:tc>
          <w:tcPr>
            <w:tcW w:w="2070" w:type="dxa"/>
          </w:tcPr>
          <w:p w14:paraId="248F99FE" w14:textId="332C3506" w:rsidR="00925DFE" w:rsidRDefault="00C243CF" w:rsidP="008743DC">
            <w:pPr>
              <w:pStyle w:val="NotesBody11pt"/>
              <w:spacing w:line="240" w:lineRule="auto"/>
              <w:jc w:val="center"/>
              <w:rPr>
                <w:color w:val="004C97"/>
              </w:rPr>
            </w:pPr>
            <w:r>
              <w:rPr>
                <w:color w:val="004C97"/>
              </w:rPr>
              <w:t>12-9-2019</w:t>
            </w:r>
          </w:p>
        </w:tc>
        <w:tc>
          <w:tcPr>
            <w:tcW w:w="7015" w:type="dxa"/>
          </w:tcPr>
          <w:p w14:paraId="3413621E" w14:textId="131728A5" w:rsidR="00925DFE" w:rsidRDefault="00537054" w:rsidP="0073303B">
            <w:pPr>
              <w:pStyle w:val="NotesBody11pt"/>
              <w:spacing w:line="240" w:lineRule="auto"/>
              <w:rPr>
                <w:color w:val="004C97"/>
              </w:rPr>
            </w:pPr>
            <w:r>
              <w:rPr>
                <w:color w:val="004C97"/>
              </w:rPr>
              <w:t xml:space="preserve">Initial </w:t>
            </w:r>
            <w:r w:rsidR="0022087B">
              <w:rPr>
                <w:color w:val="004C97"/>
              </w:rPr>
              <w:t>r</w:t>
            </w:r>
            <w:r>
              <w:rPr>
                <w:color w:val="004C97"/>
              </w:rPr>
              <w:t>elease</w:t>
            </w:r>
          </w:p>
        </w:tc>
      </w:tr>
      <w:tr w:rsidR="00925DFE" w14:paraId="34E0CA10" w14:textId="77777777" w:rsidTr="0073303B">
        <w:tc>
          <w:tcPr>
            <w:tcW w:w="985" w:type="dxa"/>
          </w:tcPr>
          <w:p w14:paraId="512CAFF5" w14:textId="7EB8A574" w:rsidR="00925DFE" w:rsidRDefault="004F73AA" w:rsidP="004F73AA">
            <w:pPr>
              <w:pStyle w:val="NotesBody11pt"/>
              <w:spacing w:line="240" w:lineRule="auto"/>
              <w:jc w:val="center"/>
              <w:rPr>
                <w:color w:val="004C97"/>
              </w:rPr>
            </w:pPr>
            <w:r>
              <w:rPr>
                <w:color w:val="004C97"/>
              </w:rPr>
              <w:t>A</w:t>
            </w:r>
          </w:p>
        </w:tc>
        <w:tc>
          <w:tcPr>
            <w:tcW w:w="2070" w:type="dxa"/>
          </w:tcPr>
          <w:p w14:paraId="3A6720B2" w14:textId="77777777" w:rsidR="00925DFE" w:rsidRDefault="00925DFE" w:rsidP="0073303B">
            <w:pPr>
              <w:pStyle w:val="NotesBody11pt"/>
              <w:spacing w:line="240" w:lineRule="auto"/>
              <w:rPr>
                <w:color w:val="004C97"/>
              </w:rPr>
            </w:pPr>
          </w:p>
        </w:tc>
        <w:tc>
          <w:tcPr>
            <w:tcW w:w="7015" w:type="dxa"/>
          </w:tcPr>
          <w:p w14:paraId="215E2C93" w14:textId="268E4E32" w:rsidR="00925DFE" w:rsidRDefault="004F73AA" w:rsidP="0073303B">
            <w:pPr>
              <w:pStyle w:val="NotesBody11pt"/>
              <w:spacing w:line="240" w:lineRule="auto"/>
              <w:rPr>
                <w:color w:val="004C97"/>
              </w:rPr>
            </w:pPr>
            <w:r>
              <w:rPr>
                <w:color w:val="004C97"/>
              </w:rPr>
              <w:t>Change of basis for calculating errors in coupling</w:t>
            </w:r>
          </w:p>
        </w:tc>
      </w:tr>
    </w:tbl>
    <w:p w14:paraId="46E00818" w14:textId="77777777" w:rsidR="00925DFE" w:rsidRDefault="00925DFE" w:rsidP="00C67AFD">
      <w:pPr>
        <w:pStyle w:val="NotesBody11pt"/>
      </w:pPr>
    </w:p>
    <w:p w14:paraId="649A94CB" w14:textId="77777777" w:rsidR="005F6FFF" w:rsidRPr="005F6FFF" w:rsidRDefault="005F6FFF" w:rsidP="005F6FFF"/>
    <w:p w14:paraId="735BDBE1" w14:textId="77777777" w:rsidR="005F6FFF" w:rsidRDefault="005F6FFF" w:rsidP="005F6FFF">
      <w:pPr>
        <w:rPr>
          <w:rFonts w:ascii="Helvetica" w:hAnsi="Helvetica"/>
          <w:sz w:val="22"/>
          <w:szCs w:val="22"/>
        </w:rPr>
      </w:pPr>
    </w:p>
    <w:p w14:paraId="3194AF25" w14:textId="39E8648C" w:rsidR="005F6FFF" w:rsidRDefault="005F6FFF" w:rsidP="005F6FFF">
      <w:pPr>
        <w:jc w:val="center"/>
        <w:rPr>
          <w:rFonts w:ascii="Helvetica" w:hAnsi="Helvetica"/>
          <w:sz w:val="22"/>
          <w:szCs w:val="22"/>
        </w:rPr>
      </w:pPr>
    </w:p>
    <w:p w14:paraId="2366331E" w14:textId="77777777" w:rsidR="005F6FFF" w:rsidRDefault="005F6FFF">
      <w:pPr>
        <w:rPr>
          <w:rFonts w:ascii="Helvetica" w:hAnsi="Helvetica"/>
          <w:sz w:val="22"/>
          <w:szCs w:val="22"/>
        </w:rPr>
      </w:pPr>
      <w:r>
        <w:rPr>
          <w:rFonts w:ascii="Helvetica" w:hAnsi="Helvetica"/>
          <w:sz w:val="22"/>
          <w:szCs w:val="22"/>
        </w:rPr>
        <w:br w:type="page"/>
      </w:r>
    </w:p>
    <w:p w14:paraId="5B5C7C79" w14:textId="77777777" w:rsidR="00CA401C" w:rsidRDefault="00CA401C" w:rsidP="00CA401C">
      <w:pPr>
        <w:tabs>
          <w:tab w:val="left" w:pos="6637"/>
        </w:tabs>
        <w:jc w:val="center"/>
        <w:rPr>
          <w:rFonts w:ascii="Helvetica" w:hAnsi="Helvetica"/>
          <w:sz w:val="22"/>
          <w:szCs w:val="22"/>
        </w:rPr>
      </w:pPr>
      <w:r>
        <w:rPr>
          <w:rFonts w:ascii="Helvetica" w:hAnsi="Helvetica"/>
          <w:sz w:val="22"/>
          <w:szCs w:val="22"/>
        </w:rPr>
        <w:lastRenderedPageBreak/>
        <w:t>Page left intentionally blank for revision history.</w:t>
      </w:r>
    </w:p>
    <w:p w14:paraId="379067BC" w14:textId="77777777" w:rsidR="005F6FFF" w:rsidRDefault="005F6FFF" w:rsidP="005F6FFF">
      <w:pPr>
        <w:jc w:val="center"/>
        <w:rPr>
          <w:rFonts w:ascii="Helvetica" w:hAnsi="Helvetica"/>
          <w:sz w:val="22"/>
          <w:szCs w:val="22"/>
        </w:rPr>
      </w:pPr>
    </w:p>
    <w:p w14:paraId="6576D906" w14:textId="300FF80F" w:rsidR="005F6FFF" w:rsidRPr="005F6FFF" w:rsidRDefault="005F6FFF" w:rsidP="005F6FFF">
      <w:pPr>
        <w:tabs>
          <w:tab w:val="center" w:pos="5040"/>
        </w:tabs>
        <w:sectPr w:rsidR="005F6FFF" w:rsidRPr="005F6FFF" w:rsidSect="006013DE">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r>
        <w:tab/>
      </w: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1ABB2B8D" w14:textId="697D7DD9" w:rsidR="00C243CF" w:rsidRDefault="00FF105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6687929" w:history="1">
            <w:r w:rsidR="00C243CF" w:rsidRPr="005E2664">
              <w:rPr>
                <w:rStyle w:val="Hyperlink"/>
              </w:rPr>
              <w:t>1.</w:t>
            </w:r>
            <w:r w:rsidR="00C243CF">
              <w:rPr>
                <w:rFonts w:asciiTheme="minorHAnsi" w:eastAsiaTheme="minorEastAsia" w:hAnsiTheme="minorHAnsi" w:cstheme="minorBidi"/>
                <w:sz w:val="22"/>
                <w:szCs w:val="22"/>
              </w:rPr>
              <w:tab/>
            </w:r>
            <w:r w:rsidR="00C243CF" w:rsidRPr="005E2664">
              <w:rPr>
                <w:rStyle w:val="Hyperlink"/>
              </w:rPr>
              <w:t>Purpose</w:t>
            </w:r>
            <w:r w:rsidR="00C243CF">
              <w:rPr>
                <w:webHidden/>
              </w:rPr>
              <w:tab/>
            </w:r>
            <w:r w:rsidR="00C243CF">
              <w:rPr>
                <w:webHidden/>
              </w:rPr>
              <w:fldChar w:fldCharType="begin"/>
            </w:r>
            <w:r w:rsidR="00C243CF">
              <w:rPr>
                <w:webHidden/>
              </w:rPr>
              <w:instrText xml:space="preserve"> PAGEREF _Toc26687929 \h </w:instrText>
            </w:r>
            <w:r w:rsidR="00C243CF">
              <w:rPr>
                <w:webHidden/>
              </w:rPr>
            </w:r>
            <w:r w:rsidR="00C243CF">
              <w:rPr>
                <w:webHidden/>
              </w:rPr>
              <w:fldChar w:fldCharType="separate"/>
            </w:r>
            <w:r w:rsidR="00C243CF">
              <w:rPr>
                <w:webHidden/>
              </w:rPr>
              <w:t>4</w:t>
            </w:r>
            <w:r w:rsidR="00C243CF">
              <w:rPr>
                <w:webHidden/>
              </w:rPr>
              <w:fldChar w:fldCharType="end"/>
            </w:r>
          </w:hyperlink>
        </w:p>
        <w:p w14:paraId="19828E73" w14:textId="3421CFBA" w:rsidR="00C243CF" w:rsidRDefault="006018C4">
          <w:pPr>
            <w:pStyle w:val="TOC1"/>
            <w:rPr>
              <w:rFonts w:asciiTheme="minorHAnsi" w:eastAsiaTheme="minorEastAsia" w:hAnsiTheme="minorHAnsi" w:cstheme="minorBidi"/>
              <w:sz w:val="22"/>
              <w:szCs w:val="22"/>
            </w:rPr>
          </w:pPr>
          <w:hyperlink w:anchor="_Toc26687930" w:history="1">
            <w:r w:rsidR="00C243CF" w:rsidRPr="005E2664">
              <w:rPr>
                <w:rStyle w:val="Hyperlink"/>
              </w:rPr>
              <w:t>2.</w:t>
            </w:r>
            <w:r w:rsidR="00C243CF">
              <w:rPr>
                <w:rFonts w:asciiTheme="minorHAnsi" w:eastAsiaTheme="minorEastAsia" w:hAnsiTheme="minorHAnsi" w:cstheme="minorBidi"/>
                <w:sz w:val="22"/>
                <w:szCs w:val="22"/>
              </w:rPr>
              <w:tab/>
            </w:r>
            <w:r w:rsidR="00C243CF" w:rsidRPr="005E2664">
              <w:rPr>
                <w:rStyle w:val="Hyperlink"/>
              </w:rPr>
              <w:t>Scope</w:t>
            </w:r>
            <w:r w:rsidR="00C243CF">
              <w:rPr>
                <w:webHidden/>
              </w:rPr>
              <w:tab/>
            </w:r>
            <w:r w:rsidR="00C243CF">
              <w:rPr>
                <w:webHidden/>
              </w:rPr>
              <w:fldChar w:fldCharType="begin"/>
            </w:r>
            <w:r w:rsidR="00C243CF">
              <w:rPr>
                <w:webHidden/>
              </w:rPr>
              <w:instrText xml:space="preserve"> PAGEREF _Toc26687930 \h </w:instrText>
            </w:r>
            <w:r w:rsidR="00C243CF">
              <w:rPr>
                <w:webHidden/>
              </w:rPr>
            </w:r>
            <w:r w:rsidR="00C243CF">
              <w:rPr>
                <w:webHidden/>
              </w:rPr>
              <w:fldChar w:fldCharType="separate"/>
            </w:r>
            <w:r w:rsidR="00C243CF">
              <w:rPr>
                <w:webHidden/>
              </w:rPr>
              <w:t>4</w:t>
            </w:r>
            <w:r w:rsidR="00C243CF">
              <w:rPr>
                <w:webHidden/>
              </w:rPr>
              <w:fldChar w:fldCharType="end"/>
            </w:r>
          </w:hyperlink>
        </w:p>
        <w:p w14:paraId="409F9D88" w14:textId="09062101" w:rsidR="00C243CF" w:rsidRDefault="006018C4">
          <w:pPr>
            <w:pStyle w:val="TOC1"/>
            <w:rPr>
              <w:rFonts w:asciiTheme="minorHAnsi" w:eastAsiaTheme="minorEastAsia" w:hAnsiTheme="minorHAnsi" w:cstheme="minorBidi"/>
              <w:sz w:val="22"/>
              <w:szCs w:val="22"/>
            </w:rPr>
          </w:pPr>
          <w:hyperlink w:anchor="_Toc26687931" w:history="1">
            <w:r w:rsidR="00C243CF" w:rsidRPr="005E2664">
              <w:rPr>
                <w:rStyle w:val="Hyperlink"/>
              </w:rPr>
              <w:t>3.</w:t>
            </w:r>
            <w:r w:rsidR="00C243CF">
              <w:rPr>
                <w:rFonts w:asciiTheme="minorHAnsi" w:eastAsiaTheme="minorEastAsia" w:hAnsiTheme="minorHAnsi" w:cstheme="minorBidi"/>
                <w:sz w:val="22"/>
                <w:szCs w:val="22"/>
              </w:rPr>
              <w:tab/>
            </w:r>
            <w:r w:rsidR="00C243CF" w:rsidRPr="005E2664">
              <w:rPr>
                <w:rStyle w:val="Hyperlink"/>
              </w:rPr>
              <w:t>Acronyms</w:t>
            </w:r>
            <w:r w:rsidR="00C243CF">
              <w:rPr>
                <w:webHidden/>
              </w:rPr>
              <w:tab/>
            </w:r>
            <w:r w:rsidR="00C243CF">
              <w:rPr>
                <w:webHidden/>
              </w:rPr>
              <w:fldChar w:fldCharType="begin"/>
            </w:r>
            <w:r w:rsidR="00C243CF">
              <w:rPr>
                <w:webHidden/>
              </w:rPr>
              <w:instrText xml:space="preserve"> PAGEREF _Toc26687931 \h </w:instrText>
            </w:r>
            <w:r w:rsidR="00C243CF">
              <w:rPr>
                <w:webHidden/>
              </w:rPr>
            </w:r>
            <w:r w:rsidR="00C243CF">
              <w:rPr>
                <w:webHidden/>
              </w:rPr>
              <w:fldChar w:fldCharType="separate"/>
            </w:r>
            <w:r w:rsidR="00C243CF">
              <w:rPr>
                <w:webHidden/>
              </w:rPr>
              <w:t>4</w:t>
            </w:r>
            <w:r w:rsidR="00C243CF">
              <w:rPr>
                <w:webHidden/>
              </w:rPr>
              <w:fldChar w:fldCharType="end"/>
            </w:r>
          </w:hyperlink>
        </w:p>
        <w:p w14:paraId="466B3662" w14:textId="3129565F" w:rsidR="00C243CF" w:rsidRDefault="006018C4">
          <w:pPr>
            <w:pStyle w:val="TOC1"/>
            <w:rPr>
              <w:rFonts w:asciiTheme="minorHAnsi" w:eastAsiaTheme="minorEastAsia" w:hAnsiTheme="minorHAnsi" w:cstheme="minorBidi"/>
              <w:sz w:val="22"/>
              <w:szCs w:val="22"/>
            </w:rPr>
          </w:pPr>
          <w:hyperlink w:anchor="_Toc26687932" w:history="1">
            <w:r w:rsidR="00C243CF" w:rsidRPr="005E2664">
              <w:rPr>
                <w:rStyle w:val="Hyperlink"/>
              </w:rPr>
              <w:t>4.</w:t>
            </w:r>
            <w:r w:rsidR="00C243CF">
              <w:rPr>
                <w:rFonts w:asciiTheme="minorHAnsi" w:eastAsiaTheme="minorEastAsia" w:hAnsiTheme="minorHAnsi" w:cstheme="minorBidi"/>
                <w:sz w:val="22"/>
                <w:szCs w:val="22"/>
              </w:rPr>
              <w:tab/>
            </w:r>
            <w:r w:rsidR="00C243CF" w:rsidRPr="005E2664">
              <w:rPr>
                <w:rStyle w:val="Hyperlink"/>
              </w:rPr>
              <w:t>Cavity Voltage Requirements</w:t>
            </w:r>
            <w:r w:rsidR="00C243CF">
              <w:rPr>
                <w:webHidden/>
              </w:rPr>
              <w:tab/>
            </w:r>
            <w:r w:rsidR="00C243CF">
              <w:rPr>
                <w:webHidden/>
              </w:rPr>
              <w:fldChar w:fldCharType="begin"/>
            </w:r>
            <w:r w:rsidR="00C243CF">
              <w:rPr>
                <w:webHidden/>
              </w:rPr>
              <w:instrText xml:space="preserve"> PAGEREF _Toc26687932 \h </w:instrText>
            </w:r>
            <w:r w:rsidR="00C243CF">
              <w:rPr>
                <w:webHidden/>
              </w:rPr>
            </w:r>
            <w:r w:rsidR="00C243CF">
              <w:rPr>
                <w:webHidden/>
              </w:rPr>
              <w:fldChar w:fldCharType="separate"/>
            </w:r>
            <w:r w:rsidR="00C243CF">
              <w:rPr>
                <w:webHidden/>
              </w:rPr>
              <w:t>5</w:t>
            </w:r>
            <w:r w:rsidR="00C243CF">
              <w:rPr>
                <w:webHidden/>
              </w:rPr>
              <w:fldChar w:fldCharType="end"/>
            </w:r>
          </w:hyperlink>
        </w:p>
        <w:p w14:paraId="1A122E7D" w14:textId="13031527" w:rsidR="00C243CF" w:rsidRDefault="006018C4">
          <w:pPr>
            <w:pStyle w:val="TOC2"/>
            <w:rPr>
              <w:rFonts w:asciiTheme="minorHAnsi" w:eastAsiaTheme="minorEastAsia" w:hAnsiTheme="minorHAnsi" w:cstheme="minorBidi"/>
              <w:szCs w:val="22"/>
            </w:rPr>
          </w:pPr>
          <w:hyperlink w:anchor="_Toc26687933" w:history="1">
            <w:r w:rsidR="00C243CF" w:rsidRPr="005E2664">
              <w:rPr>
                <w:rStyle w:val="Hyperlink"/>
              </w:rPr>
              <w:t>4.1.</w:t>
            </w:r>
            <w:r w:rsidR="00C243CF">
              <w:rPr>
                <w:rFonts w:asciiTheme="minorHAnsi" w:eastAsiaTheme="minorEastAsia" w:hAnsiTheme="minorHAnsi" w:cstheme="minorBidi"/>
                <w:szCs w:val="22"/>
              </w:rPr>
              <w:tab/>
            </w:r>
            <w:r w:rsidR="00C243CF" w:rsidRPr="005E2664">
              <w:rPr>
                <w:rStyle w:val="Hyperlink"/>
              </w:rPr>
              <w:t>Phase and amplitude stability</w:t>
            </w:r>
            <w:r w:rsidR="00C243CF">
              <w:rPr>
                <w:webHidden/>
              </w:rPr>
              <w:tab/>
            </w:r>
            <w:r w:rsidR="00C243CF">
              <w:rPr>
                <w:webHidden/>
              </w:rPr>
              <w:fldChar w:fldCharType="begin"/>
            </w:r>
            <w:r w:rsidR="00C243CF">
              <w:rPr>
                <w:webHidden/>
              </w:rPr>
              <w:instrText xml:space="preserve"> PAGEREF _Toc26687933 \h </w:instrText>
            </w:r>
            <w:r w:rsidR="00C243CF">
              <w:rPr>
                <w:webHidden/>
              </w:rPr>
            </w:r>
            <w:r w:rsidR="00C243CF">
              <w:rPr>
                <w:webHidden/>
              </w:rPr>
              <w:fldChar w:fldCharType="separate"/>
            </w:r>
            <w:r w:rsidR="00C243CF">
              <w:rPr>
                <w:webHidden/>
              </w:rPr>
              <w:t>8</w:t>
            </w:r>
            <w:r w:rsidR="00C243CF">
              <w:rPr>
                <w:webHidden/>
              </w:rPr>
              <w:fldChar w:fldCharType="end"/>
            </w:r>
          </w:hyperlink>
        </w:p>
        <w:p w14:paraId="468E1F91" w14:textId="11F8A33B" w:rsidR="00C243CF" w:rsidRDefault="006018C4">
          <w:pPr>
            <w:pStyle w:val="TOC1"/>
            <w:rPr>
              <w:rFonts w:asciiTheme="minorHAnsi" w:eastAsiaTheme="minorEastAsia" w:hAnsiTheme="minorHAnsi" w:cstheme="minorBidi"/>
              <w:sz w:val="22"/>
              <w:szCs w:val="22"/>
            </w:rPr>
          </w:pPr>
          <w:hyperlink w:anchor="_Toc26687934" w:history="1">
            <w:r w:rsidR="00C243CF" w:rsidRPr="005E2664">
              <w:rPr>
                <w:rStyle w:val="Hyperlink"/>
              </w:rPr>
              <w:t>5.</w:t>
            </w:r>
            <w:r w:rsidR="00C243CF">
              <w:rPr>
                <w:rFonts w:asciiTheme="minorHAnsi" w:eastAsiaTheme="minorEastAsia" w:hAnsiTheme="minorHAnsi" w:cstheme="minorBidi"/>
                <w:sz w:val="22"/>
                <w:szCs w:val="22"/>
              </w:rPr>
              <w:tab/>
            </w:r>
            <w:r w:rsidR="00C243CF" w:rsidRPr="005E2664">
              <w:rPr>
                <w:rStyle w:val="Hyperlink"/>
              </w:rPr>
              <w:t>General RF System Conceptual Design</w:t>
            </w:r>
            <w:r w:rsidR="00C243CF">
              <w:rPr>
                <w:webHidden/>
              </w:rPr>
              <w:tab/>
            </w:r>
            <w:r w:rsidR="00C243CF">
              <w:rPr>
                <w:webHidden/>
              </w:rPr>
              <w:fldChar w:fldCharType="begin"/>
            </w:r>
            <w:r w:rsidR="00C243CF">
              <w:rPr>
                <w:webHidden/>
              </w:rPr>
              <w:instrText xml:space="preserve"> PAGEREF _Toc26687934 \h </w:instrText>
            </w:r>
            <w:r w:rsidR="00C243CF">
              <w:rPr>
                <w:webHidden/>
              </w:rPr>
            </w:r>
            <w:r w:rsidR="00C243CF">
              <w:rPr>
                <w:webHidden/>
              </w:rPr>
              <w:fldChar w:fldCharType="separate"/>
            </w:r>
            <w:r w:rsidR="00C243CF">
              <w:rPr>
                <w:webHidden/>
              </w:rPr>
              <w:t>8</w:t>
            </w:r>
            <w:r w:rsidR="00C243CF">
              <w:rPr>
                <w:webHidden/>
              </w:rPr>
              <w:fldChar w:fldCharType="end"/>
            </w:r>
          </w:hyperlink>
        </w:p>
        <w:p w14:paraId="555DD351" w14:textId="5C01EC8B" w:rsidR="00C243CF" w:rsidRDefault="006018C4">
          <w:pPr>
            <w:pStyle w:val="TOC1"/>
            <w:rPr>
              <w:rFonts w:asciiTheme="minorHAnsi" w:eastAsiaTheme="minorEastAsia" w:hAnsiTheme="minorHAnsi" w:cstheme="minorBidi"/>
              <w:sz w:val="22"/>
              <w:szCs w:val="22"/>
            </w:rPr>
          </w:pPr>
          <w:hyperlink w:anchor="_Toc26687935" w:history="1">
            <w:r w:rsidR="00C243CF" w:rsidRPr="005E2664">
              <w:rPr>
                <w:rStyle w:val="Hyperlink"/>
              </w:rPr>
              <w:t>6.</w:t>
            </w:r>
            <w:r w:rsidR="00C243CF">
              <w:rPr>
                <w:rFonts w:asciiTheme="minorHAnsi" w:eastAsiaTheme="minorEastAsia" w:hAnsiTheme="minorHAnsi" w:cstheme="minorBidi"/>
                <w:sz w:val="22"/>
                <w:szCs w:val="22"/>
              </w:rPr>
              <w:tab/>
            </w:r>
            <w:r w:rsidR="00C243CF" w:rsidRPr="005E2664">
              <w:rPr>
                <w:rStyle w:val="Hyperlink"/>
              </w:rPr>
              <w:t>SRF Cavity RF</w:t>
            </w:r>
            <w:r w:rsidR="00C243CF">
              <w:rPr>
                <w:webHidden/>
              </w:rPr>
              <w:tab/>
            </w:r>
            <w:r w:rsidR="00C243CF">
              <w:rPr>
                <w:webHidden/>
              </w:rPr>
              <w:fldChar w:fldCharType="begin"/>
            </w:r>
            <w:r w:rsidR="00C243CF">
              <w:rPr>
                <w:webHidden/>
              </w:rPr>
              <w:instrText xml:space="preserve"> PAGEREF _Toc26687935 \h </w:instrText>
            </w:r>
            <w:r w:rsidR="00C243CF">
              <w:rPr>
                <w:webHidden/>
              </w:rPr>
            </w:r>
            <w:r w:rsidR="00C243CF">
              <w:rPr>
                <w:webHidden/>
              </w:rPr>
              <w:fldChar w:fldCharType="separate"/>
            </w:r>
            <w:r w:rsidR="00C243CF">
              <w:rPr>
                <w:webHidden/>
              </w:rPr>
              <w:t>10</w:t>
            </w:r>
            <w:r w:rsidR="00C243CF">
              <w:rPr>
                <w:webHidden/>
              </w:rPr>
              <w:fldChar w:fldCharType="end"/>
            </w:r>
          </w:hyperlink>
        </w:p>
        <w:p w14:paraId="0B80BBDF" w14:textId="7668A632" w:rsidR="00C243CF" w:rsidRDefault="006018C4">
          <w:pPr>
            <w:pStyle w:val="TOC2"/>
            <w:rPr>
              <w:rFonts w:asciiTheme="minorHAnsi" w:eastAsiaTheme="minorEastAsia" w:hAnsiTheme="minorHAnsi" w:cstheme="minorBidi"/>
              <w:szCs w:val="22"/>
            </w:rPr>
          </w:pPr>
          <w:hyperlink w:anchor="_Toc26687936" w:history="1">
            <w:r w:rsidR="00C243CF" w:rsidRPr="005E2664">
              <w:rPr>
                <w:rStyle w:val="Hyperlink"/>
              </w:rPr>
              <w:t>6.1.</w:t>
            </w:r>
            <w:r w:rsidR="00C243CF">
              <w:rPr>
                <w:rFonts w:asciiTheme="minorHAnsi" w:eastAsiaTheme="minorEastAsia" w:hAnsiTheme="minorHAnsi" w:cstheme="minorBidi"/>
                <w:szCs w:val="22"/>
              </w:rPr>
              <w:tab/>
            </w:r>
            <w:r w:rsidR="00C243CF" w:rsidRPr="005E2664">
              <w:rPr>
                <w:rStyle w:val="Hyperlink"/>
              </w:rPr>
              <w:t>LLRF Dynamics</w:t>
            </w:r>
            <w:r w:rsidR="00C243CF">
              <w:rPr>
                <w:webHidden/>
              </w:rPr>
              <w:tab/>
            </w:r>
            <w:r w:rsidR="00C243CF">
              <w:rPr>
                <w:webHidden/>
              </w:rPr>
              <w:fldChar w:fldCharType="begin"/>
            </w:r>
            <w:r w:rsidR="00C243CF">
              <w:rPr>
                <w:webHidden/>
              </w:rPr>
              <w:instrText xml:space="preserve"> PAGEREF _Toc26687936 \h </w:instrText>
            </w:r>
            <w:r w:rsidR="00C243CF">
              <w:rPr>
                <w:webHidden/>
              </w:rPr>
            </w:r>
            <w:r w:rsidR="00C243CF">
              <w:rPr>
                <w:webHidden/>
              </w:rPr>
              <w:fldChar w:fldCharType="separate"/>
            </w:r>
            <w:r w:rsidR="00C243CF">
              <w:rPr>
                <w:webHidden/>
              </w:rPr>
              <w:t>10</w:t>
            </w:r>
            <w:r w:rsidR="00C243CF">
              <w:rPr>
                <w:webHidden/>
              </w:rPr>
              <w:fldChar w:fldCharType="end"/>
            </w:r>
          </w:hyperlink>
        </w:p>
        <w:p w14:paraId="64B40DA3" w14:textId="6F18CB95" w:rsidR="00C243CF" w:rsidRDefault="006018C4">
          <w:pPr>
            <w:pStyle w:val="TOC1"/>
            <w:rPr>
              <w:rFonts w:asciiTheme="minorHAnsi" w:eastAsiaTheme="minorEastAsia" w:hAnsiTheme="minorHAnsi" w:cstheme="minorBidi"/>
              <w:sz w:val="22"/>
              <w:szCs w:val="22"/>
            </w:rPr>
          </w:pPr>
          <w:hyperlink w:anchor="_Toc26687937" w:history="1">
            <w:r w:rsidR="00C243CF" w:rsidRPr="005E2664">
              <w:rPr>
                <w:rStyle w:val="Hyperlink"/>
              </w:rPr>
              <w:t>7.</w:t>
            </w:r>
            <w:r w:rsidR="00C243CF">
              <w:rPr>
                <w:rFonts w:asciiTheme="minorHAnsi" w:eastAsiaTheme="minorEastAsia" w:hAnsiTheme="minorHAnsi" w:cstheme="minorBidi"/>
                <w:sz w:val="22"/>
                <w:szCs w:val="22"/>
              </w:rPr>
              <w:tab/>
            </w:r>
            <w:r w:rsidR="00C243CF" w:rsidRPr="005E2664">
              <w:rPr>
                <w:rStyle w:val="Hyperlink"/>
              </w:rPr>
              <w:t>CW-Compatible Regime and Pulsed Operations</w:t>
            </w:r>
            <w:r w:rsidR="00C243CF">
              <w:rPr>
                <w:webHidden/>
              </w:rPr>
              <w:tab/>
            </w:r>
            <w:r w:rsidR="00C243CF">
              <w:rPr>
                <w:webHidden/>
              </w:rPr>
              <w:fldChar w:fldCharType="begin"/>
            </w:r>
            <w:r w:rsidR="00C243CF">
              <w:rPr>
                <w:webHidden/>
              </w:rPr>
              <w:instrText xml:space="preserve"> PAGEREF _Toc26687937 \h </w:instrText>
            </w:r>
            <w:r w:rsidR="00C243CF">
              <w:rPr>
                <w:webHidden/>
              </w:rPr>
            </w:r>
            <w:r w:rsidR="00C243CF">
              <w:rPr>
                <w:webHidden/>
              </w:rPr>
              <w:fldChar w:fldCharType="separate"/>
            </w:r>
            <w:r w:rsidR="00C243CF">
              <w:rPr>
                <w:webHidden/>
              </w:rPr>
              <w:t>11</w:t>
            </w:r>
            <w:r w:rsidR="00C243CF">
              <w:rPr>
                <w:webHidden/>
              </w:rPr>
              <w:fldChar w:fldCharType="end"/>
            </w:r>
          </w:hyperlink>
        </w:p>
        <w:p w14:paraId="6A7C05D2" w14:textId="5C339E88" w:rsidR="00C243CF" w:rsidRDefault="006018C4">
          <w:pPr>
            <w:pStyle w:val="TOC1"/>
            <w:rPr>
              <w:rFonts w:asciiTheme="minorHAnsi" w:eastAsiaTheme="minorEastAsia" w:hAnsiTheme="minorHAnsi" w:cstheme="minorBidi"/>
              <w:sz w:val="22"/>
              <w:szCs w:val="22"/>
            </w:rPr>
          </w:pPr>
          <w:hyperlink w:anchor="_Toc26687938" w:history="1">
            <w:r w:rsidR="00C243CF" w:rsidRPr="005E2664">
              <w:rPr>
                <w:rStyle w:val="Hyperlink"/>
              </w:rPr>
              <w:t>8.</w:t>
            </w:r>
            <w:r w:rsidR="00C243CF">
              <w:rPr>
                <w:rFonts w:asciiTheme="minorHAnsi" w:eastAsiaTheme="minorEastAsia" w:hAnsiTheme="minorHAnsi" w:cstheme="minorBidi"/>
                <w:sz w:val="22"/>
                <w:szCs w:val="22"/>
              </w:rPr>
              <w:tab/>
            </w:r>
            <w:r w:rsidR="00C243CF" w:rsidRPr="005E2664">
              <w:rPr>
                <w:rStyle w:val="Hyperlink"/>
              </w:rPr>
              <w:t>RF Power Requirements</w:t>
            </w:r>
            <w:r w:rsidR="00C243CF">
              <w:rPr>
                <w:webHidden/>
              </w:rPr>
              <w:tab/>
            </w:r>
            <w:r w:rsidR="00C243CF">
              <w:rPr>
                <w:webHidden/>
              </w:rPr>
              <w:fldChar w:fldCharType="begin"/>
            </w:r>
            <w:r w:rsidR="00C243CF">
              <w:rPr>
                <w:webHidden/>
              </w:rPr>
              <w:instrText xml:space="preserve"> PAGEREF _Toc26687938 \h </w:instrText>
            </w:r>
            <w:r w:rsidR="00C243CF">
              <w:rPr>
                <w:webHidden/>
              </w:rPr>
            </w:r>
            <w:r w:rsidR="00C243CF">
              <w:rPr>
                <w:webHidden/>
              </w:rPr>
              <w:fldChar w:fldCharType="separate"/>
            </w:r>
            <w:r w:rsidR="00C243CF">
              <w:rPr>
                <w:webHidden/>
              </w:rPr>
              <w:t>11</w:t>
            </w:r>
            <w:r w:rsidR="00C243CF">
              <w:rPr>
                <w:webHidden/>
              </w:rPr>
              <w:fldChar w:fldCharType="end"/>
            </w:r>
          </w:hyperlink>
        </w:p>
        <w:p w14:paraId="32F840CD" w14:textId="0D5C7626" w:rsidR="00C243CF" w:rsidRDefault="006018C4">
          <w:pPr>
            <w:pStyle w:val="TOC2"/>
            <w:rPr>
              <w:rFonts w:asciiTheme="minorHAnsi" w:eastAsiaTheme="minorEastAsia" w:hAnsiTheme="minorHAnsi" w:cstheme="minorBidi"/>
              <w:szCs w:val="22"/>
            </w:rPr>
          </w:pPr>
          <w:hyperlink w:anchor="_Toc26687939" w:history="1">
            <w:r w:rsidR="00C243CF" w:rsidRPr="005E2664">
              <w:rPr>
                <w:rStyle w:val="Hyperlink"/>
              </w:rPr>
              <w:t>8.1.</w:t>
            </w:r>
            <w:r w:rsidR="00C243CF">
              <w:rPr>
                <w:rFonts w:asciiTheme="minorHAnsi" w:eastAsiaTheme="minorEastAsia" w:hAnsiTheme="minorHAnsi" w:cstheme="minorBidi"/>
                <w:szCs w:val="22"/>
              </w:rPr>
              <w:tab/>
            </w:r>
            <w:r w:rsidR="00C243CF" w:rsidRPr="005E2664">
              <w:rPr>
                <w:rStyle w:val="Hyperlink"/>
              </w:rPr>
              <w:t>SRF Cavity Power Requirements</w:t>
            </w:r>
            <w:r w:rsidR="00C243CF">
              <w:rPr>
                <w:webHidden/>
              </w:rPr>
              <w:tab/>
            </w:r>
            <w:r w:rsidR="00C243CF">
              <w:rPr>
                <w:webHidden/>
              </w:rPr>
              <w:fldChar w:fldCharType="begin"/>
            </w:r>
            <w:r w:rsidR="00C243CF">
              <w:rPr>
                <w:webHidden/>
              </w:rPr>
              <w:instrText xml:space="preserve"> PAGEREF _Toc26687939 \h </w:instrText>
            </w:r>
            <w:r w:rsidR="00C243CF">
              <w:rPr>
                <w:webHidden/>
              </w:rPr>
            </w:r>
            <w:r w:rsidR="00C243CF">
              <w:rPr>
                <w:webHidden/>
              </w:rPr>
              <w:fldChar w:fldCharType="separate"/>
            </w:r>
            <w:r w:rsidR="00C243CF">
              <w:rPr>
                <w:webHidden/>
              </w:rPr>
              <w:t>11</w:t>
            </w:r>
            <w:r w:rsidR="00C243CF">
              <w:rPr>
                <w:webHidden/>
              </w:rPr>
              <w:fldChar w:fldCharType="end"/>
            </w:r>
          </w:hyperlink>
        </w:p>
        <w:p w14:paraId="78DAC772" w14:textId="5843C753" w:rsidR="00C243CF" w:rsidRDefault="006018C4">
          <w:pPr>
            <w:pStyle w:val="TOC2"/>
            <w:rPr>
              <w:rFonts w:asciiTheme="minorHAnsi" w:eastAsiaTheme="minorEastAsia" w:hAnsiTheme="minorHAnsi" w:cstheme="minorBidi"/>
              <w:szCs w:val="22"/>
            </w:rPr>
          </w:pPr>
          <w:hyperlink w:anchor="_Toc26687940" w:history="1">
            <w:r w:rsidR="00C243CF" w:rsidRPr="005E2664">
              <w:rPr>
                <w:rStyle w:val="Hyperlink"/>
              </w:rPr>
              <w:t>8.2.</w:t>
            </w:r>
            <w:r w:rsidR="00C243CF">
              <w:rPr>
                <w:rFonts w:asciiTheme="minorHAnsi" w:eastAsiaTheme="minorEastAsia" w:hAnsiTheme="minorHAnsi" w:cstheme="minorBidi"/>
                <w:szCs w:val="22"/>
              </w:rPr>
              <w:tab/>
            </w:r>
            <w:r w:rsidR="00C243CF" w:rsidRPr="005E2664">
              <w:rPr>
                <w:rStyle w:val="Hyperlink"/>
              </w:rPr>
              <w:t>SRF Amplifier Parameters</w:t>
            </w:r>
            <w:r w:rsidR="00C243CF">
              <w:rPr>
                <w:webHidden/>
              </w:rPr>
              <w:tab/>
            </w:r>
            <w:r w:rsidR="00C243CF">
              <w:rPr>
                <w:webHidden/>
              </w:rPr>
              <w:fldChar w:fldCharType="begin"/>
            </w:r>
            <w:r w:rsidR="00C243CF">
              <w:rPr>
                <w:webHidden/>
              </w:rPr>
              <w:instrText xml:space="preserve"> PAGEREF _Toc26687940 \h </w:instrText>
            </w:r>
            <w:r w:rsidR="00C243CF">
              <w:rPr>
                <w:webHidden/>
              </w:rPr>
            </w:r>
            <w:r w:rsidR="00C243CF">
              <w:rPr>
                <w:webHidden/>
              </w:rPr>
              <w:fldChar w:fldCharType="separate"/>
            </w:r>
            <w:r w:rsidR="00C243CF">
              <w:rPr>
                <w:webHidden/>
              </w:rPr>
              <w:t>12</w:t>
            </w:r>
            <w:r w:rsidR="00C243CF">
              <w:rPr>
                <w:webHidden/>
              </w:rPr>
              <w:fldChar w:fldCharType="end"/>
            </w:r>
          </w:hyperlink>
        </w:p>
        <w:p w14:paraId="7C224B7C" w14:textId="65D66CDA" w:rsidR="00C243CF" w:rsidRDefault="006018C4">
          <w:pPr>
            <w:pStyle w:val="TOC2"/>
            <w:rPr>
              <w:rFonts w:asciiTheme="minorHAnsi" w:eastAsiaTheme="minorEastAsia" w:hAnsiTheme="minorHAnsi" w:cstheme="minorBidi"/>
              <w:szCs w:val="22"/>
            </w:rPr>
          </w:pPr>
          <w:hyperlink w:anchor="_Toc26687941" w:history="1">
            <w:r w:rsidR="00C243CF" w:rsidRPr="005E2664">
              <w:rPr>
                <w:rStyle w:val="Hyperlink"/>
              </w:rPr>
              <w:t>8.3.</w:t>
            </w:r>
            <w:r w:rsidR="00C243CF">
              <w:rPr>
                <w:rFonts w:asciiTheme="minorHAnsi" w:eastAsiaTheme="minorEastAsia" w:hAnsiTheme="minorHAnsi" w:cstheme="minorBidi"/>
                <w:szCs w:val="22"/>
              </w:rPr>
              <w:tab/>
            </w:r>
            <w:r w:rsidR="00C243CF" w:rsidRPr="005E2664">
              <w:rPr>
                <w:rStyle w:val="Hyperlink"/>
              </w:rPr>
              <w:t>Equipment Protection</w:t>
            </w:r>
            <w:r w:rsidR="00C243CF">
              <w:rPr>
                <w:webHidden/>
              </w:rPr>
              <w:tab/>
            </w:r>
            <w:r w:rsidR="00C243CF">
              <w:rPr>
                <w:webHidden/>
              </w:rPr>
              <w:fldChar w:fldCharType="begin"/>
            </w:r>
            <w:r w:rsidR="00C243CF">
              <w:rPr>
                <w:webHidden/>
              </w:rPr>
              <w:instrText xml:space="preserve"> PAGEREF _Toc26687941 \h </w:instrText>
            </w:r>
            <w:r w:rsidR="00C243CF">
              <w:rPr>
                <w:webHidden/>
              </w:rPr>
            </w:r>
            <w:r w:rsidR="00C243CF">
              <w:rPr>
                <w:webHidden/>
              </w:rPr>
              <w:fldChar w:fldCharType="separate"/>
            </w:r>
            <w:r w:rsidR="00C243CF">
              <w:rPr>
                <w:webHidden/>
              </w:rPr>
              <w:t>13</w:t>
            </w:r>
            <w:r w:rsidR="00C243CF">
              <w:rPr>
                <w:webHidden/>
              </w:rPr>
              <w:fldChar w:fldCharType="end"/>
            </w:r>
          </w:hyperlink>
        </w:p>
        <w:p w14:paraId="4AB6C39D" w14:textId="2C826BCE" w:rsidR="00C243CF" w:rsidRDefault="006018C4">
          <w:pPr>
            <w:pStyle w:val="TOC2"/>
            <w:rPr>
              <w:rFonts w:asciiTheme="minorHAnsi" w:eastAsiaTheme="minorEastAsia" w:hAnsiTheme="minorHAnsi" w:cstheme="minorBidi"/>
              <w:szCs w:val="22"/>
            </w:rPr>
          </w:pPr>
          <w:hyperlink w:anchor="_Toc26687942" w:history="1">
            <w:r w:rsidR="00C243CF" w:rsidRPr="005E2664">
              <w:rPr>
                <w:rStyle w:val="Hyperlink"/>
              </w:rPr>
              <w:t>8.4.</w:t>
            </w:r>
            <w:r w:rsidR="00C243CF">
              <w:rPr>
                <w:rFonts w:asciiTheme="minorHAnsi" w:eastAsiaTheme="minorEastAsia" w:hAnsiTheme="minorHAnsi" w:cstheme="minorBidi"/>
                <w:szCs w:val="22"/>
              </w:rPr>
              <w:tab/>
            </w:r>
            <w:r w:rsidR="00C243CF" w:rsidRPr="005E2664">
              <w:rPr>
                <w:rStyle w:val="Hyperlink"/>
              </w:rPr>
              <w:t>Resonant Control</w:t>
            </w:r>
            <w:r w:rsidR="00C243CF">
              <w:rPr>
                <w:webHidden/>
              </w:rPr>
              <w:tab/>
            </w:r>
            <w:r w:rsidR="00C243CF">
              <w:rPr>
                <w:webHidden/>
              </w:rPr>
              <w:fldChar w:fldCharType="begin"/>
            </w:r>
            <w:r w:rsidR="00C243CF">
              <w:rPr>
                <w:webHidden/>
              </w:rPr>
              <w:instrText xml:space="preserve"> PAGEREF _Toc26687942 \h </w:instrText>
            </w:r>
            <w:r w:rsidR="00C243CF">
              <w:rPr>
                <w:webHidden/>
              </w:rPr>
            </w:r>
            <w:r w:rsidR="00C243CF">
              <w:rPr>
                <w:webHidden/>
              </w:rPr>
              <w:fldChar w:fldCharType="separate"/>
            </w:r>
            <w:r w:rsidR="00C243CF">
              <w:rPr>
                <w:webHidden/>
              </w:rPr>
              <w:t>14</w:t>
            </w:r>
            <w:r w:rsidR="00C243CF">
              <w:rPr>
                <w:webHidden/>
              </w:rPr>
              <w:fldChar w:fldCharType="end"/>
            </w:r>
          </w:hyperlink>
        </w:p>
        <w:p w14:paraId="607B49B5" w14:textId="5F25C52C" w:rsidR="00C243CF" w:rsidRDefault="006018C4">
          <w:pPr>
            <w:pStyle w:val="TOC2"/>
            <w:rPr>
              <w:rFonts w:asciiTheme="minorHAnsi" w:eastAsiaTheme="minorEastAsia" w:hAnsiTheme="minorHAnsi" w:cstheme="minorBidi"/>
              <w:szCs w:val="22"/>
            </w:rPr>
          </w:pPr>
          <w:hyperlink w:anchor="_Toc26687943" w:history="1">
            <w:r w:rsidR="00C243CF" w:rsidRPr="005E2664">
              <w:rPr>
                <w:rStyle w:val="Hyperlink"/>
              </w:rPr>
              <w:t>8.5.</w:t>
            </w:r>
            <w:r w:rsidR="00C243CF">
              <w:rPr>
                <w:rFonts w:asciiTheme="minorHAnsi" w:eastAsiaTheme="minorEastAsia" w:hAnsiTheme="minorHAnsi" w:cstheme="minorBidi"/>
                <w:szCs w:val="22"/>
              </w:rPr>
              <w:tab/>
            </w:r>
            <w:r w:rsidR="00C243CF" w:rsidRPr="005E2664">
              <w:rPr>
                <w:rStyle w:val="Hyperlink"/>
              </w:rPr>
              <w:t>Room Temperature Cavity Power Requirements</w:t>
            </w:r>
            <w:r w:rsidR="00C243CF">
              <w:rPr>
                <w:webHidden/>
              </w:rPr>
              <w:tab/>
            </w:r>
            <w:r w:rsidR="00C243CF">
              <w:rPr>
                <w:webHidden/>
              </w:rPr>
              <w:fldChar w:fldCharType="begin"/>
            </w:r>
            <w:r w:rsidR="00C243CF">
              <w:rPr>
                <w:webHidden/>
              </w:rPr>
              <w:instrText xml:space="preserve"> PAGEREF _Toc26687943 \h </w:instrText>
            </w:r>
            <w:r w:rsidR="00C243CF">
              <w:rPr>
                <w:webHidden/>
              </w:rPr>
            </w:r>
            <w:r w:rsidR="00C243CF">
              <w:rPr>
                <w:webHidden/>
              </w:rPr>
              <w:fldChar w:fldCharType="separate"/>
            </w:r>
            <w:r w:rsidR="00C243CF">
              <w:rPr>
                <w:webHidden/>
              </w:rPr>
              <w:t>14</w:t>
            </w:r>
            <w:r w:rsidR="00C243CF">
              <w:rPr>
                <w:webHidden/>
              </w:rPr>
              <w:fldChar w:fldCharType="end"/>
            </w:r>
          </w:hyperlink>
        </w:p>
        <w:p w14:paraId="74C77F44" w14:textId="2775CC3B" w:rsidR="00C243CF" w:rsidRDefault="006018C4">
          <w:pPr>
            <w:pStyle w:val="TOC1"/>
            <w:rPr>
              <w:rFonts w:asciiTheme="minorHAnsi" w:eastAsiaTheme="minorEastAsia" w:hAnsiTheme="minorHAnsi" w:cstheme="minorBidi"/>
              <w:sz w:val="22"/>
              <w:szCs w:val="22"/>
            </w:rPr>
          </w:pPr>
          <w:hyperlink w:anchor="_Toc26687944" w:history="1">
            <w:r w:rsidR="00C243CF" w:rsidRPr="005E2664">
              <w:rPr>
                <w:rStyle w:val="Hyperlink"/>
              </w:rPr>
              <w:t>9.</w:t>
            </w:r>
            <w:r w:rsidR="00C243CF">
              <w:rPr>
                <w:rFonts w:asciiTheme="minorHAnsi" w:eastAsiaTheme="minorEastAsia" w:hAnsiTheme="minorHAnsi" w:cstheme="minorBidi"/>
                <w:sz w:val="22"/>
                <w:szCs w:val="22"/>
              </w:rPr>
              <w:tab/>
            </w:r>
            <w:r w:rsidR="00C243CF" w:rsidRPr="005E2664">
              <w:rPr>
                <w:rStyle w:val="Hyperlink"/>
              </w:rPr>
              <w:t>RF Phase Reference Stability Requirements</w:t>
            </w:r>
            <w:r w:rsidR="00C243CF">
              <w:rPr>
                <w:webHidden/>
              </w:rPr>
              <w:tab/>
            </w:r>
            <w:r w:rsidR="00C243CF">
              <w:rPr>
                <w:webHidden/>
              </w:rPr>
              <w:fldChar w:fldCharType="begin"/>
            </w:r>
            <w:r w:rsidR="00C243CF">
              <w:rPr>
                <w:webHidden/>
              </w:rPr>
              <w:instrText xml:space="preserve"> PAGEREF _Toc26687944 \h </w:instrText>
            </w:r>
            <w:r w:rsidR="00C243CF">
              <w:rPr>
                <w:webHidden/>
              </w:rPr>
            </w:r>
            <w:r w:rsidR="00C243CF">
              <w:rPr>
                <w:webHidden/>
              </w:rPr>
              <w:fldChar w:fldCharType="separate"/>
            </w:r>
            <w:r w:rsidR="00C243CF">
              <w:rPr>
                <w:webHidden/>
              </w:rPr>
              <w:t>14</w:t>
            </w:r>
            <w:r w:rsidR="00C243CF">
              <w:rPr>
                <w:webHidden/>
              </w:rPr>
              <w:fldChar w:fldCharType="end"/>
            </w:r>
          </w:hyperlink>
        </w:p>
        <w:p w14:paraId="246A3DBB" w14:textId="4273B1C6" w:rsidR="00C243CF" w:rsidRDefault="006018C4">
          <w:pPr>
            <w:pStyle w:val="TOC1"/>
            <w:rPr>
              <w:rFonts w:asciiTheme="minorHAnsi" w:eastAsiaTheme="minorEastAsia" w:hAnsiTheme="minorHAnsi" w:cstheme="minorBidi"/>
              <w:sz w:val="22"/>
              <w:szCs w:val="22"/>
            </w:rPr>
          </w:pPr>
          <w:hyperlink w:anchor="_Toc26687945" w:history="1">
            <w:r w:rsidR="00C243CF" w:rsidRPr="005E2664">
              <w:rPr>
                <w:rStyle w:val="Hyperlink"/>
              </w:rPr>
              <w:t>10.</w:t>
            </w:r>
            <w:r w:rsidR="00C243CF">
              <w:rPr>
                <w:rFonts w:asciiTheme="minorHAnsi" w:eastAsiaTheme="minorEastAsia" w:hAnsiTheme="minorHAnsi" w:cstheme="minorBidi"/>
                <w:sz w:val="22"/>
                <w:szCs w:val="22"/>
              </w:rPr>
              <w:tab/>
            </w:r>
            <w:r w:rsidR="00C243CF" w:rsidRPr="005E2664">
              <w:rPr>
                <w:rStyle w:val="Hyperlink"/>
              </w:rPr>
              <w:t>Reference Documents</w:t>
            </w:r>
            <w:r w:rsidR="00C243CF">
              <w:rPr>
                <w:webHidden/>
              </w:rPr>
              <w:tab/>
            </w:r>
            <w:r w:rsidR="00C243CF">
              <w:rPr>
                <w:webHidden/>
              </w:rPr>
              <w:fldChar w:fldCharType="begin"/>
            </w:r>
            <w:r w:rsidR="00C243CF">
              <w:rPr>
                <w:webHidden/>
              </w:rPr>
              <w:instrText xml:space="preserve"> PAGEREF _Toc26687945 \h </w:instrText>
            </w:r>
            <w:r w:rsidR="00C243CF">
              <w:rPr>
                <w:webHidden/>
              </w:rPr>
            </w:r>
            <w:r w:rsidR="00C243CF">
              <w:rPr>
                <w:webHidden/>
              </w:rPr>
              <w:fldChar w:fldCharType="separate"/>
            </w:r>
            <w:r w:rsidR="00C243CF">
              <w:rPr>
                <w:webHidden/>
              </w:rPr>
              <w:t>15</w:t>
            </w:r>
            <w:r w:rsidR="00C243CF">
              <w:rPr>
                <w:webHidden/>
              </w:rPr>
              <w:fldChar w:fldCharType="end"/>
            </w:r>
          </w:hyperlink>
        </w:p>
        <w:p w14:paraId="663A35B1" w14:textId="2FCB063D" w:rsidR="009F247E" w:rsidRPr="00D560C7" w:rsidRDefault="00FF105E" w:rsidP="009F247E">
          <w:pPr>
            <w:jc w:val="both"/>
            <w:rPr>
              <w:rFonts w:ascii="Helvetica" w:hAnsi="Helvetica"/>
              <w:noProof/>
              <w:sz w:val="24"/>
            </w:rPr>
          </w:pPr>
          <w:r>
            <w:rPr>
              <w:rFonts w:ascii="Helvetica" w:hAnsi="Helvetica"/>
              <w:noProof/>
              <w:sz w:val="24"/>
            </w:rPr>
            <w:fldChar w:fldCharType="end"/>
          </w:r>
        </w:p>
      </w:sdtContent>
    </w:sdt>
    <w:bookmarkStart w:id="0" w:name="_Toc514850527" w:displacedByCustomXml="prev"/>
    <w:bookmarkStart w:id="1" w:name="_Toc510692256" w:displacedByCustomXml="prev"/>
    <w:p w14:paraId="612A3885" w14:textId="6EBF5C56" w:rsidR="00D560C7" w:rsidRDefault="00D560C7" w:rsidP="00D560C7">
      <w:pPr>
        <w:pStyle w:val="NotesBody11pt"/>
      </w:pPr>
      <w:bookmarkStart w:id="2" w:name="_Toc509474829"/>
      <w:bookmarkStart w:id="3" w:name="_Toc510692255"/>
      <w:bookmarkStart w:id="4" w:name="_Toc514850526"/>
    </w:p>
    <w:p w14:paraId="3E464FD2" w14:textId="5F1169D7" w:rsidR="00602B08" w:rsidRDefault="00602B08" w:rsidP="00D560C7">
      <w:pPr>
        <w:pStyle w:val="NotesBody11pt"/>
      </w:pPr>
    </w:p>
    <w:p w14:paraId="3A163D9D" w14:textId="02468814" w:rsidR="00602B08" w:rsidRDefault="00602B08" w:rsidP="00D560C7">
      <w:pPr>
        <w:pStyle w:val="NotesBody11pt"/>
      </w:pPr>
    </w:p>
    <w:p w14:paraId="66DF2B26" w14:textId="1A874061" w:rsidR="00602B08" w:rsidRDefault="00602B08" w:rsidP="00D560C7">
      <w:pPr>
        <w:pStyle w:val="NotesBody11pt"/>
      </w:pPr>
    </w:p>
    <w:p w14:paraId="51BD7F1C" w14:textId="6DC24603" w:rsidR="00602B08" w:rsidRDefault="00602B08" w:rsidP="00D560C7">
      <w:pPr>
        <w:pStyle w:val="NotesBody11pt"/>
      </w:pPr>
    </w:p>
    <w:p w14:paraId="5104D00F" w14:textId="40AEA9BD" w:rsidR="00602B08" w:rsidRDefault="00602B08" w:rsidP="00D560C7">
      <w:pPr>
        <w:pStyle w:val="NotesBody11pt"/>
      </w:pPr>
    </w:p>
    <w:p w14:paraId="07B28CC8" w14:textId="67CF9551" w:rsidR="00602B08" w:rsidRDefault="00602B08" w:rsidP="00D560C7">
      <w:pPr>
        <w:pStyle w:val="NotesBody11pt"/>
      </w:pPr>
    </w:p>
    <w:p w14:paraId="21A03B44" w14:textId="1B0E5654" w:rsidR="00602B08" w:rsidRDefault="00602B08" w:rsidP="00D560C7">
      <w:pPr>
        <w:pStyle w:val="NotesBody11pt"/>
      </w:pPr>
    </w:p>
    <w:p w14:paraId="101297F4" w14:textId="345C3166" w:rsidR="00602B08" w:rsidRDefault="00602B08" w:rsidP="00D560C7">
      <w:pPr>
        <w:pStyle w:val="NotesBody11pt"/>
      </w:pPr>
    </w:p>
    <w:p w14:paraId="4FDFF404" w14:textId="5DA10EC0" w:rsidR="00602B08" w:rsidRDefault="00602B08" w:rsidP="00D560C7">
      <w:pPr>
        <w:pStyle w:val="NotesBody11pt"/>
      </w:pPr>
    </w:p>
    <w:p w14:paraId="06BFB8AA" w14:textId="041C0E3B" w:rsidR="00602B08" w:rsidRDefault="00602B08" w:rsidP="00D560C7">
      <w:pPr>
        <w:pStyle w:val="NotesBody11pt"/>
      </w:pPr>
    </w:p>
    <w:p w14:paraId="351182BF" w14:textId="0F055062" w:rsidR="00D560C7" w:rsidRPr="00D560C7" w:rsidRDefault="00D560C7" w:rsidP="00D560C7">
      <w:pPr>
        <w:pStyle w:val="NotesBody11pt"/>
      </w:pPr>
    </w:p>
    <w:p w14:paraId="6BADAE75" w14:textId="2DF0A012" w:rsidR="002E4294" w:rsidRDefault="002E4294" w:rsidP="002E4294">
      <w:pPr>
        <w:pStyle w:val="Heading1"/>
        <w:jc w:val="both"/>
      </w:pPr>
      <w:bookmarkStart w:id="5" w:name="_Toc26687929"/>
      <w:r>
        <w:lastRenderedPageBreak/>
        <w:t>Purpose</w:t>
      </w:r>
      <w:bookmarkEnd w:id="5"/>
    </w:p>
    <w:p w14:paraId="3301EB53" w14:textId="783A6EA3" w:rsidR="002E4294" w:rsidRDefault="004E5ED7" w:rsidP="002E4294">
      <w:pPr>
        <w:pStyle w:val="NotesBody11pt"/>
      </w:pPr>
      <w:r>
        <w:t>Physics Requirement Document</w:t>
      </w:r>
      <w:r w:rsidR="00D231F5">
        <w:t>s</w:t>
      </w:r>
      <w:r>
        <w:t xml:space="preserve"> (PRD</w:t>
      </w:r>
      <w:r w:rsidR="00D231F5">
        <w:t>s</w:t>
      </w:r>
      <w:r>
        <w:t xml:space="preserve">) </w:t>
      </w:r>
      <w:r w:rsidR="00385701">
        <w:t xml:space="preserve">contain the summary parameters and configuration definitions for systems, sub-systems, and devices that impact higher-level </w:t>
      </w:r>
      <w:r w:rsidR="00E62880">
        <w:t>requirements established in the PIP-II Global Requirements Document (GRD)</w:t>
      </w:r>
      <w:r w:rsidR="005F6FFF">
        <w:t xml:space="preserve"> [1]</w:t>
      </w:r>
      <w:r w:rsidR="00E62880">
        <w:t>.  PRDs establish a traceable link to lower-level requirements</w:t>
      </w:r>
      <w:r w:rsidR="00AF64F1">
        <w:t xml:space="preserve"> (FRSs, TRSs) that affect the PIP-II beam or machine performance.  In the aggreg</w:t>
      </w:r>
      <w:r w:rsidR="002E11BE">
        <w:t>ate, the PRDs for the PIP-II Project contain the essential parameters and configuration developed through the prelimin</w:t>
      </w:r>
      <w:r w:rsidR="002A3EA4">
        <w:t>ary design phase to enable completion of the PIP-II accelerator and complex design.</w:t>
      </w:r>
    </w:p>
    <w:p w14:paraId="74B36C08" w14:textId="77777777" w:rsidR="005F6FFF" w:rsidRDefault="005F6FFF" w:rsidP="002E4294">
      <w:pPr>
        <w:pStyle w:val="NotesBody11pt"/>
      </w:pPr>
    </w:p>
    <w:p w14:paraId="05B6B055" w14:textId="0F6F1193" w:rsidR="00D560C7" w:rsidRDefault="00D560C7" w:rsidP="00D560C7">
      <w:pPr>
        <w:pStyle w:val="Heading1"/>
        <w:jc w:val="both"/>
      </w:pPr>
      <w:bookmarkStart w:id="6" w:name="_Toc26687930"/>
      <w:r>
        <w:t>Scope</w:t>
      </w:r>
      <w:bookmarkEnd w:id="2"/>
      <w:bookmarkEnd w:id="3"/>
      <w:bookmarkEnd w:id="4"/>
      <w:bookmarkEnd w:id="6"/>
    </w:p>
    <w:p w14:paraId="19603D98" w14:textId="5C821636" w:rsidR="005F6FFF" w:rsidRDefault="00762D23" w:rsidP="009F247E">
      <w:pPr>
        <w:pStyle w:val="NotesBody11pt"/>
      </w:pPr>
      <w:r>
        <w:t xml:space="preserve">The scope of this document covers the radio frequency (RF) signal chain required to provide synchronous acceleration of the ions in the PIP-II </w:t>
      </w:r>
      <w:r w:rsidR="005F6FFF">
        <w:t>Linac</w:t>
      </w:r>
      <w:r>
        <w:t xml:space="preserve">.  This </w:t>
      </w:r>
      <w:r w:rsidR="00A26C8D">
        <w:t xml:space="preserve">includes the power specifications of the accelerating cavities, the loaded Q of the cavities with their input couplers, the power ratings of RF amplifiers and RF distribution, </w:t>
      </w:r>
      <w:r w:rsidR="00A6137F">
        <w:t xml:space="preserve">and </w:t>
      </w:r>
      <w:r w:rsidR="00A26C8D">
        <w:t>the precision amplitude</w:t>
      </w:r>
      <w:r w:rsidR="00A6137F">
        <w:t xml:space="preserve"> and phase regulation of the low</w:t>
      </w:r>
      <w:r w:rsidR="005F6FFF">
        <w:t>-</w:t>
      </w:r>
      <w:r w:rsidR="00A6137F">
        <w:t>level RF controls.  This scope also includes specifications for protection of cavities, couplers, and RF distribution components from damage from excessive RF power input.</w:t>
      </w:r>
      <w:r w:rsidR="002C1BB5">
        <w:t xml:space="preserve">  The following functional requirements are within the scope of this PRD</w:t>
      </w:r>
      <w:r w:rsidR="0071308E">
        <w:t>:</w:t>
      </w:r>
    </w:p>
    <w:p w14:paraId="059AF5FB" w14:textId="77777777" w:rsidR="007722EB" w:rsidRDefault="007722EB" w:rsidP="009F247E">
      <w:pPr>
        <w:pStyle w:val="NotesBody11pt"/>
      </w:pPr>
    </w:p>
    <w:p w14:paraId="6ADBB2F5" w14:textId="787E553E" w:rsidR="002C1BB5" w:rsidRDefault="002C1BB5" w:rsidP="002C1BB5">
      <w:pPr>
        <w:pStyle w:val="NotesBody11pt"/>
        <w:numPr>
          <w:ilvl w:val="0"/>
          <w:numId w:val="32"/>
        </w:numPr>
      </w:pPr>
      <w:r>
        <w:t xml:space="preserve">Maintain a regulated gap voltage across a cavity at a specified frequency to provide proper acceleration and focusing of the </w:t>
      </w:r>
      <w:r w:rsidR="005F6FFF">
        <w:t>Linac</w:t>
      </w:r>
      <w:r>
        <w:t xml:space="preserve"> beam.</w:t>
      </w:r>
    </w:p>
    <w:p w14:paraId="21991FBD" w14:textId="77777777" w:rsidR="00AB1230" w:rsidRDefault="00AB1230" w:rsidP="00AB1230">
      <w:pPr>
        <w:pStyle w:val="NotesBody11pt"/>
        <w:ind w:left="720"/>
      </w:pPr>
    </w:p>
    <w:p w14:paraId="044C2E11" w14:textId="0A636503" w:rsidR="002C1BB5" w:rsidRDefault="002C1BB5" w:rsidP="002C1BB5">
      <w:pPr>
        <w:pStyle w:val="NotesBody11pt"/>
        <w:numPr>
          <w:ilvl w:val="0"/>
          <w:numId w:val="32"/>
        </w:numPr>
      </w:pPr>
      <w:r>
        <w:t xml:space="preserve">Maintain a regulated phase relationship between the </w:t>
      </w:r>
      <w:r w:rsidR="008C5D94">
        <w:t xml:space="preserve">gap voltages across the different cavities to provide proper acceleration and focusing of the </w:t>
      </w:r>
      <w:r w:rsidR="005F6FFF">
        <w:t>Linac</w:t>
      </w:r>
      <w:r w:rsidR="008C5D94">
        <w:t xml:space="preserve"> beam.</w:t>
      </w:r>
    </w:p>
    <w:p w14:paraId="2226E548" w14:textId="77777777" w:rsidR="00AB1230" w:rsidRDefault="00AB1230" w:rsidP="00AB1230">
      <w:pPr>
        <w:pStyle w:val="NotesBody11pt"/>
      </w:pPr>
    </w:p>
    <w:p w14:paraId="4977AE9E" w14:textId="325F979B" w:rsidR="008C5D94" w:rsidRDefault="008C5D94" w:rsidP="002C1BB5">
      <w:pPr>
        <w:pStyle w:val="NotesBody11pt"/>
        <w:numPr>
          <w:ilvl w:val="0"/>
          <w:numId w:val="32"/>
        </w:numPr>
      </w:pPr>
      <w:r>
        <w:t xml:space="preserve">Verify relationship between </w:t>
      </w:r>
      <w:r w:rsidR="005347BC">
        <w:t>beam and RF system cavity phase advance by performing RF phase scans with beam.</w:t>
      </w:r>
    </w:p>
    <w:p w14:paraId="1847D620" w14:textId="77777777" w:rsidR="00AB1230" w:rsidRDefault="00AB1230" w:rsidP="00AB1230">
      <w:pPr>
        <w:pStyle w:val="NotesBody11pt"/>
      </w:pPr>
    </w:p>
    <w:p w14:paraId="339574F2" w14:textId="615B128E" w:rsidR="005347BC" w:rsidRDefault="005347BC" w:rsidP="002C1BB5">
      <w:pPr>
        <w:pStyle w:val="NotesBody11pt"/>
        <w:numPr>
          <w:ilvl w:val="0"/>
          <w:numId w:val="32"/>
        </w:numPr>
      </w:pPr>
      <w:r>
        <w:t>Protect cavity, couplers, and RF distribution components from excessive RF input.</w:t>
      </w:r>
    </w:p>
    <w:p w14:paraId="1E69DE03" w14:textId="77777777" w:rsidR="00620967" w:rsidRPr="009F247E" w:rsidRDefault="00620967" w:rsidP="009F247E">
      <w:pPr>
        <w:pStyle w:val="NotesBody11pt"/>
      </w:pPr>
    </w:p>
    <w:p w14:paraId="6E906852" w14:textId="3D3FA03A" w:rsidR="00FA1792" w:rsidRDefault="00FA1792" w:rsidP="00C67AFD">
      <w:pPr>
        <w:pStyle w:val="Heading1"/>
        <w:jc w:val="both"/>
      </w:pPr>
      <w:bookmarkStart w:id="7" w:name="_Toc26687931"/>
      <w:r>
        <w:t>Acronyms</w:t>
      </w:r>
      <w:bookmarkEnd w:id="7"/>
      <w:bookmarkEnd w:id="1"/>
      <w:bookmarkEnd w:id="0"/>
    </w:p>
    <w:p w14:paraId="4CF29987" w14:textId="77777777" w:rsidR="005F6FFF" w:rsidRPr="005F6FFF" w:rsidRDefault="005F6FFF" w:rsidP="005F6FFF">
      <w:pPr>
        <w:pStyle w:val="NotesBody11pt"/>
      </w:pPr>
    </w:p>
    <w:tbl>
      <w:tblPr>
        <w:tblStyle w:val="TableGrid"/>
        <w:tblW w:w="0" w:type="auto"/>
        <w:jc w:val="center"/>
        <w:tblLook w:val="04A0" w:firstRow="1" w:lastRow="0" w:firstColumn="1" w:lastColumn="0" w:noHBand="0" w:noVBand="1"/>
      </w:tblPr>
      <w:tblGrid>
        <w:gridCol w:w="2675"/>
        <w:gridCol w:w="6570"/>
      </w:tblGrid>
      <w:tr w:rsidR="008A1ADD" w14:paraId="2BBE890B" w14:textId="77777777" w:rsidTr="00C66572">
        <w:trPr>
          <w:jc w:val="center"/>
        </w:trPr>
        <w:tc>
          <w:tcPr>
            <w:tcW w:w="2675" w:type="dxa"/>
          </w:tcPr>
          <w:p w14:paraId="7EC5614B" w14:textId="4190A7E4" w:rsidR="008A1ADD" w:rsidRDefault="00604383" w:rsidP="0063065E">
            <w:pPr>
              <w:pStyle w:val="BodyText"/>
              <w:ind w:left="0" w:firstLine="0"/>
            </w:pPr>
            <w:r>
              <w:t>CW</w:t>
            </w:r>
          </w:p>
        </w:tc>
        <w:tc>
          <w:tcPr>
            <w:tcW w:w="6570" w:type="dxa"/>
          </w:tcPr>
          <w:p w14:paraId="753274FA" w14:textId="072BAF89" w:rsidR="008A1ADD" w:rsidRDefault="00604383" w:rsidP="0063065E">
            <w:pPr>
              <w:pStyle w:val="BodyText"/>
              <w:ind w:left="0" w:firstLine="71"/>
            </w:pPr>
            <w:r>
              <w:t>Continuous Wave</w:t>
            </w:r>
          </w:p>
        </w:tc>
      </w:tr>
      <w:tr w:rsidR="00AF339A" w14:paraId="22BF0E76" w14:textId="77777777" w:rsidTr="00C66572">
        <w:trPr>
          <w:jc w:val="center"/>
        </w:trPr>
        <w:tc>
          <w:tcPr>
            <w:tcW w:w="2675" w:type="dxa"/>
          </w:tcPr>
          <w:p w14:paraId="6951A6DD" w14:textId="629173FF" w:rsidR="00AF339A" w:rsidRDefault="00AF339A" w:rsidP="0063065E">
            <w:pPr>
              <w:pStyle w:val="BodyText"/>
              <w:ind w:left="0" w:firstLine="0"/>
            </w:pPr>
            <w:r>
              <w:t>DAE</w:t>
            </w:r>
          </w:p>
        </w:tc>
        <w:tc>
          <w:tcPr>
            <w:tcW w:w="6570" w:type="dxa"/>
          </w:tcPr>
          <w:p w14:paraId="7C7B56D4" w14:textId="56776DF4" w:rsidR="00AF339A" w:rsidRDefault="00AF339A" w:rsidP="0063065E">
            <w:pPr>
              <w:pStyle w:val="BodyText"/>
              <w:ind w:left="0" w:firstLine="71"/>
            </w:pPr>
            <w:r>
              <w:t>Department of Atomic Energy (India)</w:t>
            </w:r>
          </w:p>
        </w:tc>
      </w:tr>
      <w:tr w:rsidR="00604383" w14:paraId="2C9A5425" w14:textId="77777777" w:rsidTr="00C66572">
        <w:trPr>
          <w:jc w:val="center"/>
        </w:trPr>
        <w:tc>
          <w:tcPr>
            <w:tcW w:w="2675" w:type="dxa"/>
          </w:tcPr>
          <w:p w14:paraId="183F315E" w14:textId="228B59CE" w:rsidR="00604383" w:rsidRDefault="00604383" w:rsidP="00604383">
            <w:pPr>
              <w:pStyle w:val="BodyText"/>
              <w:ind w:left="0" w:firstLine="0"/>
            </w:pPr>
            <w:r>
              <w:t>FRS</w:t>
            </w:r>
          </w:p>
        </w:tc>
        <w:tc>
          <w:tcPr>
            <w:tcW w:w="6570" w:type="dxa"/>
          </w:tcPr>
          <w:p w14:paraId="4B5590A1" w14:textId="6FBC3A41" w:rsidR="00604383" w:rsidRDefault="00604383" w:rsidP="00604383">
            <w:pPr>
              <w:pStyle w:val="BodyText"/>
              <w:ind w:left="0" w:firstLine="71"/>
            </w:pPr>
            <w:r>
              <w:t>Functional Requirements Specification</w:t>
            </w:r>
          </w:p>
        </w:tc>
      </w:tr>
      <w:tr w:rsidR="00604383" w14:paraId="0A8EB3B1" w14:textId="77777777" w:rsidTr="00C66572">
        <w:trPr>
          <w:jc w:val="center"/>
        </w:trPr>
        <w:tc>
          <w:tcPr>
            <w:tcW w:w="2675" w:type="dxa"/>
          </w:tcPr>
          <w:p w14:paraId="1F714A1E" w14:textId="1BEC553D" w:rsidR="00604383" w:rsidRDefault="00604383" w:rsidP="00604383">
            <w:pPr>
              <w:pStyle w:val="BodyText"/>
              <w:ind w:left="0" w:firstLine="0"/>
            </w:pPr>
            <w:r>
              <w:t>GRD</w:t>
            </w:r>
          </w:p>
        </w:tc>
        <w:tc>
          <w:tcPr>
            <w:tcW w:w="6570" w:type="dxa"/>
          </w:tcPr>
          <w:p w14:paraId="583529BA" w14:textId="0CE0AC8A" w:rsidR="00604383" w:rsidRDefault="00604383" w:rsidP="00604383">
            <w:pPr>
              <w:pStyle w:val="BodyText"/>
              <w:ind w:left="0" w:firstLine="71"/>
            </w:pPr>
            <w:r>
              <w:t>Global Requirements Document</w:t>
            </w:r>
          </w:p>
        </w:tc>
      </w:tr>
      <w:tr w:rsidR="00C0237F" w14:paraId="4C0D6BF8" w14:textId="77777777" w:rsidTr="00C66572">
        <w:trPr>
          <w:jc w:val="center"/>
        </w:trPr>
        <w:tc>
          <w:tcPr>
            <w:tcW w:w="2675" w:type="dxa"/>
          </w:tcPr>
          <w:p w14:paraId="3F17677D" w14:textId="5CEB35C5" w:rsidR="00C0237F" w:rsidRDefault="00C0237F" w:rsidP="00604383">
            <w:pPr>
              <w:pStyle w:val="BodyText"/>
              <w:ind w:left="0" w:firstLine="0"/>
            </w:pPr>
            <w:r>
              <w:t>HB</w:t>
            </w:r>
          </w:p>
        </w:tc>
        <w:tc>
          <w:tcPr>
            <w:tcW w:w="6570" w:type="dxa"/>
          </w:tcPr>
          <w:p w14:paraId="7FE9EBF1" w14:textId="059983BA" w:rsidR="00C0237F" w:rsidRDefault="00C0237F" w:rsidP="00604383">
            <w:pPr>
              <w:pStyle w:val="BodyText"/>
              <w:ind w:left="0" w:firstLine="71"/>
            </w:pPr>
            <w:r>
              <w:t>High Beta</w:t>
            </w:r>
          </w:p>
        </w:tc>
      </w:tr>
      <w:tr w:rsidR="00C00588" w14:paraId="50550E0E" w14:textId="77777777" w:rsidTr="00C66572">
        <w:trPr>
          <w:jc w:val="center"/>
        </w:trPr>
        <w:tc>
          <w:tcPr>
            <w:tcW w:w="2675" w:type="dxa"/>
          </w:tcPr>
          <w:p w14:paraId="69B82512" w14:textId="5653EEFE" w:rsidR="00C00588" w:rsidRDefault="00C00588" w:rsidP="00604383">
            <w:pPr>
              <w:pStyle w:val="BodyText"/>
              <w:ind w:left="0" w:firstLine="0"/>
            </w:pPr>
            <w:r>
              <w:lastRenderedPageBreak/>
              <w:t>HPRF</w:t>
            </w:r>
          </w:p>
        </w:tc>
        <w:tc>
          <w:tcPr>
            <w:tcW w:w="6570" w:type="dxa"/>
          </w:tcPr>
          <w:p w14:paraId="58730A0A" w14:textId="5C0A46CC" w:rsidR="00C00588" w:rsidRDefault="00C00588" w:rsidP="00604383">
            <w:pPr>
              <w:pStyle w:val="BodyText"/>
              <w:ind w:left="0" w:firstLine="71"/>
            </w:pPr>
            <w:r>
              <w:t>High Power Radio Frequency</w:t>
            </w:r>
          </w:p>
        </w:tc>
      </w:tr>
      <w:tr w:rsidR="00D101C7" w14:paraId="216027C1" w14:textId="77777777" w:rsidTr="00C66572">
        <w:trPr>
          <w:jc w:val="center"/>
        </w:trPr>
        <w:tc>
          <w:tcPr>
            <w:tcW w:w="2675" w:type="dxa"/>
          </w:tcPr>
          <w:p w14:paraId="7AF41B96" w14:textId="0F096C8C" w:rsidR="00D101C7" w:rsidRDefault="00D101C7" w:rsidP="00604383">
            <w:pPr>
              <w:pStyle w:val="BodyText"/>
              <w:ind w:left="0" w:firstLine="0"/>
            </w:pPr>
            <w:r>
              <w:t>HWR</w:t>
            </w:r>
          </w:p>
        </w:tc>
        <w:tc>
          <w:tcPr>
            <w:tcW w:w="6570" w:type="dxa"/>
          </w:tcPr>
          <w:p w14:paraId="01D3473A" w14:textId="7139D266" w:rsidR="00D101C7" w:rsidRDefault="00D101C7" w:rsidP="00604383">
            <w:pPr>
              <w:pStyle w:val="BodyText"/>
              <w:ind w:left="0" w:firstLine="71"/>
            </w:pPr>
            <w:r>
              <w:t>Half Wave Resonator</w:t>
            </w:r>
          </w:p>
        </w:tc>
      </w:tr>
      <w:tr w:rsidR="00604383" w14:paraId="246B4042" w14:textId="77777777" w:rsidTr="00C66572">
        <w:trPr>
          <w:jc w:val="center"/>
        </w:trPr>
        <w:tc>
          <w:tcPr>
            <w:tcW w:w="2675" w:type="dxa"/>
          </w:tcPr>
          <w:p w14:paraId="3B7EF251" w14:textId="570F2253" w:rsidR="00604383" w:rsidRDefault="00604383" w:rsidP="00604383">
            <w:pPr>
              <w:pStyle w:val="BodyText"/>
              <w:ind w:left="0" w:firstLine="0"/>
            </w:pPr>
            <w:r>
              <w:t>L2</w:t>
            </w:r>
          </w:p>
        </w:tc>
        <w:tc>
          <w:tcPr>
            <w:tcW w:w="6570" w:type="dxa"/>
          </w:tcPr>
          <w:p w14:paraId="1022DC54" w14:textId="203CF367" w:rsidR="00604383" w:rsidRDefault="00604383" w:rsidP="00604383">
            <w:pPr>
              <w:pStyle w:val="BodyText"/>
              <w:ind w:left="0" w:firstLine="71"/>
            </w:pPr>
            <w:r>
              <w:t>WBS Level 2 System</w:t>
            </w:r>
          </w:p>
        </w:tc>
      </w:tr>
      <w:tr w:rsidR="00604383" w14:paraId="07E48C2C" w14:textId="77777777" w:rsidTr="00C66572">
        <w:trPr>
          <w:jc w:val="center"/>
        </w:trPr>
        <w:tc>
          <w:tcPr>
            <w:tcW w:w="2675" w:type="dxa"/>
          </w:tcPr>
          <w:p w14:paraId="063F3F31" w14:textId="30052C0F" w:rsidR="00604383" w:rsidRDefault="00604383" w:rsidP="00604383">
            <w:pPr>
              <w:pStyle w:val="BodyText"/>
              <w:ind w:left="0" w:firstLine="0"/>
            </w:pPr>
            <w:r>
              <w:t>L3</w:t>
            </w:r>
          </w:p>
        </w:tc>
        <w:tc>
          <w:tcPr>
            <w:tcW w:w="6570" w:type="dxa"/>
          </w:tcPr>
          <w:p w14:paraId="43680069" w14:textId="03AE3D2C" w:rsidR="00604383" w:rsidRDefault="00604383" w:rsidP="00604383">
            <w:pPr>
              <w:pStyle w:val="BodyText"/>
              <w:ind w:left="0" w:firstLine="71"/>
            </w:pPr>
            <w:r>
              <w:t>WBS Level 3 System</w:t>
            </w:r>
          </w:p>
        </w:tc>
      </w:tr>
      <w:tr w:rsidR="00C0237F" w14:paraId="200D544B" w14:textId="77777777" w:rsidTr="00C66572">
        <w:trPr>
          <w:jc w:val="center"/>
        </w:trPr>
        <w:tc>
          <w:tcPr>
            <w:tcW w:w="2675" w:type="dxa"/>
          </w:tcPr>
          <w:p w14:paraId="208C12AE" w14:textId="2D8593ED" w:rsidR="00C0237F" w:rsidRDefault="00C0237F" w:rsidP="00604383">
            <w:pPr>
              <w:pStyle w:val="BodyText"/>
              <w:ind w:left="0" w:firstLine="0"/>
            </w:pPr>
            <w:r>
              <w:t>LB</w:t>
            </w:r>
          </w:p>
        </w:tc>
        <w:tc>
          <w:tcPr>
            <w:tcW w:w="6570" w:type="dxa"/>
          </w:tcPr>
          <w:p w14:paraId="38B55868" w14:textId="318D4760" w:rsidR="00C0237F" w:rsidRDefault="00C0237F" w:rsidP="00604383">
            <w:pPr>
              <w:pStyle w:val="BodyText"/>
              <w:ind w:left="0" w:firstLine="71"/>
            </w:pPr>
            <w:r>
              <w:t>Low Beta</w:t>
            </w:r>
          </w:p>
        </w:tc>
      </w:tr>
      <w:tr w:rsidR="006259F7" w14:paraId="671D26DC" w14:textId="77777777" w:rsidTr="00C66572">
        <w:trPr>
          <w:jc w:val="center"/>
        </w:trPr>
        <w:tc>
          <w:tcPr>
            <w:tcW w:w="2675" w:type="dxa"/>
          </w:tcPr>
          <w:p w14:paraId="01C0E32A" w14:textId="48384102" w:rsidR="006259F7" w:rsidRDefault="006259F7" w:rsidP="00604383">
            <w:pPr>
              <w:pStyle w:val="BodyText"/>
              <w:ind w:left="0" w:firstLine="0"/>
            </w:pPr>
            <w:r>
              <w:t>LLRF</w:t>
            </w:r>
          </w:p>
        </w:tc>
        <w:tc>
          <w:tcPr>
            <w:tcW w:w="6570" w:type="dxa"/>
          </w:tcPr>
          <w:p w14:paraId="5FD77129" w14:textId="4493C409" w:rsidR="006259F7" w:rsidRDefault="006259F7" w:rsidP="00604383">
            <w:pPr>
              <w:pStyle w:val="BodyText"/>
              <w:ind w:left="0" w:firstLine="71"/>
            </w:pPr>
            <w:r>
              <w:t>Low Level Radio Frequency</w:t>
            </w:r>
          </w:p>
        </w:tc>
      </w:tr>
      <w:tr w:rsidR="00604383" w14:paraId="4505356F" w14:textId="77777777" w:rsidTr="00C66572">
        <w:trPr>
          <w:jc w:val="center"/>
        </w:trPr>
        <w:tc>
          <w:tcPr>
            <w:tcW w:w="2675" w:type="dxa"/>
          </w:tcPr>
          <w:p w14:paraId="4B4C4D70" w14:textId="46E87F1B" w:rsidR="00604383" w:rsidRDefault="00604383" w:rsidP="00604383">
            <w:pPr>
              <w:pStyle w:val="BodyText"/>
              <w:ind w:left="0" w:firstLine="0"/>
            </w:pPr>
            <w:r>
              <w:t>PIP-II</w:t>
            </w:r>
          </w:p>
        </w:tc>
        <w:tc>
          <w:tcPr>
            <w:tcW w:w="6570" w:type="dxa"/>
          </w:tcPr>
          <w:p w14:paraId="4943B1B4" w14:textId="4461DEAC" w:rsidR="00604383" w:rsidRDefault="00604383" w:rsidP="00604383">
            <w:pPr>
              <w:pStyle w:val="BodyText"/>
              <w:ind w:left="0" w:firstLine="71"/>
            </w:pPr>
            <w:r>
              <w:t>Proton Improvement Plan II Project</w:t>
            </w:r>
          </w:p>
        </w:tc>
      </w:tr>
      <w:tr w:rsidR="009B0E64" w14:paraId="7368D9AF" w14:textId="77777777" w:rsidTr="00C66572">
        <w:trPr>
          <w:jc w:val="center"/>
        </w:trPr>
        <w:tc>
          <w:tcPr>
            <w:tcW w:w="2675" w:type="dxa"/>
          </w:tcPr>
          <w:p w14:paraId="5308450F" w14:textId="6A438DC0" w:rsidR="009B0E64" w:rsidRDefault="009B0E64" w:rsidP="00604383">
            <w:pPr>
              <w:pStyle w:val="BodyText"/>
              <w:ind w:left="0" w:firstLine="0"/>
            </w:pPr>
            <w:r>
              <w:t>PIP2IT</w:t>
            </w:r>
          </w:p>
        </w:tc>
        <w:tc>
          <w:tcPr>
            <w:tcW w:w="6570" w:type="dxa"/>
          </w:tcPr>
          <w:p w14:paraId="7F4E2185" w14:textId="75F663DD" w:rsidR="009B0E64" w:rsidRDefault="009B0E64" w:rsidP="00604383">
            <w:pPr>
              <w:pStyle w:val="BodyText"/>
              <w:ind w:left="0" w:firstLine="71"/>
            </w:pPr>
            <w:r>
              <w:t>PIP-II Injector Test</w:t>
            </w:r>
          </w:p>
        </w:tc>
      </w:tr>
      <w:tr w:rsidR="00604383" w14:paraId="4C576066" w14:textId="77777777" w:rsidTr="00C66572">
        <w:trPr>
          <w:jc w:val="center"/>
        </w:trPr>
        <w:tc>
          <w:tcPr>
            <w:tcW w:w="2675" w:type="dxa"/>
          </w:tcPr>
          <w:p w14:paraId="20F11BB0" w14:textId="29BE9DDD" w:rsidR="00604383" w:rsidRDefault="00604383" w:rsidP="00604383">
            <w:pPr>
              <w:pStyle w:val="BodyText"/>
              <w:ind w:left="0" w:firstLine="0"/>
            </w:pPr>
            <w:r>
              <w:t>PRD</w:t>
            </w:r>
          </w:p>
        </w:tc>
        <w:tc>
          <w:tcPr>
            <w:tcW w:w="6570" w:type="dxa"/>
          </w:tcPr>
          <w:p w14:paraId="5CBFFCF0" w14:textId="6D5D600B" w:rsidR="00604383" w:rsidRDefault="00604383" w:rsidP="00604383">
            <w:pPr>
              <w:pStyle w:val="BodyText"/>
              <w:ind w:left="0" w:firstLine="71"/>
            </w:pPr>
            <w:r>
              <w:t>Physics Requirements Document</w:t>
            </w:r>
          </w:p>
        </w:tc>
      </w:tr>
      <w:tr w:rsidR="00604383" w14:paraId="7ECEBB0B" w14:textId="77777777" w:rsidTr="00C66572">
        <w:trPr>
          <w:jc w:val="center"/>
        </w:trPr>
        <w:tc>
          <w:tcPr>
            <w:tcW w:w="2675" w:type="dxa"/>
          </w:tcPr>
          <w:p w14:paraId="060EA2BD" w14:textId="52F185AF" w:rsidR="00604383" w:rsidRDefault="00604383" w:rsidP="00604383">
            <w:pPr>
              <w:pStyle w:val="BodyText"/>
              <w:ind w:left="0" w:firstLine="0"/>
            </w:pPr>
            <w:r>
              <w:t>RF</w:t>
            </w:r>
          </w:p>
        </w:tc>
        <w:tc>
          <w:tcPr>
            <w:tcW w:w="6570" w:type="dxa"/>
          </w:tcPr>
          <w:p w14:paraId="7A85EC7F" w14:textId="3CEB4305" w:rsidR="00604383" w:rsidRDefault="00604383" w:rsidP="00604383">
            <w:pPr>
              <w:pStyle w:val="BodyText"/>
              <w:ind w:left="0" w:firstLine="71"/>
            </w:pPr>
            <w:r>
              <w:t>Radio Frequency</w:t>
            </w:r>
          </w:p>
        </w:tc>
      </w:tr>
      <w:tr w:rsidR="00963619" w14:paraId="7A358364" w14:textId="77777777" w:rsidTr="00C66572">
        <w:trPr>
          <w:jc w:val="center"/>
        </w:trPr>
        <w:tc>
          <w:tcPr>
            <w:tcW w:w="2675" w:type="dxa"/>
          </w:tcPr>
          <w:p w14:paraId="03ED96A7" w14:textId="645B0946" w:rsidR="00963619" w:rsidRDefault="00963619" w:rsidP="00604383">
            <w:pPr>
              <w:pStyle w:val="BodyText"/>
              <w:ind w:left="0" w:firstLine="0"/>
            </w:pPr>
            <w:r>
              <w:t>RFQ</w:t>
            </w:r>
          </w:p>
        </w:tc>
        <w:tc>
          <w:tcPr>
            <w:tcW w:w="6570" w:type="dxa"/>
          </w:tcPr>
          <w:p w14:paraId="4CB94269" w14:textId="6C4049F3" w:rsidR="00963619" w:rsidRDefault="00963619" w:rsidP="00604383">
            <w:pPr>
              <w:pStyle w:val="BodyText"/>
              <w:ind w:left="0" w:firstLine="71"/>
            </w:pPr>
            <w:r>
              <w:t>Radio Frequency Quadrupole</w:t>
            </w:r>
          </w:p>
        </w:tc>
      </w:tr>
      <w:tr w:rsidR="00D101C7" w14:paraId="42330D09" w14:textId="77777777" w:rsidTr="00C66572">
        <w:trPr>
          <w:jc w:val="center"/>
        </w:trPr>
        <w:tc>
          <w:tcPr>
            <w:tcW w:w="2675" w:type="dxa"/>
          </w:tcPr>
          <w:p w14:paraId="60A4414F" w14:textId="69B311BF" w:rsidR="00D101C7" w:rsidRDefault="00D101C7" w:rsidP="00604383">
            <w:pPr>
              <w:pStyle w:val="BodyText"/>
              <w:ind w:left="0" w:firstLine="0"/>
            </w:pPr>
            <w:r>
              <w:t>RT</w:t>
            </w:r>
          </w:p>
        </w:tc>
        <w:tc>
          <w:tcPr>
            <w:tcW w:w="6570" w:type="dxa"/>
          </w:tcPr>
          <w:p w14:paraId="186A545C" w14:textId="50DCC2D2" w:rsidR="00D101C7" w:rsidRDefault="00D101C7" w:rsidP="00604383">
            <w:pPr>
              <w:pStyle w:val="BodyText"/>
              <w:ind w:left="0" w:firstLine="71"/>
            </w:pPr>
            <w:r>
              <w:t>Room Temperature</w:t>
            </w:r>
          </w:p>
        </w:tc>
      </w:tr>
      <w:tr w:rsidR="0011063A" w14:paraId="0B55DFBF" w14:textId="77777777" w:rsidTr="00C66572">
        <w:trPr>
          <w:jc w:val="center"/>
        </w:trPr>
        <w:tc>
          <w:tcPr>
            <w:tcW w:w="2675" w:type="dxa"/>
          </w:tcPr>
          <w:p w14:paraId="059EDFB8" w14:textId="228E0113" w:rsidR="0011063A" w:rsidRDefault="0011063A" w:rsidP="00604383">
            <w:pPr>
              <w:pStyle w:val="BodyText"/>
              <w:ind w:left="0" w:firstLine="0"/>
            </w:pPr>
            <w:r>
              <w:t>SRF</w:t>
            </w:r>
          </w:p>
        </w:tc>
        <w:tc>
          <w:tcPr>
            <w:tcW w:w="6570" w:type="dxa"/>
          </w:tcPr>
          <w:p w14:paraId="3AF95C47" w14:textId="5106BA63" w:rsidR="0011063A" w:rsidRDefault="0011063A" w:rsidP="00604383">
            <w:pPr>
              <w:pStyle w:val="BodyText"/>
              <w:ind w:left="0" w:firstLine="71"/>
            </w:pPr>
            <w:r>
              <w:t>Superconducting Radio Frequency</w:t>
            </w:r>
          </w:p>
        </w:tc>
      </w:tr>
      <w:tr w:rsidR="00D101C7" w14:paraId="0192215E" w14:textId="77777777" w:rsidTr="00C66572">
        <w:trPr>
          <w:jc w:val="center"/>
        </w:trPr>
        <w:tc>
          <w:tcPr>
            <w:tcW w:w="2675" w:type="dxa"/>
          </w:tcPr>
          <w:p w14:paraId="7777925F" w14:textId="265BB1C4" w:rsidR="00D101C7" w:rsidRDefault="00D101C7" w:rsidP="00604383">
            <w:pPr>
              <w:pStyle w:val="BodyText"/>
              <w:ind w:left="0" w:firstLine="0"/>
            </w:pPr>
            <w:r>
              <w:t>SSR</w:t>
            </w:r>
          </w:p>
        </w:tc>
        <w:tc>
          <w:tcPr>
            <w:tcW w:w="6570" w:type="dxa"/>
          </w:tcPr>
          <w:p w14:paraId="41374D02" w14:textId="3F28FCAF" w:rsidR="00D101C7" w:rsidRDefault="00D101C7" w:rsidP="00604383">
            <w:pPr>
              <w:pStyle w:val="BodyText"/>
              <w:ind w:left="0" w:firstLine="71"/>
            </w:pPr>
            <w:r>
              <w:t>Single Spoke Resonator</w:t>
            </w:r>
          </w:p>
        </w:tc>
      </w:tr>
      <w:tr w:rsidR="00604383" w14:paraId="33502039" w14:textId="77777777" w:rsidTr="00C66572">
        <w:trPr>
          <w:jc w:val="center"/>
        </w:trPr>
        <w:tc>
          <w:tcPr>
            <w:tcW w:w="2675" w:type="dxa"/>
          </w:tcPr>
          <w:p w14:paraId="225716D1" w14:textId="73766E7D" w:rsidR="00604383" w:rsidRDefault="00604383" w:rsidP="00604383">
            <w:pPr>
              <w:pStyle w:val="BodyText"/>
              <w:ind w:left="0" w:firstLine="0"/>
            </w:pPr>
            <w:r>
              <w:t>TRS</w:t>
            </w:r>
          </w:p>
        </w:tc>
        <w:tc>
          <w:tcPr>
            <w:tcW w:w="6570" w:type="dxa"/>
          </w:tcPr>
          <w:p w14:paraId="021323C6" w14:textId="4DF0EB55" w:rsidR="00604383" w:rsidRDefault="00604383" w:rsidP="00604383">
            <w:pPr>
              <w:pStyle w:val="BodyText"/>
              <w:ind w:left="0" w:firstLine="71"/>
            </w:pPr>
            <w:r>
              <w:t>Technical Requirements Specification</w:t>
            </w:r>
          </w:p>
        </w:tc>
      </w:tr>
    </w:tbl>
    <w:p w14:paraId="28A99358" w14:textId="5DE186AF" w:rsidR="00C67AFD" w:rsidRDefault="00C67AFD" w:rsidP="00D66010">
      <w:pPr>
        <w:pStyle w:val="BodyText"/>
        <w:spacing w:before="0"/>
        <w:ind w:left="0" w:firstLine="0"/>
        <w:jc w:val="both"/>
      </w:pPr>
    </w:p>
    <w:p w14:paraId="2FF8DD4A" w14:textId="77777777" w:rsidR="00D560C7" w:rsidRDefault="00D560C7" w:rsidP="00D66010">
      <w:pPr>
        <w:pStyle w:val="BodyText"/>
        <w:spacing w:before="0"/>
        <w:ind w:left="0" w:firstLine="0"/>
        <w:jc w:val="both"/>
      </w:pPr>
    </w:p>
    <w:p w14:paraId="735C11B9" w14:textId="2BFC64AC" w:rsidR="00FC6DD6" w:rsidRDefault="00926B95" w:rsidP="00FC6DD6">
      <w:pPr>
        <w:pStyle w:val="Heading1"/>
      </w:pPr>
      <w:bookmarkStart w:id="8" w:name="_Ref26537992"/>
      <w:bookmarkStart w:id="9" w:name="_Toc26687932"/>
      <w:r>
        <w:t>Cavity Voltage</w:t>
      </w:r>
      <w:r w:rsidR="00FC6DD6">
        <w:t xml:space="preserve"> Requirements</w:t>
      </w:r>
      <w:bookmarkEnd w:id="8"/>
      <w:bookmarkEnd w:id="9"/>
    </w:p>
    <w:p w14:paraId="28A22486" w14:textId="39A8BEF2" w:rsidR="00A04D96" w:rsidRDefault="00FC6DD6" w:rsidP="00A21256">
      <w:pPr>
        <w:pStyle w:val="NotesBody11pt"/>
      </w:pPr>
      <w:r>
        <w:t xml:space="preserve">The overall </w:t>
      </w:r>
      <w:r w:rsidR="005F6FFF">
        <w:t>Linac</w:t>
      </w:r>
      <w:r>
        <w:t xml:space="preserve"> requirements define the fundamental parameters of the </w:t>
      </w:r>
      <w:r w:rsidR="005F6FFF">
        <w:t>Linac</w:t>
      </w:r>
      <w:r>
        <w:t xml:space="preserve"> RF system.</w:t>
      </w:r>
      <w:r w:rsidR="00C328DB">
        <w:t xml:space="preserve">  </w:t>
      </w:r>
      <w:r w:rsidR="00C328DB" w:rsidRPr="00493D40">
        <w:t>The requirement for amplifiers is that a nominal gradient is achievable in each cavity when accelerating beam with an average beam current of 2 mA. Cavity requirements, including nominal operational voltages are document</w:t>
      </w:r>
      <w:r w:rsidR="00C328DB">
        <w:t>ed</w:t>
      </w:r>
      <w:r w:rsidR="00C328DB" w:rsidRPr="00493D40">
        <w:t xml:space="preserve"> in [</w:t>
      </w:r>
      <w:r w:rsidR="00C328DB">
        <w:t>2</w:t>
      </w:r>
      <w:r w:rsidR="00C328DB" w:rsidRPr="00493D40">
        <w:t>]</w:t>
      </w:r>
      <w:r w:rsidR="00C328DB">
        <w:t xml:space="preserve"> and [3]</w:t>
      </w:r>
      <w:r w:rsidR="00C328DB" w:rsidRPr="00493D40">
        <w:t>.</w:t>
      </w:r>
    </w:p>
    <w:p w14:paraId="19B21C0A" w14:textId="77777777" w:rsidR="008050B0" w:rsidRDefault="008050B0" w:rsidP="00A21256">
      <w:pPr>
        <w:pStyle w:val="NotesBody11pt"/>
      </w:pPr>
    </w:p>
    <w:p w14:paraId="6A641028" w14:textId="60EA621B" w:rsidR="005F6FFF" w:rsidRDefault="00D037F9" w:rsidP="00A21256">
      <w:pPr>
        <w:pStyle w:val="NotesBody11pt"/>
      </w:pPr>
      <w:r>
        <w:t xml:space="preserve">The following functional requirements for the RF System are derived from the overall </w:t>
      </w:r>
      <w:r w:rsidR="005F6FFF">
        <w:t>Linac</w:t>
      </w:r>
      <w:r>
        <w:t xml:space="preserve"> requirements:</w:t>
      </w:r>
    </w:p>
    <w:p w14:paraId="1AC281AC" w14:textId="77777777" w:rsidR="008050B0" w:rsidRDefault="008050B0" w:rsidP="00A21256">
      <w:pPr>
        <w:pStyle w:val="NotesBody11pt"/>
      </w:pPr>
    </w:p>
    <w:p w14:paraId="28D596D7" w14:textId="6A0B50AB" w:rsidR="006F0E42" w:rsidRDefault="00D037F9" w:rsidP="004260D5">
      <w:pPr>
        <w:pStyle w:val="NotesBody11pt"/>
        <w:numPr>
          <w:ilvl w:val="0"/>
          <w:numId w:val="32"/>
        </w:numPr>
      </w:pPr>
      <w:r>
        <w:t xml:space="preserve">Maintain the beam voltage gain across the cavity to the specified precision </w:t>
      </w:r>
      <w:r w:rsidR="006F0E42">
        <w:t>for any beam current or pulsed beam duty factor up to the specified peak beam current.</w:t>
      </w:r>
    </w:p>
    <w:p w14:paraId="4F22AB4D" w14:textId="77777777" w:rsidR="00824E5F" w:rsidRDefault="00824E5F" w:rsidP="00824E5F">
      <w:pPr>
        <w:pStyle w:val="NotesBody11pt"/>
        <w:ind w:left="720"/>
      </w:pPr>
    </w:p>
    <w:p w14:paraId="4D991A22" w14:textId="570B87A3" w:rsidR="00D037F9" w:rsidRDefault="006F0E42" w:rsidP="004260D5">
      <w:pPr>
        <w:pStyle w:val="NotesBody11pt"/>
        <w:numPr>
          <w:ilvl w:val="0"/>
          <w:numId w:val="32"/>
        </w:numPr>
      </w:pPr>
      <w:r>
        <w:t>Maintain the specified RF frequency and relative phase between cavities to the specified precision for any beam current or pulsed beam duty factor up to the specified peak beam current.</w:t>
      </w:r>
    </w:p>
    <w:p w14:paraId="705F575F" w14:textId="77777777" w:rsidR="00824E5F" w:rsidRDefault="00824E5F" w:rsidP="00824E5F">
      <w:pPr>
        <w:pStyle w:val="NotesBody11pt"/>
      </w:pPr>
    </w:p>
    <w:p w14:paraId="6379B9C3" w14:textId="15CC1338" w:rsidR="006F0E42" w:rsidRDefault="006F0E42" w:rsidP="004260D5">
      <w:pPr>
        <w:pStyle w:val="NotesBody11pt"/>
        <w:numPr>
          <w:ilvl w:val="0"/>
          <w:numId w:val="32"/>
        </w:numPr>
      </w:pPr>
      <w:r>
        <w:t xml:space="preserve">Inform the </w:t>
      </w:r>
      <w:r w:rsidR="005F6FFF">
        <w:t>Linac</w:t>
      </w:r>
      <w:r>
        <w:t xml:space="preserve"> machine protection system when RF regulation fails within the specified time window.</w:t>
      </w:r>
    </w:p>
    <w:p w14:paraId="510A1286" w14:textId="77777777" w:rsidR="00824E5F" w:rsidRDefault="00824E5F" w:rsidP="00824E5F">
      <w:pPr>
        <w:pStyle w:val="NotesBody11pt"/>
      </w:pPr>
    </w:p>
    <w:p w14:paraId="549F6957" w14:textId="1BCCBA48" w:rsidR="006F0E42" w:rsidRDefault="008F62FD" w:rsidP="004260D5">
      <w:pPr>
        <w:pStyle w:val="NotesBody11pt"/>
        <w:numPr>
          <w:ilvl w:val="0"/>
          <w:numId w:val="32"/>
        </w:numPr>
      </w:pPr>
      <w:r>
        <w:t xml:space="preserve">Provide for arbitrary cavity voltage gain and relative phase settings for low duty beam pulses for tuning the </w:t>
      </w:r>
      <w:r w:rsidR="005F6FFF">
        <w:t>Linac</w:t>
      </w:r>
      <w:r>
        <w:t xml:space="preserve"> cavity parameters.</w:t>
      </w:r>
    </w:p>
    <w:p w14:paraId="18131747" w14:textId="77777777" w:rsidR="005F6FFF" w:rsidRDefault="005F6FFF" w:rsidP="005F6FFF">
      <w:pPr>
        <w:pStyle w:val="NotesBody11pt"/>
        <w:spacing w:after="120"/>
        <w:ind w:left="720"/>
      </w:pPr>
    </w:p>
    <w:p w14:paraId="5B632501" w14:textId="210D3EC1" w:rsidR="005F6FFF" w:rsidRDefault="005F6FFF" w:rsidP="00FC6DD6">
      <w:pPr>
        <w:pStyle w:val="NotesBody11pt"/>
      </w:pPr>
      <w:r>
        <w:fldChar w:fldCharType="begin"/>
      </w:r>
      <w:r>
        <w:instrText xml:space="preserve"> REF _Ref20896606 \h </w:instrText>
      </w:r>
      <w:r w:rsidR="008050B0">
        <w:instrText xml:space="preserve"> \* MERGEFORMAT </w:instrText>
      </w:r>
      <w:r>
        <w:fldChar w:fldCharType="separate"/>
      </w:r>
      <w:r w:rsidR="00C33A74">
        <w:t>Table 4</w:t>
      </w:r>
      <w:r w:rsidR="00C33A74">
        <w:noBreakHyphen/>
        <w:t>1</w:t>
      </w:r>
      <w:r>
        <w:fldChar w:fldCharType="end"/>
      </w:r>
      <w:r w:rsidR="00EE368C">
        <w:t xml:space="preserve"> shows the configuration of cavity frequencies for the PIP-II </w:t>
      </w:r>
      <w:r>
        <w:t>Linac</w:t>
      </w:r>
      <w:r w:rsidR="00EE368C">
        <w:t>, as well as the beam current limit that the cavity will be expected to accelerate.</w:t>
      </w:r>
    </w:p>
    <w:p w14:paraId="604796EC" w14:textId="1185F354" w:rsidR="00E62DA2" w:rsidRDefault="00E62DA2" w:rsidP="00E62DA2">
      <w:pPr>
        <w:pStyle w:val="Caption"/>
        <w:jc w:val="center"/>
      </w:pPr>
      <w:bookmarkStart w:id="10" w:name="_Ref20896606"/>
      <w:r>
        <w:t xml:space="preserve">Table </w:t>
      </w:r>
      <w:r w:rsidR="006018C4">
        <w:fldChar w:fldCharType="begin"/>
      </w:r>
      <w:r w:rsidR="006018C4">
        <w:instrText xml:space="preserve"> STYLEREF 1 \s </w:instrText>
      </w:r>
      <w:r w:rsidR="006018C4">
        <w:fldChar w:fldCharType="separate"/>
      </w:r>
      <w:r w:rsidR="00216CE9">
        <w:rPr>
          <w:noProof/>
        </w:rPr>
        <w:t>4</w:t>
      </w:r>
      <w:r w:rsidR="006018C4">
        <w:rPr>
          <w:noProof/>
        </w:rPr>
        <w:fldChar w:fldCharType="end"/>
      </w:r>
      <w:r w:rsidR="00216CE9">
        <w:noBreakHyphen/>
      </w:r>
      <w:r w:rsidR="006018C4">
        <w:fldChar w:fldCharType="begin"/>
      </w:r>
      <w:r w:rsidR="006018C4">
        <w:instrText xml:space="preserve"> SEQ Table \* ARABIC \s 1 </w:instrText>
      </w:r>
      <w:r w:rsidR="006018C4">
        <w:fldChar w:fldCharType="separate"/>
      </w:r>
      <w:r w:rsidR="00216CE9">
        <w:rPr>
          <w:noProof/>
        </w:rPr>
        <w:t>1</w:t>
      </w:r>
      <w:r w:rsidR="006018C4">
        <w:rPr>
          <w:noProof/>
        </w:rPr>
        <w:fldChar w:fldCharType="end"/>
      </w:r>
      <w:bookmarkEnd w:id="10"/>
      <w:r>
        <w:t>:  RT and SRF Amplifier Parameters</w:t>
      </w:r>
    </w:p>
    <w:tbl>
      <w:tblPr>
        <w:tblStyle w:val="TableGrid"/>
        <w:tblW w:w="9810" w:type="dxa"/>
        <w:jc w:val="center"/>
        <w:tblLook w:val="04A0" w:firstRow="1" w:lastRow="0" w:firstColumn="1" w:lastColumn="0" w:noHBand="0" w:noVBand="1"/>
      </w:tblPr>
      <w:tblGrid>
        <w:gridCol w:w="1525"/>
        <w:gridCol w:w="767"/>
        <w:gridCol w:w="1231"/>
        <w:gridCol w:w="767"/>
        <w:gridCol w:w="1380"/>
        <w:gridCol w:w="1440"/>
        <w:gridCol w:w="1350"/>
        <w:gridCol w:w="1350"/>
      </w:tblGrid>
      <w:tr w:rsidR="00EE368C" w:rsidRPr="001443B9" w14:paraId="5BCEBBA0" w14:textId="77777777" w:rsidTr="00204D70">
        <w:trPr>
          <w:jc w:val="center"/>
        </w:trPr>
        <w:tc>
          <w:tcPr>
            <w:tcW w:w="1525" w:type="dxa"/>
            <w:vAlign w:val="center"/>
          </w:tcPr>
          <w:p w14:paraId="7F1B52B3" w14:textId="77777777" w:rsidR="00EE368C" w:rsidRPr="001443B9" w:rsidRDefault="00EE368C" w:rsidP="00AF55BD">
            <w:pPr>
              <w:pStyle w:val="NotesBody11pt"/>
              <w:rPr>
                <w:b/>
                <w:bCs/>
              </w:rPr>
            </w:pPr>
            <w:r w:rsidRPr="001443B9">
              <w:rPr>
                <w:b/>
                <w:bCs/>
              </w:rPr>
              <w:t>Para</w:t>
            </w:r>
            <w:r>
              <w:rPr>
                <w:b/>
                <w:bCs/>
              </w:rPr>
              <w:t>meter</w:t>
            </w:r>
          </w:p>
        </w:tc>
        <w:tc>
          <w:tcPr>
            <w:tcW w:w="767" w:type="dxa"/>
            <w:vAlign w:val="center"/>
          </w:tcPr>
          <w:p w14:paraId="56409177" w14:textId="77777777" w:rsidR="00EE368C" w:rsidRPr="001443B9" w:rsidRDefault="00EE368C" w:rsidP="00AF55BD">
            <w:pPr>
              <w:pStyle w:val="NotesBody11pt"/>
              <w:jc w:val="center"/>
              <w:rPr>
                <w:b/>
                <w:bCs/>
              </w:rPr>
            </w:pPr>
            <w:r w:rsidRPr="001443B9">
              <w:rPr>
                <w:b/>
                <w:bCs/>
              </w:rPr>
              <w:t>RFQ</w:t>
            </w:r>
          </w:p>
        </w:tc>
        <w:tc>
          <w:tcPr>
            <w:tcW w:w="1231" w:type="dxa"/>
            <w:vAlign w:val="center"/>
          </w:tcPr>
          <w:p w14:paraId="06196690" w14:textId="77777777" w:rsidR="00EE368C" w:rsidRPr="001443B9" w:rsidRDefault="00EE368C" w:rsidP="00AF55BD">
            <w:pPr>
              <w:pStyle w:val="NotesBody11pt"/>
              <w:jc w:val="center"/>
              <w:rPr>
                <w:b/>
                <w:bCs/>
              </w:rPr>
            </w:pPr>
            <w:r w:rsidRPr="001443B9">
              <w:rPr>
                <w:b/>
                <w:bCs/>
              </w:rPr>
              <w:t>MEBT Bunchers</w:t>
            </w:r>
          </w:p>
        </w:tc>
        <w:tc>
          <w:tcPr>
            <w:tcW w:w="767" w:type="dxa"/>
            <w:vAlign w:val="center"/>
          </w:tcPr>
          <w:p w14:paraId="17805E1C" w14:textId="77777777" w:rsidR="00EE368C" w:rsidRPr="001443B9" w:rsidRDefault="00EE368C" w:rsidP="00AF55BD">
            <w:pPr>
              <w:pStyle w:val="NotesBody11pt"/>
              <w:jc w:val="center"/>
              <w:rPr>
                <w:b/>
                <w:bCs/>
              </w:rPr>
            </w:pPr>
            <w:r w:rsidRPr="001443B9">
              <w:rPr>
                <w:b/>
                <w:bCs/>
              </w:rPr>
              <w:t>HWR</w:t>
            </w:r>
          </w:p>
        </w:tc>
        <w:tc>
          <w:tcPr>
            <w:tcW w:w="1380" w:type="dxa"/>
            <w:vAlign w:val="center"/>
          </w:tcPr>
          <w:p w14:paraId="32A709B3" w14:textId="77777777" w:rsidR="00EE368C" w:rsidRPr="001443B9" w:rsidRDefault="00EE368C" w:rsidP="00AF55BD">
            <w:pPr>
              <w:pStyle w:val="NotesBody11pt"/>
              <w:jc w:val="center"/>
              <w:rPr>
                <w:b/>
                <w:bCs/>
              </w:rPr>
            </w:pPr>
            <w:r w:rsidRPr="001443B9">
              <w:rPr>
                <w:b/>
                <w:bCs/>
              </w:rPr>
              <w:t>SSR1</w:t>
            </w:r>
          </w:p>
        </w:tc>
        <w:tc>
          <w:tcPr>
            <w:tcW w:w="1440" w:type="dxa"/>
            <w:vAlign w:val="center"/>
          </w:tcPr>
          <w:p w14:paraId="4D2BF457" w14:textId="77777777" w:rsidR="00EE368C" w:rsidRPr="001443B9" w:rsidRDefault="00EE368C" w:rsidP="00AF55BD">
            <w:pPr>
              <w:pStyle w:val="NotesBody11pt"/>
              <w:jc w:val="center"/>
              <w:rPr>
                <w:b/>
                <w:bCs/>
              </w:rPr>
            </w:pPr>
            <w:r w:rsidRPr="001443B9">
              <w:rPr>
                <w:b/>
                <w:bCs/>
              </w:rPr>
              <w:t>SSR2</w:t>
            </w:r>
          </w:p>
        </w:tc>
        <w:tc>
          <w:tcPr>
            <w:tcW w:w="1350" w:type="dxa"/>
            <w:vAlign w:val="center"/>
          </w:tcPr>
          <w:p w14:paraId="2A497F0E" w14:textId="77777777" w:rsidR="00EE368C" w:rsidRPr="001443B9" w:rsidRDefault="00EE368C" w:rsidP="00AF55BD">
            <w:pPr>
              <w:pStyle w:val="NotesBody11pt"/>
              <w:jc w:val="center"/>
              <w:rPr>
                <w:b/>
                <w:bCs/>
              </w:rPr>
            </w:pPr>
            <w:r w:rsidRPr="001443B9">
              <w:rPr>
                <w:b/>
                <w:bCs/>
              </w:rPr>
              <w:t>LB650</w:t>
            </w:r>
          </w:p>
        </w:tc>
        <w:tc>
          <w:tcPr>
            <w:tcW w:w="1350" w:type="dxa"/>
            <w:vAlign w:val="center"/>
          </w:tcPr>
          <w:p w14:paraId="609C0092" w14:textId="77777777" w:rsidR="00EE368C" w:rsidRPr="001443B9" w:rsidRDefault="00EE368C" w:rsidP="00AF55BD">
            <w:pPr>
              <w:pStyle w:val="NotesBody11pt"/>
              <w:jc w:val="center"/>
              <w:rPr>
                <w:b/>
                <w:bCs/>
              </w:rPr>
            </w:pPr>
            <w:r w:rsidRPr="001443B9">
              <w:rPr>
                <w:b/>
                <w:bCs/>
              </w:rPr>
              <w:t>HB650</w:t>
            </w:r>
          </w:p>
        </w:tc>
      </w:tr>
      <w:tr w:rsidR="00EE368C" w:rsidRPr="001443B9" w14:paraId="7106294A" w14:textId="77777777" w:rsidTr="00204D70">
        <w:trPr>
          <w:jc w:val="center"/>
        </w:trPr>
        <w:tc>
          <w:tcPr>
            <w:tcW w:w="1525" w:type="dxa"/>
            <w:vAlign w:val="center"/>
          </w:tcPr>
          <w:p w14:paraId="2500DA1E" w14:textId="77777777" w:rsidR="00EE368C" w:rsidRPr="001443B9" w:rsidRDefault="00EE368C" w:rsidP="00AF55BD">
            <w:pPr>
              <w:pStyle w:val="NotesBody11pt"/>
              <w:jc w:val="left"/>
            </w:pPr>
            <w:r w:rsidRPr="001443B9">
              <w:t>Frequency (MHz)</w:t>
            </w:r>
          </w:p>
        </w:tc>
        <w:tc>
          <w:tcPr>
            <w:tcW w:w="767" w:type="dxa"/>
            <w:vAlign w:val="center"/>
          </w:tcPr>
          <w:p w14:paraId="2CBC8771" w14:textId="77777777" w:rsidR="00EE368C" w:rsidRPr="001443B9" w:rsidRDefault="00EE368C" w:rsidP="00AF55BD">
            <w:pPr>
              <w:pStyle w:val="NotesBody11pt"/>
              <w:jc w:val="center"/>
            </w:pPr>
            <w:r w:rsidRPr="001443B9">
              <w:t>162.5</w:t>
            </w:r>
          </w:p>
        </w:tc>
        <w:tc>
          <w:tcPr>
            <w:tcW w:w="1231" w:type="dxa"/>
            <w:vAlign w:val="center"/>
          </w:tcPr>
          <w:p w14:paraId="57A4CC05" w14:textId="77777777" w:rsidR="00EE368C" w:rsidRPr="001443B9" w:rsidRDefault="00EE368C" w:rsidP="00AF55BD">
            <w:pPr>
              <w:pStyle w:val="NotesBody11pt"/>
              <w:jc w:val="center"/>
            </w:pPr>
            <w:r w:rsidRPr="001443B9">
              <w:t>162.5</w:t>
            </w:r>
          </w:p>
        </w:tc>
        <w:tc>
          <w:tcPr>
            <w:tcW w:w="767" w:type="dxa"/>
            <w:vAlign w:val="center"/>
          </w:tcPr>
          <w:p w14:paraId="6833D114" w14:textId="77777777" w:rsidR="00EE368C" w:rsidRPr="001443B9" w:rsidRDefault="00EE368C" w:rsidP="00AF55BD">
            <w:pPr>
              <w:pStyle w:val="NotesBody11pt"/>
              <w:jc w:val="center"/>
            </w:pPr>
            <w:r w:rsidRPr="001443B9">
              <w:t>162.5</w:t>
            </w:r>
          </w:p>
        </w:tc>
        <w:tc>
          <w:tcPr>
            <w:tcW w:w="1380" w:type="dxa"/>
            <w:vAlign w:val="center"/>
          </w:tcPr>
          <w:p w14:paraId="26E8D05F" w14:textId="77777777" w:rsidR="00EE368C" w:rsidRPr="001443B9" w:rsidRDefault="00EE368C" w:rsidP="00AF55BD">
            <w:pPr>
              <w:pStyle w:val="NotesBody11pt"/>
              <w:jc w:val="center"/>
            </w:pPr>
            <w:r w:rsidRPr="001443B9">
              <w:t>325</w:t>
            </w:r>
          </w:p>
        </w:tc>
        <w:tc>
          <w:tcPr>
            <w:tcW w:w="1440" w:type="dxa"/>
            <w:vAlign w:val="center"/>
          </w:tcPr>
          <w:p w14:paraId="4C8E99C3" w14:textId="77777777" w:rsidR="00EE368C" w:rsidRPr="001443B9" w:rsidRDefault="00EE368C" w:rsidP="00AF55BD">
            <w:pPr>
              <w:pStyle w:val="NotesBody11pt"/>
              <w:jc w:val="center"/>
            </w:pPr>
            <w:r w:rsidRPr="001443B9">
              <w:t>325</w:t>
            </w:r>
          </w:p>
        </w:tc>
        <w:tc>
          <w:tcPr>
            <w:tcW w:w="1350" w:type="dxa"/>
            <w:vAlign w:val="center"/>
          </w:tcPr>
          <w:p w14:paraId="15ADB219" w14:textId="77777777" w:rsidR="00EE368C" w:rsidRPr="001443B9" w:rsidRDefault="00EE368C" w:rsidP="00AF55BD">
            <w:pPr>
              <w:pStyle w:val="NotesBody11pt"/>
              <w:jc w:val="center"/>
            </w:pPr>
            <w:r w:rsidRPr="001443B9">
              <w:t>650</w:t>
            </w:r>
          </w:p>
        </w:tc>
        <w:tc>
          <w:tcPr>
            <w:tcW w:w="1350" w:type="dxa"/>
            <w:vAlign w:val="center"/>
          </w:tcPr>
          <w:p w14:paraId="43961DE8" w14:textId="77777777" w:rsidR="00EE368C" w:rsidRPr="001443B9" w:rsidRDefault="00EE368C" w:rsidP="00AF55BD">
            <w:pPr>
              <w:pStyle w:val="NotesBody11pt"/>
              <w:jc w:val="center"/>
            </w:pPr>
            <w:r w:rsidRPr="001443B9">
              <w:t>650</w:t>
            </w:r>
          </w:p>
        </w:tc>
      </w:tr>
      <w:tr w:rsidR="00EE368C" w:rsidRPr="001443B9" w14:paraId="5F2EFF65" w14:textId="77777777" w:rsidTr="00204D70">
        <w:trPr>
          <w:jc w:val="center"/>
        </w:trPr>
        <w:tc>
          <w:tcPr>
            <w:tcW w:w="1525" w:type="dxa"/>
            <w:vAlign w:val="center"/>
          </w:tcPr>
          <w:p w14:paraId="43828F94" w14:textId="15DA10B1" w:rsidR="00EE368C" w:rsidRPr="001443B9" w:rsidRDefault="00162320" w:rsidP="00AF55BD">
            <w:pPr>
              <w:pStyle w:val="NotesBody11pt"/>
              <w:jc w:val="left"/>
            </w:pPr>
            <w:r>
              <w:t>Peak Beam Current (mA)</w:t>
            </w:r>
          </w:p>
        </w:tc>
        <w:tc>
          <w:tcPr>
            <w:tcW w:w="767" w:type="dxa"/>
            <w:vAlign w:val="center"/>
          </w:tcPr>
          <w:p w14:paraId="02CAE81A" w14:textId="01673686" w:rsidR="00EE368C" w:rsidRPr="001443B9" w:rsidRDefault="00162320" w:rsidP="00AF55BD">
            <w:pPr>
              <w:pStyle w:val="NotesBody11pt"/>
              <w:jc w:val="center"/>
            </w:pPr>
            <w:r>
              <w:t>10</w:t>
            </w:r>
          </w:p>
        </w:tc>
        <w:tc>
          <w:tcPr>
            <w:tcW w:w="1231" w:type="dxa"/>
            <w:vAlign w:val="center"/>
          </w:tcPr>
          <w:p w14:paraId="3D36DDED" w14:textId="5C88FFB9" w:rsidR="00EE368C" w:rsidRPr="001443B9" w:rsidRDefault="00162320" w:rsidP="00AF55BD">
            <w:pPr>
              <w:pStyle w:val="NotesBody11pt"/>
              <w:jc w:val="center"/>
            </w:pPr>
            <w:r>
              <w:t>10</w:t>
            </w:r>
          </w:p>
        </w:tc>
        <w:tc>
          <w:tcPr>
            <w:tcW w:w="767" w:type="dxa"/>
            <w:vAlign w:val="center"/>
          </w:tcPr>
          <w:p w14:paraId="7CEC9494" w14:textId="0C431298" w:rsidR="00EE368C" w:rsidRPr="001443B9" w:rsidRDefault="00162320" w:rsidP="00AF55BD">
            <w:pPr>
              <w:pStyle w:val="NotesBody11pt"/>
              <w:jc w:val="center"/>
            </w:pPr>
            <w:r>
              <w:t>2</w:t>
            </w:r>
          </w:p>
        </w:tc>
        <w:tc>
          <w:tcPr>
            <w:tcW w:w="1380" w:type="dxa"/>
            <w:vAlign w:val="center"/>
          </w:tcPr>
          <w:p w14:paraId="1B0CED8D" w14:textId="4EF188A3" w:rsidR="00EE368C" w:rsidRPr="001443B9" w:rsidRDefault="00162320" w:rsidP="00AF55BD">
            <w:pPr>
              <w:pStyle w:val="NotesBody11pt"/>
              <w:jc w:val="center"/>
            </w:pPr>
            <w:r>
              <w:t>2</w:t>
            </w:r>
          </w:p>
        </w:tc>
        <w:tc>
          <w:tcPr>
            <w:tcW w:w="1440" w:type="dxa"/>
            <w:vAlign w:val="center"/>
          </w:tcPr>
          <w:p w14:paraId="5A01F065" w14:textId="2313AC6F" w:rsidR="00EE368C" w:rsidRPr="001443B9" w:rsidRDefault="00EE368C" w:rsidP="00AF55BD">
            <w:pPr>
              <w:pStyle w:val="NotesBody11pt"/>
              <w:jc w:val="center"/>
            </w:pPr>
            <w:r w:rsidRPr="001443B9">
              <w:t>2</w:t>
            </w:r>
          </w:p>
        </w:tc>
        <w:tc>
          <w:tcPr>
            <w:tcW w:w="1350" w:type="dxa"/>
            <w:vAlign w:val="center"/>
          </w:tcPr>
          <w:p w14:paraId="1770390C" w14:textId="636D9FC6" w:rsidR="00EE368C" w:rsidRPr="001443B9" w:rsidRDefault="00162320" w:rsidP="00AF55BD">
            <w:pPr>
              <w:pStyle w:val="NotesBody11pt"/>
              <w:jc w:val="center"/>
            </w:pPr>
            <w:r>
              <w:t>2</w:t>
            </w:r>
          </w:p>
        </w:tc>
        <w:tc>
          <w:tcPr>
            <w:tcW w:w="1350" w:type="dxa"/>
            <w:vAlign w:val="center"/>
          </w:tcPr>
          <w:p w14:paraId="4749397B" w14:textId="5D6A3B48" w:rsidR="00EE368C" w:rsidRPr="001443B9" w:rsidRDefault="00162320" w:rsidP="00AF55BD">
            <w:pPr>
              <w:pStyle w:val="NotesBody11pt"/>
              <w:jc w:val="center"/>
            </w:pPr>
            <w:r>
              <w:t>2</w:t>
            </w:r>
          </w:p>
        </w:tc>
      </w:tr>
    </w:tbl>
    <w:p w14:paraId="1D89CCB4" w14:textId="77777777" w:rsidR="005F6FFF" w:rsidRDefault="005F6FFF" w:rsidP="00FC6DD6">
      <w:pPr>
        <w:pStyle w:val="NotesBody11pt"/>
      </w:pPr>
    </w:p>
    <w:p w14:paraId="2F439024" w14:textId="77777777" w:rsidR="00FA5D8D" w:rsidRDefault="00FA5D8D" w:rsidP="00FC6DD6">
      <w:pPr>
        <w:pStyle w:val="NotesBody11pt"/>
      </w:pPr>
    </w:p>
    <w:p w14:paraId="230E2F96" w14:textId="00A97E66" w:rsidR="001E7BB6" w:rsidRDefault="005F6FFF" w:rsidP="00FC6DD6">
      <w:pPr>
        <w:pStyle w:val="NotesBody11pt"/>
      </w:pPr>
      <w:r>
        <w:fldChar w:fldCharType="begin"/>
      </w:r>
      <w:r>
        <w:instrText xml:space="preserve"> REF _Ref20897253 \h </w:instrText>
      </w:r>
      <w:r>
        <w:fldChar w:fldCharType="separate"/>
      </w:r>
      <w:r w:rsidR="00C33A74">
        <w:t xml:space="preserve">Figure </w:t>
      </w:r>
      <w:r w:rsidR="00C33A74">
        <w:rPr>
          <w:noProof/>
        </w:rPr>
        <w:t>4</w:t>
      </w:r>
      <w:r w:rsidR="00C33A74">
        <w:noBreakHyphen/>
      </w:r>
      <w:r w:rsidR="00C33A74">
        <w:rPr>
          <w:noProof/>
        </w:rPr>
        <w:t>1</w:t>
      </w:r>
      <w:r>
        <w:fldChar w:fldCharType="end"/>
      </w:r>
      <w:r>
        <w:t xml:space="preserve"> </w:t>
      </w:r>
      <w:r w:rsidR="00490F18">
        <w:t xml:space="preserve">shows the </w:t>
      </w:r>
      <w:r w:rsidR="004C671C">
        <w:t xml:space="preserve">requested energy gain through each cavity in </w:t>
      </w:r>
      <w:r w:rsidR="008F62FD">
        <w:t>a typical lattice simulation for the PIP-II</w:t>
      </w:r>
      <w:r w:rsidR="004C671C">
        <w:t xml:space="preserve"> </w:t>
      </w:r>
      <w:r>
        <w:t>Linac</w:t>
      </w:r>
      <w:r w:rsidR="004C671C">
        <w:t xml:space="preserve">.  </w:t>
      </w:r>
      <w:r>
        <w:fldChar w:fldCharType="begin"/>
      </w:r>
      <w:r>
        <w:instrText xml:space="preserve"> REF _Ref20897279 \h </w:instrText>
      </w:r>
      <w:r>
        <w:fldChar w:fldCharType="separate"/>
      </w:r>
      <w:r w:rsidR="00C33A74">
        <w:t xml:space="preserve">Figure </w:t>
      </w:r>
      <w:r w:rsidR="00C33A74">
        <w:rPr>
          <w:noProof/>
        </w:rPr>
        <w:t>4</w:t>
      </w:r>
      <w:r w:rsidR="00C33A74">
        <w:noBreakHyphen/>
      </w:r>
      <w:r w:rsidR="00C33A74">
        <w:rPr>
          <w:noProof/>
        </w:rPr>
        <w:t>2</w:t>
      </w:r>
      <w:r>
        <w:fldChar w:fldCharType="end"/>
      </w:r>
      <w:r w:rsidR="004C671C">
        <w:t xml:space="preserve"> shows the requested synchronous phase for each cavity in the </w:t>
      </w:r>
      <w:r>
        <w:t>Linac</w:t>
      </w:r>
      <w:r w:rsidR="004C671C">
        <w:t>.</w:t>
      </w:r>
      <w:r w:rsidR="00F23324">
        <w:t xml:space="preserve">  Figure 4-3 shows the simulated transit time factor through each cavity.  These values are used to calculate the RF power demand for each cavity.</w:t>
      </w:r>
    </w:p>
    <w:p w14:paraId="0162B306" w14:textId="77777777" w:rsidR="00962DB7" w:rsidRDefault="00962DB7" w:rsidP="00FC6DD6">
      <w:pPr>
        <w:pStyle w:val="NotesBody11pt"/>
      </w:pPr>
    </w:p>
    <w:p w14:paraId="4445C4AC" w14:textId="77777777" w:rsidR="001E7BB6" w:rsidRDefault="001E7BB6" w:rsidP="00FC6DD6">
      <w:pPr>
        <w:pStyle w:val="NotesBody11pt"/>
      </w:pPr>
    </w:p>
    <w:p w14:paraId="0756A87F" w14:textId="765C7C73" w:rsidR="008029A0" w:rsidRDefault="009E2B2F" w:rsidP="008029A0">
      <w:pPr>
        <w:pStyle w:val="NotesBody11pt"/>
        <w:jc w:val="center"/>
      </w:pPr>
      <w:r>
        <w:rPr>
          <w:noProof/>
        </w:rPr>
        <w:drawing>
          <wp:inline distT="0" distB="0" distL="0" distR="0" wp14:anchorId="02A39CC6" wp14:editId="6C4AA124">
            <wp:extent cx="5613400" cy="3648282"/>
            <wp:effectExtent l="0" t="0" r="6350" b="9525"/>
            <wp:docPr id="1" name="Chart 1">
              <a:extLst xmlns:a="http://schemas.openxmlformats.org/drawingml/2006/main">
                <a:ext uri="{FF2B5EF4-FFF2-40B4-BE49-F238E27FC236}">
                  <a16:creationId xmlns:a16="http://schemas.microsoft.com/office/drawing/2014/main" id="{024CAE21-582D-48DB-A852-B5A0051453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16DC97" w14:textId="267C435C" w:rsidR="00BC4246" w:rsidRDefault="00BC4246" w:rsidP="00BC4246">
      <w:pPr>
        <w:pStyle w:val="Caption"/>
        <w:jc w:val="center"/>
      </w:pPr>
      <w:bookmarkStart w:id="11" w:name="_Ref20897253"/>
      <w:r>
        <w:t xml:space="preserve">Figure </w:t>
      </w:r>
      <w:r w:rsidR="006018C4">
        <w:fldChar w:fldCharType="begin"/>
      </w:r>
      <w:r w:rsidR="006018C4">
        <w:instrText xml:space="preserve"> STYLEREF 1 \s </w:instrText>
      </w:r>
      <w:r w:rsidR="006018C4">
        <w:fldChar w:fldCharType="separate"/>
      </w:r>
      <w:r>
        <w:rPr>
          <w:noProof/>
        </w:rPr>
        <w:t>4</w:t>
      </w:r>
      <w:r w:rsidR="006018C4">
        <w:rPr>
          <w:noProof/>
        </w:rPr>
        <w:fldChar w:fldCharType="end"/>
      </w:r>
      <w:r>
        <w:noBreakHyphen/>
      </w:r>
      <w:r w:rsidR="006018C4">
        <w:fldChar w:fldCharType="begin"/>
      </w:r>
      <w:r w:rsidR="006018C4">
        <w:instrText xml:space="preserve"> SEQ Figure \* ARABIC \s 1 </w:instrText>
      </w:r>
      <w:r w:rsidR="006018C4">
        <w:fldChar w:fldCharType="separate"/>
      </w:r>
      <w:r>
        <w:rPr>
          <w:noProof/>
        </w:rPr>
        <w:t>1</w:t>
      </w:r>
      <w:r w:rsidR="006018C4">
        <w:rPr>
          <w:noProof/>
        </w:rPr>
        <w:fldChar w:fldCharType="end"/>
      </w:r>
      <w:bookmarkEnd w:id="11"/>
      <w:r>
        <w:t>:  PIP-II Linac Cavity Accelerating Voltage</w:t>
      </w:r>
    </w:p>
    <w:p w14:paraId="551F33E6" w14:textId="77777777" w:rsidR="00BC4246" w:rsidRDefault="00BC4246" w:rsidP="00D357C9">
      <w:pPr>
        <w:pStyle w:val="NotesBody11pt"/>
      </w:pPr>
    </w:p>
    <w:p w14:paraId="38547140" w14:textId="1ABAF1E0" w:rsidR="009E2B2F" w:rsidRDefault="009E2B2F" w:rsidP="005F6FFF">
      <w:pPr>
        <w:pStyle w:val="NotesBody11pt"/>
        <w:jc w:val="center"/>
      </w:pPr>
      <w:r>
        <w:rPr>
          <w:noProof/>
        </w:rPr>
        <w:lastRenderedPageBreak/>
        <w:drawing>
          <wp:inline distT="0" distB="0" distL="0" distR="0" wp14:anchorId="054AD0FE" wp14:editId="7F2A426E">
            <wp:extent cx="5605153" cy="3645725"/>
            <wp:effectExtent l="0" t="0" r="14605" b="12065"/>
            <wp:docPr id="2" name="Chart 2">
              <a:extLst xmlns:a="http://schemas.openxmlformats.org/drawingml/2006/main">
                <a:ext uri="{FF2B5EF4-FFF2-40B4-BE49-F238E27FC236}">
                  <a16:creationId xmlns:a16="http://schemas.microsoft.com/office/drawing/2014/main" id="{5BAC1612-E539-463D-864E-A62BC57564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C7BBD4" w14:textId="54C7EA05" w:rsidR="009D1292" w:rsidRDefault="009D1292" w:rsidP="009D1292">
      <w:pPr>
        <w:pStyle w:val="Caption"/>
        <w:jc w:val="center"/>
      </w:pPr>
      <w:bookmarkStart w:id="12" w:name="_Ref20897279"/>
      <w:r>
        <w:t xml:space="preserve">Figure </w:t>
      </w:r>
      <w:r w:rsidR="006018C4">
        <w:fldChar w:fldCharType="begin"/>
      </w:r>
      <w:r w:rsidR="006018C4">
        <w:instrText xml:space="preserve"> STYLEREF 1 \s </w:instrText>
      </w:r>
      <w:r w:rsidR="006018C4">
        <w:fldChar w:fldCharType="separate"/>
      </w:r>
      <w:r>
        <w:rPr>
          <w:noProof/>
        </w:rPr>
        <w:t>4</w:t>
      </w:r>
      <w:r w:rsidR="006018C4">
        <w:rPr>
          <w:noProof/>
        </w:rPr>
        <w:fldChar w:fldCharType="end"/>
      </w:r>
      <w:r>
        <w:noBreakHyphen/>
      </w:r>
      <w:r w:rsidR="006018C4">
        <w:fldChar w:fldCharType="begin"/>
      </w:r>
      <w:r w:rsidR="006018C4">
        <w:instrText xml:space="preserve"> SEQ Figure \* ARABIC \s 1 </w:instrText>
      </w:r>
      <w:r w:rsidR="006018C4">
        <w:fldChar w:fldCharType="separate"/>
      </w:r>
      <w:r>
        <w:rPr>
          <w:noProof/>
        </w:rPr>
        <w:t>2</w:t>
      </w:r>
      <w:r w:rsidR="006018C4">
        <w:rPr>
          <w:noProof/>
        </w:rPr>
        <w:fldChar w:fldCharType="end"/>
      </w:r>
      <w:bookmarkEnd w:id="12"/>
      <w:r>
        <w:t>:  PIP-II Linac Cavity Synchronous Phase</w:t>
      </w:r>
    </w:p>
    <w:p w14:paraId="14699537" w14:textId="77777777" w:rsidR="00D43D33" w:rsidRPr="00D43D33" w:rsidRDefault="00D43D33" w:rsidP="00D43D33">
      <w:pPr>
        <w:pStyle w:val="NotesBody11pt"/>
      </w:pPr>
    </w:p>
    <w:p w14:paraId="10DDEC87" w14:textId="77777777" w:rsidR="009D1292" w:rsidRDefault="009D1292" w:rsidP="005F6FFF">
      <w:pPr>
        <w:pStyle w:val="NotesBody11pt"/>
        <w:jc w:val="center"/>
      </w:pPr>
    </w:p>
    <w:p w14:paraId="544F89C0" w14:textId="77777777" w:rsidR="005B7DCB" w:rsidRDefault="005B7DCB" w:rsidP="005B7DCB">
      <w:pPr>
        <w:pStyle w:val="NotesBody11pt"/>
        <w:keepNext/>
        <w:jc w:val="center"/>
      </w:pPr>
      <w:r>
        <w:rPr>
          <w:noProof/>
        </w:rPr>
        <w:drawing>
          <wp:inline distT="0" distB="0" distL="0" distR="0" wp14:anchorId="6A76BFFE" wp14:editId="398FF811">
            <wp:extent cx="5564038" cy="3036498"/>
            <wp:effectExtent l="0" t="0" r="17780" b="12065"/>
            <wp:docPr id="5" name="Chart 5">
              <a:extLst xmlns:a="http://schemas.openxmlformats.org/drawingml/2006/main">
                <a:ext uri="{FF2B5EF4-FFF2-40B4-BE49-F238E27FC236}">
                  <a16:creationId xmlns:a16="http://schemas.microsoft.com/office/drawing/2014/main" id="{9B7CEE1B-5F48-4350-B989-2FA8F2A058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5B24B8" w14:textId="40E4AE51" w:rsidR="005B7DCB" w:rsidRDefault="005B7DCB" w:rsidP="005B7DCB">
      <w:pPr>
        <w:pStyle w:val="Caption"/>
        <w:jc w:val="center"/>
      </w:pPr>
      <w:r>
        <w:t xml:space="preserve">Figure </w:t>
      </w:r>
      <w:r w:rsidR="006018C4">
        <w:fldChar w:fldCharType="begin"/>
      </w:r>
      <w:r w:rsidR="006018C4">
        <w:instrText xml:space="preserve"> STYLEREF 1 \s </w:instrText>
      </w:r>
      <w:r w:rsidR="006018C4">
        <w:fldChar w:fldCharType="separate"/>
      </w:r>
      <w:r w:rsidR="005C3DAF">
        <w:rPr>
          <w:noProof/>
        </w:rPr>
        <w:t>4</w:t>
      </w:r>
      <w:r w:rsidR="006018C4">
        <w:rPr>
          <w:noProof/>
        </w:rPr>
        <w:fldChar w:fldCharType="end"/>
      </w:r>
      <w:r w:rsidR="005C3DAF">
        <w:noBreakHyphen/>
      </w:r>
      <w:r w:rsidR="006018C4">
        <w:fldChar w:fldCharType="begin"/>
      </w:r>
      <w:r w:rsidR="006018C4">
        <w:instrText xml:space="preserve"> SEQ Figure \* ARABIC \s 1 </w:instrText>
      </w:r>
      <w:r w:rsidR="006018C4">
        <w:fldChar w:fldCharType="separate"/>
      </w:r>
      <w:r w:rsidR="005C3DAF">
        <w:rPr>
          <w:noProof/>
        </w:rPr>
        <w:t>3</w:t>
      </w:r>
      <w:r w:rsidR="006018C4">
        <w:rPr>
          <w:noProof/>
        </w:rPr>
        <w:fldChar w:fldCharType="end"/>
      </w:r>
      <w:r>
        <w:t>:  PIP-II Cavity Transit Time Factor</w:t>
      </w:r>
    </w:p>
    <w:p w14:paraId="227C445F" w14:textId="77777777" w:rsidR="005F6FFF" w:rsidRDefault="005F6FFF" w:rsidP="00FC6DD6">
      <w:pPr>
        <w:pStyle w:val="NotesBody11pt"/>
      </w:pPr>
    </w:p>
    <w:p w14:paraId="089BE2FF" w14:textId="0D696E47" w:rsidR="008029A0" w:rsidRDefault="008029A0" w:rsidP="008029A0">
      <w:pPr>
        <w:pStyle w:val="Heading2"/>
      </w:pPr>
      <w:bookmarkStart w:id="13" w:name="_Toc26687933"/>
      <w:r>
        <w:lastRenderedPageBreak/>
        <w:t>Phase and amplitude stability</w:t>
      </w:r>
      <w:bookmarkEnd w:id="13"/>
    </w:p>
    <w:p w14:paraId="6FF18156" w14:textId="38349106" w:rsidR="00751776" w:rsidRDefault="00A87A24" w:rsidP="00FC6DD6">
      <w:pPr>
        <w:pStyle w:val="NotesBody11pt"/>
      </w:pPr>
      <w:r>
        <w:t>The b</w:t>
      </w:r>
      <w:r w:rsidR="003B7A33">
        <w:t>e</w:t>
      </w:r>
      <w:r>
        <w:t xml:space="preserve">am transport and the </w:t>
      </w:r>
      <w:r w:rsidR="00093DFE">
        <w:t xml:space="preserve">painting </w:t>
      </w:r>
      <w:r>
        <w:t>i</w:t>
      </w:r>
      <w:r w:rsidR="00073C16">
        <w:t xml:space="preserve">njection </w:t>
      </w:r>
      <w:r>
        <w:t xml:space="preserve">in the Booster require </w:t>
      </w:r>
      <w:r w:rsidR="003D5C83">
        <w:t xml:space="preserve">the beam energy to be stable within 0.01% rms. </w:t>
      </w:r>
      <w:r w:rsidR="004A660B">
        <w:t xml:space="preserve">The tight regulation of the beam energy will be achieved through </w:t>
      </w:r>
      <w:r w:rsidR="00D81BE1">
        <w:t>the</w:t>
      </w:r>
      <w:r w:rsidR="001669D5">
        <w:t xml:space="preserve"> RF-based </w:t>
      </w:r>
      <w:r w:rsidR="00D81BE1">
        <w:t xml:space="preserve">control of </w:t>
      </w:r>
      <w:r w:rsidR="00E272BB">
        <w:t>fast</w:t>
      </w:r>
      <w:r w:rsidR="003D3B27">
        <w:t xml:space="preserve"> (</w:t>
      </w:r>
      <w:r w:rsidR="00F24126">
        <w:t>&gt;</w:t>
      </w:r>
      <w:r w:rsidR="00825DE7">
        <w:t xml:space="preserve"> </w:t>
      </w:r>
      <w:r w:rsidR="001D3A84">
        <w:t>a few</w:t>
      </w:r>
      <w:r w:rsidR="00F24126">
        <w:t xml:space="preserve"> Hz</w:t>
      </w:r>
      <w:r w:rsidR="003D3B27">
        <w:t xml:space="preserve">) </w:t>
      </w:r>
      <w:r w:rsidR="00E272BB">
        <w:t xml:space="preserve">RF </w:t>
      </w:r>
      <w:r w:rsidR="00D81BE1">
        <w:t>field errors</w:t>
      </w:r>
      <w:r w:rsidR="001669D5">
        <w:t xml:space="preserve"> </w:t>
      </w:r>
      <w:r w:rsidR="00D81BE1">
        <w:t xml:space="preserve">and </w:t>
      </w:r>
      <w:r w:rsidR="00FA560E">
        <w:t xml:space="preserve">beam-based </w:t>
      </w:r>
      <w:r w:rsidR="00A37474">
        <w:t xml:space="preserve">control of </w:t>
      </w:r>
      <w:r w:rsidR="00285307">
        <w:t xml:space="preserve">slow drifts </w:t>
      </w:r>
      <w:r w:rsidR="00751776">
        <w:t>(</w:t>
      </w:r>
      <m:oMath>
        <m:r>
          <w:rPr>
            <w:rFonts w:ascii="Cambria Math" w:hAnsi="Cambria Math"/>
          </w:rPr>
          <m:t>≲</m:t>
        </m:r>
      </m:oMath>
      <w:r w:rsidR="001D3A84">
        <w:t>1</w:t>
      </w:r>
      <w:r w:rsidR="00751776">
        <w:t xml:space="preserve"> Hz).</w:t>
      </w:r>
      <w:r w:rsidR="001F3E5F">
        <w:t xml:space="preserve"> </w:t>
      </w:r>
      <w:r w:rsidR="00E91672">
        <w:t>Feedforward will be required to minimize impact of the R</w:t>
      </w:r>
      <w:r w:rsidR="00B201BE">
        <w:t xml:space="preserve">F field transient caused by the </w:t>
      </w:r>
      <w:r w:rsidR="00D9224F">
        <w:t xml:space="preserve">change in </w:t>
      </w:r>
      <w:r w:rsidR="00E91672">
        <w:t>beam loading</w:t>
      </w:r>
      <w:r w:rsidR="006F0D84">
        <w:t xml:space="preserve"> when </w:t>
      </w:r>
      <w:r w:rsidR="007B7086">
        <w:t xml:space="preserve">a </w:t>
      </w:r>
      <w:r w:rsidR="006F0D84">
        <w:t>beam pulse passes a cavity</w:t>
      </w:r>
      <w:r w:rsidR="00871870">
        <w:t xml:space="preserve">. </w:t>
      </w:r>
    </w:p>
    <w:p w14:paraId="60D5D65C" w14:textId="77777777" w:rsidR="00751776" w:rsidRDefault="00751776" w:rsidP="00FC6DD6">
      <w:pPr>
        <w:pStyle w:val="NotesBody11pt"/>
      </w:pPr>
    </w:p>
    <w:p w14:paraId="0112B466" w14:textId="233479B7" w:rsidR="005F6FFF" w:rsidRDefault="009A6D4C" w:rsidP="00FC6DD6">
      <w:pPr>
        <w:pStyle w:val="NotesBody11pt"/>
      </w:pPr>
      <w:r>
        <w:t>The</w:t>
      </w:r>
      <w:r w:rsidR="00FA520B">
        <w:t xml:space="preserve"> </w:t>
      </w:r>
      <w:r w:rsidR="00314EB4">
        <w:t xml:space="preserve">stability </w:t>
      </w:r>
      <w:r w:rsidR="005E64BA">
        <w:t xml:space="preserve">requirement for the </w:t>
      </w:r>
      <w:r w:rsidR="007437DB">
        <w:t>field</w:t>
      </w:r>
      <w:r w:rsidR="00282F9B">
        <w:t xml:space="preserve"> </w:t>
      </w:r>
      <w:r w:rsidR="00081DBB">
        <w:t>amplitude</w:t>
      </w:r>
      <w:r>
        <w:t xml:space="preserve"> and phase</w:t>
      </w:r>
      <w:r w:rsidR="00F17CAD">
        <w:t xml:space="preserve"> </w:t>
      </w:r>
      <w:r>
        <w:t xml:space="preserve">is given in </w:t>
      </w:r>
      <w:r w:rsidR="005F6FFF">
        <w:fldChar w:fldCharType="begin"/>
      </w:r>
      <w:r w:rsidR="005F6FFF">
        <w:instrText xml:space="preserve"> REF _Ref20896831 \h </w:instrText>
      </w:r>
      <w:r w:rsidR="005F6FFF">
        <w:fldChar w:fldCharType="separate"/>
      </w:r>
      <w:r w:rsidR="00C33A74">
        <w:t xml:space="preserve">Table </w:t>
      </w:r>
      <w:r w:rsidR="00C33A74">
        <w:rPr>
          <w:noProof/>
        </w:rPr>
        <w:t>4</w:t>
      </w:r>
      <w:r w:rsidR="00C33A74">
        <w:noBreakHyphen/>
      </w:r>
      <w:r w:rsidR="00C33A74">
        <w:rPr>
          <w:noProof/>
        </w:rPr>
        <w:t>2</w:t>
      </w:r>
      <w:r w:rsidR="005F6FFF">
        <w:fldChar w:fldCharType="end"/>
      </w:r>
      <w:r>
        <w:t>.</w:t>
      </w:r>
      <w:r w:rsidR="00FA3E50">
        <w:t xml:space="preserve"> The requirements are same for all types of </w:t>
      </w:r>
      <w:r w:rsidR="00600773">
        <w:t>SRF</w:t>
      </w:r>
      <w:r w:rsidR="002252A1">
        <w:t xml:space="preserve"> </w:t>
      </w:r>
      <w:r w:rsidR="00FA3E50">
        <w:t xml:space="preserve">cavities. </w:t>
      </w:r>
      <w:r w:rsidR="002A1882">
        <w:t xml:space="preserve">The requirements </w:t>
      </w:r>
      <w:r w:rsidR="003F2AFF">
        <w:t xml:space="preserve">were derived </w:t>
      </w:r>
      <w:r w:rsidR="00282F9B">
        <w:t xml:space="preserve">based on </w:t>
      </w:r>
      <w:r w:rsidR="00156A7C">
        <w:t xml:space="preserve">the </w:t>
      </w:r>
      <w:r w:rsidR="00282F9B">
        <w:t>results of</w:t>
      </w:r>
      <w:r w:rsidR="005B7AA5">
        <w:t xml:space="preserve"> particle simulations </w:t>
      </w:r>
      <w:r w:rsidR="00EA7E30">
        <w:t xml:space="preserve">described in </w:t>
      </w:r>
      <w:r w:rsidR="00911C00">
        <w:t>[</w:t>
      </w:r>
      <w:r w:rsidR="003A16CF">
        <w:t>4</w:t>
      </w:r>
      <w:r w:rsidR="00911C00">
        <w:t>]</w:t>
      </w:r>
      <w:r w:rsidR="005B7AA5">
        <w:t>.</w:t>
      </w:r>
      <w:r w:rsidR="003B572E">
        <w:t xml:space="preserve">  The simulations do not assume a time scale for the RF stability in the cavity, but </w:t>
      </w:r>
      <w:r w:rsidR="00961D8D">
        <w:t>this document assumes that drifts of the cavity phase that occur over 1 second of time are compensated with beam-based control.</w:t>
      </w:r>
    </w:p>
    <w:p w14:paraId="77EF3F59" w14:textId="77777777" w:rsidR="00E41E35" w:rsidRDefault="00E41E35" w:rsidP="00FC6DD6">
      <w:pPr>
        <w:pStyle w:val="NotesBody11pt"/>
      </w:pPr>
    </w:p>
    <w:p w14:paraId="5B9932B2" w14:textId="7E06A85B" w:rsidR="00E62DA2" w:rsidRDefault="00E62DA2" w:rsidP="00963619">
      <w:pPr>
        <w:pStyle w:val="Caption"/>
        <w:jc w:val="both"/>
      </w:pPr>
      <w:bookmarkStart w:id="14" w:name="_Ref20896831"/>
      <w:r>
        <w:t xml:space="preserve">Table </w:t>
      </w:r>
      <w:r w:rsidR="006018C4">
        <w:fldChar w:fldCharType="begin"/>
      </w:r>
      <w:r w:rsidR="006018C4">
        <w:instrText xml:space="preserve"> STYLEREF 1 \s </w:instrText>
      </w:r>
      <w:r w:rsidR="006018C4">
        <w:fldChar w:fldCharType="separate"/>
      </w:r>
      <w:r w:rsidR="00216CE9">
        <w:rPr>
          <w:noProof/>
        </w:rPr>
        <w:t>4</w:t>
      </w:r>
      <w:r w:rsidR="006018C4">
        <w:rPr>
          <w:noProof/>
        </w:rPr>
        <w:fldChar w:fldCharType="end"/>
      </w:r>
      <w:r w:rsidR="00216CE9">
        <w:noBreakHyphen/>
      </w:r>
      <w:r w:rsidR="006018C4">
        <w:fldChar w:fldCharType="begin"/>
      </w:r>
      <w:r w:rsidR="006018C4">
        <w:instrText xml:space="preserve"> SEQ Table \* ARABIC \s 1 </w:instrText>
      </w:r>
      <w:r w:rsidR="006018C4">
        <w:fldChar w:fldCharType="separate"/>
      </w:r>
      <w:r w:rsidR="00216CE9">
        <w:rPr>
          <w:noProof/>
        </w:rPr>
        <w:t>2</w:t>
      </w:r>
      <w:r w:rsidR="006018C4">
        <w:rPr>
          <w:noProof/>
        </w:rPr>
        <w:fldChar w:fldCharType="end"/>
      </w:r>
      <w:bookmarkEnd w:id="14"/>
      <w:r>
        <w:rPr>
          <w:noProof/>
        </w:rPr>
        <w:t>:  Cavity Voltage and Phase Stability Requirements</w:t>
      </w:r>
      <w:r w:rsidR="005534DB">
        <w:rPr>
          <w:noProof/>
        </w:rPr>
        <w:t>. The requirements are same for all types of PIP-II SRF cavities.</w:t>
      </w:r>
    </w:p>
    <w:tbl>
      <w:tblPr>
        <w:tblStyle w:val="TableGrid"/>
        <w:tblW w:w="5104" w:type="dxa"/>
        <w:jc w:val="center"/>
        <w:tblLook w:val="04A0" w:firstRow="1" w:lastRow="0" w:firstColumn="1" w:lastColumn="0" w:noHBand="0" w:noVBand="1"/>
      </w:tblPr>
      <w:tblGrid>
        <w:gridCol w:w="3628"/>
        <w:gridCol w:w="1476"/>
      </w:tblGrid>
      <w:tr w:rsidR="00AF55BD" w:rsidRPr="001443B9" w14:paraId="654ED767" w14:textId="77777777" w:rsidTr="001F6D5C">
        <w:trPr>
          <w:trHeight w:val="576"/>
          <w:jc w:val="center"/>
        </w:trPr>
        <w:tc>
          <w:tcPr>
            <w:tcW w:w="3628" w:type="dxa"/>
            <w:vAlign w:val="center"/>
          </w:tcPr>
          <w:p w14:paraId="268F0D1E" w14:textId="647DCADD" w:rsidR="00AF55BD" w:rsidRPr="001443B9" w:rsidRDefault="00AF55BD" w:rsidP="00AF55BD">
            <w:pPr>
              <w:pStyle w:val="NotesBody11pt"/>
              <w:rPr>
                <w:b/>
                <w:bCs/>
              </w:rPr>
            </w:pPr>
            <w:r w:rsidRPr="001443B9">
              <w:rPr>
                <w:b/>
                <w:bCs/>
              </w:rPr>
              <w:t>Para</w:t>
            </w:r>
            <w:r>
              <w:rPr>
                <w:b/>
                <w:bCs/>
              </w:rPr>
              <w:t>meter Description</w:t>
            </w:r>
          </w:p>
        </w:tc>
        <w:tc>
          <w:tcPr>
            <w:tcW w:w="1476" w:type="dxa"/>
            <w:vAlign w:val="center"/>
          </w:tcPr>
          <w:p w14:paraId="58F6EE12" w14:textId="263A367B" w:rsidR="00AF55BD" w:rsidRPr="001443B9" w:rsidRDefault="00EC5656" w:rsidP="00AF55BD">
            <w:pPr>
              <w:pStyle w:val="NotesBody11pt"/>
              <w:jc w:val="center"/>
              <w:rPr>
                <w:b/>
                <w:bCs/>
              </w:rPr>
            </w:pPr>
            <w:r>
              <w:rPr>
                <w:b/>
                <w:bCs/>
              </w:rPr>
              <w:t xml:space="preserve">RMS </w:t>
            </w:r>
            <w:r w:rsidR="00AF55BD">
              <w:rPr>
                <w:b/>
                <w:bCs/>
              </w:rPr>
              <w:t>Value</w:t>
            </w:r>
          </w:p>
        </w:tc>
      </w:tr>
      <w:tr w:rsidR="00AF55BD" w:rsidRPr="001443B9" w14:paraId="53BEF129" w14:textId="77777777" w:rsidTr="001F6D5C">
        <w:trPr>
          <w:trHeight w:val="576"/>
          <w:jc w:val="center"/>
        </w:trPr>
        <w:tc>
          <w:tcPr>
            <w:tcW w:w="3628" w:type="dxa"/>
            <w:vAlign w:val="center"/>
          </w:tcPr>
          <w:p w14:paraId="1CAA6CBA" w14:textId="4FBC10F0" w:rsidR="00AF55BD" w:rsidRPr="001443B9" w:rsidRDefault="00AF55BD" w:rsidP="00AF55BD">
            <w:pPr>
              <w:pStyle w:val="NotesBody11pt"/>
              <w:jc w:val="left"/>
            </w:pPr>
            <w:r>
              <w:t xml:space="preserve">Cavity Voltage Amplitude </w:t>
            </w:r>
            <w:r w:rsidR="000A13D2">
              <w:t>Stability</w:t>
            </w:r>
          </w:p>
        </w:tc>
        <w:tc>
          <w:tcPr>
            <w:tcW w:w="1476" w:type="dxa"/>
            <w:vAlign w:val="center"/>
          </w:tcPr>
          <w:p w14:paraId="5119DB09" w14:textId="208C8E07" w:rsidR="00AF55BD" w:rsidRPr="001443B9" w:rsidRDefault="00AF55BD" w:rsidP="00AF55BD">
            <w:pPr>
              <w:pStyle w:val="NotesBody11pt"/>
              <w:jc w:val="center"/>
            </w:pPr>
            <w:r>
              <w:t>0.065%</w:t>
            </w:r>
          </w:p>
        </w:tc>
      </w:tr>
      <w:tr w:rsidR="00AF55BD" w:rsidRPr="001443B9" w14:paraId="6D1DDB92" w14:textId="77777777" w:rsidTr="001F6D5C">
        <w:trPr>
          <w:trHeight w:val="576"/>
          <w:jc w:val="center"/>
        </w:trPr>
        <w:tc>
          <w:tcPr>
            <w:tcW w:w="3628" w:type="dxa"/>
            <w:vAlign w:val="center"/>
          </w:tcPr>
          <w:p w14:paraId="5F369A7E" w14:textId="00ACE057" w:rsidR="00AF55BD" w:rsidRPr="001443B9" w:rsidRDefault="00AF55BD" w:rsidP="00AF55BD">
            <w:pPr>
              <w:pStyle w:val="NotesBody11pt"/>
              <w:jc w:val="left"/>
            </w:pPr>
            <w:r>
              <w:t xml:space="preserve">Cavity Phase </w:t>
            </w:r>
            <w:r w:rsidR="000A13D2">
              <w:t>Stability</w:t>
            </w:r>
          </w:p>
        </w:tc>
        <w:tc>
          <w:tcPr>
            <w:tcW w:w="1476" w:type="dxa"/>
            <w:vAlign w:val="center"/>
          </w:tcPr>
          <w:p w14:paraId="4CD1C37E" w14:textId="1F17607C" w:rsidR="00AF55BD" w:rsidRPr="001443B9" w:rsidRDefault="00AF55BD" w:rsidP="00AF55BD">
            <w:pPr>
              <w:pStyle w:val="NotesBody11pt"/>
              <w:jc w:val="center"/>
            </w:pPr>
            <w:r>
              <w:t>0.065</w:t>
            </w:r>
            <w:r>
              <w:sym w:font="Symbol" w:char="F0B0"/>
            </w:r>
          </w:p>
        </w:tc>
      </w:tr>
    </w:tbl>
    <w:p w14:paraId="0B5BB4B5" w14:textId="2578AD6C" w:rsidR="005F6FFF" w:rsidRDefault="005F6FFF" w:rsidP="00FC6DD6">
      <w:pPr>
        <w:pStyle w:val="NotesBody11pt"/>
      </w:pPr>
    </w:p>
    <w:p w14:paraId="21A1C41B" w14:textId="77777777" w:rsidR="00855B20" w:rsidRPr="006739AD" w:rsidRDefault="00855B20" w:rsidP="00FC6DD6">
      <w:pPr>
        <w:pStyle w:val="NotesBody11pt"/>
      </w:pPr>
    </w:p>
    <w:p w14:paraId="0CD5BA7E" w14:textId="128E592A" w:rsidR="00245C6F" w:rsidRDefault="00B51E8F" w:rsidP="005936E7">
      <w:pPr>
        <w:pStyle w:val="Heading1"/>
      </w:pPr>
      <w:bookmarkStart w:id="15" w:name="_Toc26687934"/>
      <w:r>
        <w:t>General RF System Conceptual Design</w:t>
      </w:r>
      <w:bookmarkEnd w:id="15"/>
    </w:p>
    <w:p w14:paraId="79FF5155" w14:textId="0B54B9FE" w:rsidR="00B51E8F" w:rsidRDefault="00763C07" w:rsidP="00B51E8F">
      <w:pPr>
        <w:pStyle w:val="NotesBody11pt"/>
      </w:pPr>
      <w:r>
        <w:t xml:space="preserve">The </w:t>
      </w:r>
      <w:r w:rsidR="00BE7508">
        <w:t xml:space="preserve">block diagram of the RF System conceptual design is shown in </w:t>
      </w:r>
      <w:r w:rsidR="005F6FFF">
        <w:fldChar w:fldCharType="begin"/>
      </w:r>
      <w:r w:rsidR="005F6FFF">
        <w:instrText xml:space="preserve"> REF _Ref20897311 \h </w:instrText>
      </w:r>
      <w:r w:rsidR="005F6FFF">
        <w:fldChar w:fldCharType="separate"/>
      </w:r>
      <w:r w:rsidR="00C33A74">
        <w:t xml:space="preserve">Figure </w:t>
      </w:r>
      <w:r w:rsidR="00C33A74">
        <w:rPr>
          <w:noProof/>
        </w:rPr>
        <w:t>5</w:t>
      </w:r>
      <w:r w:rsidR="00C33A74">
        <w:noBreakHyphen/>
      </w:r>
      <w:r w:rsidR="00C33A74">
        <w:rPr>
          <w:noProof/>
        </w:rPr>
        <w:t>1</w:t>
      </w:r>
      <w:r w:rsidR="005F6FFF">
        <w:fldChar w:fldCharType="end"/>
      </w:r>
      <w:r w:rsidR="00BE7508">
        <w:t xml:space="preserve">.  </w:t>
      </w:r>
      <w:r w:rsidR="00756C7F">
        <w:t>The diagram shows the three major subsystems within the scope of the RF system design.  This includes a cavity with its associated input coupler, field probe, and tuner; a</w:t>
      </w:r>
      <w:r w:rsidR="00C83738">
        <w:t>n</w:t>
      </w:r>
      <w:r w:rsidR="00756C7F">
        <w:t xml:space="preserve"> RF power amplifier with its associate transmission line and directional coupler; and a LLRF system that provides the </w:t>
      </w:r>
      <w:r w:rsidR="003C5439">
        <w:t>RF signal reference that maintains the cavity field and synchronous phase.</w:t>
      </w:r>
      <w:r w:rsidR="00636B1C">
        <w:t xml:space="preserve">  The diagram also shows two systems that are outside the scope of the RF system, timing and controls.</w:t>
      </w:r>
    </w:p>
    <w:p w14:paraId="364303D4" w14:textId="77777777" w:rsidR="005F6FFF" w:rsidRDefault="005F6FFF" w:rsidP="00B51E8F">
      <w:pPr>
        <w:pStyle w:val="NotesBody11pt"/>
      </w:pPr>
    </w:p>
    <w:p w14:paraId="347A8B17" w14:textId="7B77FFFB" w:rsidR="005F6FFF" w:rsidRDefault="00636B1C" w:rsidP="00B51E8F">
      <w:pPr>
        <w:pStyle w:val="NotesBody11pt"/>
      </w:pPr>
      <w:r>
        <w:t xml:space="preserve">The conceptual design diagram also identifies interfaces that are necessary to define the technical specifications between the subsystems in this document.  Some interfaces between the RF system and the timing and control system are also required to </w:t>
      </w:r>
      <w:r w:rsidR="00F11BA2">
        <w:t>define technical specifications in this document. This design diagram does not include interlocks interfaces or general controls and data acquisition interfaces.  These will not be covered in this design document.</w:t>
      </w:r>
    </w:p>
    <w:p w14:paraId="3C358E0C" w14:textId="77777777" w:rsidR="00FA5D8D" w:rsidRDefault="00FA5D8D" w:rsidP="00B51E8F">
      <w:pPr>
        <w:pStyle w:val="NotesBody11pt"/>
      </w:pPr>
    </w:p>
    <w:p w14:paraId="5AD4548A" w14:textId="77777777" w:rsidR="00FA5D8D" w:rsidRDefault="00FA5D8D" w:rsidP="00B51E8F">
      <w:pPr>
        <w:pStyle w:val="NotesBody11pt"/>
      </w:pPr>
    </w:p>
    <w:p w14:paraId="48C9A14F" w14:textId="77777777" w:rsidR="00F11BA2" w:rsidRDefault="00F11BA2" w:rsidP="005F6FFF">
      <w:pPr>
        <w:pStyle w:val="NotesBody11pt"/>
        <w:keepNext/>
        <w:jc w:val="center"/>
      </w:pPr>
      <w:r w:rsidRPr="00F11BA2">
        <w:rPr>
          <w:noProof/>
        </w:rPr>
        <w:lastRenderedPageBreak/>
        <w:drawing>
          <wp:inline distT="0" distB="0" distL="0" distR="0" wp14:anchorId="344F7A34" wp14:editId="163FDAFD">
            <wp:extent cx="6399408" cy="261257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0786" cy="2621298"/>
                    </a:xfrm>
                    <a:prstGeom prst="rect">
                      <a:avLst/>
                    </a:prstGeom>
                    <a:noFill/>
                    <a:ln>
                      <a:noFill/>
                    </a:ln>
                  </pic:spPr>
                </pic:pic>
              </a:graphicData>
            </a:graphic>
          </wp:inline>
        </w:drawing>
      </w:r>
    </w:p>
    <w:p w14:paraId="7A3E1CFA" w14:textId="0F9C498A" w:rsidR="00F11BA2" w:rsidRDefault="00F11BA2" w:rsidP="00F11BA2">
      <w:pPr>
        <w:pStyle w:val="Caption"/>
        <w:jc w:val="center"/>
      </w:pPr>
      <w:bookmarkStart w:id="16" w:name="_Ref20897311"/>
      <w:r>
        <w:t xml:space="preserve">Figure </w:t>
      </w:r>
      <w:r w:rsidR="006018C4">
        <w:fldChar w:fldCharType="begin"/>
      </w:r>
      <w:r w:rsidR="006018C4">
        <w:instrText xml:space="preserve"> STYLEREF 1 \s </w:instrText>
      </w:r>
      <w:r w:rsidR="006018C4">
        <w:fldChar w:fldCharType="separate"/>
      </w:r>
      <w:r w:rsidR="005C3DAF">
        <w:rPr>
          <w:noProof/>
        </w:rPr>
        <w:t>5</w:t>
      </w:r>
      <w:r w:rsidR="006018C4">
        <w:rPr>
          <w:noProof/>
        </w:rPr>
        <w:fldChar w:fldCharType="end"/>
      </w:r>
      <w:r w:rsidR="005C3DAF">
        <w:noBreakHyphen/>
      </w:r>
      <w:r w:rsidR="006018C4">
        <w:fldChar w:fldCharType="begin"/>
      </w:r>
      <w:r w:rsidR="006018C4">
        <w:instrText xml:space="preserve"> SEQ Figure \* ARABIC \s 1 </w:instrText>
      </w:r>
      <w:r w:rsidR="006018C4">
        <w:fldChar w:fldCharType="separate"/>
      </w:r>
      <w:r w:rsidR="005C3DAF">
        <w:rPr>
          <w:noProof/>
        </w:rPr>
        <w:t>1</w:t>
      </w:r>
      <w:r w:rsidR="006018C4">
        <w:rPr>
          <w:noProof/>
        </w:rPr>
        <w:fldChar w:fldCharType="end"/>
      </w:r>
      <w:bookmarkEnd w:id="16"/>
      <w:r>
        <w:t>:  General RF System Conceptual Block Diagram</w:t>
      </w:r>
    </w:p>
    <w:p w14:paraId="65905870" w14:textId="77777777" w:rsidR="00FA5D8D" w:rsidRPr="00FA5D8D" w:rsidRDefault="00FA5D8D" w:rsidP="00FA5D8D">
      <w:pPr>
        <w:pStyle w:val="NotesBody11pt"/>
      </w:pPr>
    </w:p>
    <w:p w14:paraId="1740CE6D" w14:textId="4ED24C6B" w:rsidR="00F975DD" w:rsidRDefault="00F975DD" w:rsidP="005936E7">
      <w:pPr>
        <w:pStyle w:val="Heading1"/>
      </w:pPr>
      <w:bookmarkStart w:id="17" w:name="_Ref26597215"/>
      <w:bookmarkStart w:id="18" w:name="_Toc26687935"/>
      <w:r>
        <w:t>SRF Cavity RF</w:t>
      </w:r>
      <w:bookmarkEnd w:id="17"/>
      <w:bookmarkEnd w:id="18"/>
    </w:p>
    <w:p w14:paraId="74CA76D7" w14:textId="6FA0C1AB" w:rsidR="00F975DD" w:rsidRDefault="00F975DD" w:rsidP="00F975DD">
      <w:pPr>
        <w:pStyle w:val="NotesBody11pt"/>
      </w:pPr>
      <w:r>
        <w:t xml:space="preserve">This section describes the power demands and RF manipulations </w:t>
      </w:r>
      <w:r w:rsidR="00442598">
        <w:t>parameters required for operating the SRF section of the PIP-II Linac.</w:t>
      </w:r>
    </w:p>
    <w:p w14:paraId="0532BB01" w14:textId="38E20E66" w:rsidR="002128AB" w:rsidRDefault="002128AB" w:rsidP="002128AB">
      <w:pPr>
        <w:pStyle w:val="Heading2"/>
      </w:pPr>
      <w:bookmarkStart w:id="19" w:name="_Toc26687936"/>
      <w:r>
        <w:t>LLRF Dynamics</w:t>
      </w:r>
      <w:bookmarkEnd w:id="19"/>
    </w:p>
    <w:p w14:paraId="1879C989" w14:textId="6864839B" w:rsidR="00B16616" w:rsidRDefault="002128AB" w:rsidP="002128AB">
      <w:pPr>
        <w:pStyle w:val="NotesBody11pt"/>
      </w:pPr>
      <w:r>
        <w:t>T</w:t>
      </w:r>
      <w:r w:rsidR="00311650">
        <w:t xml:space="preserve">he most demanding specifications on LLRF dynamics occurs when beam is injected into an SRF cavity.  Power demands of the cavity increase by about a factor of four almost instantaneously.  If the LLRF system </w:t>
      </w:r>
      <w:r w:rsidR="0009570B">
        <w:t>responds too slowly</w:t>
      </w:r>
      <w:r w:rsidR="00E92A28">
        <w:t xml:space="preserve">, the error in the cavity gradient and phase will disrupt the </w:t>
      </w:r>
      <w:r w:rsidR="00B03D91">
        <w:t xml:space="preserve">front of the beam pulse.  </w:t>
      </w:r>
      <w:r w:rsidR="00D766AF">
        <w:t xml:space="preserve">A simulation described in </w:t>
      </w:r>
      <w:r w:rsidR="007D7391">
        <w:t>[</w:t>
      </w:r>
      <w:r w:rsidR="00A8770B">
        <w:t>5</w:t>
      </w:r>
      <w:r w:rsidR="007D7391">
        <w:t>]</w:t>
      </w:r>
      <w:r w:rsidR="00D766AF">
        <w:t xml:space="preserve"> shows a configuration of the RF system that can keep the gradient error below 0.065% with a 2</w:t>
      </w:r>
      <w:r w:rsidR="00AB4311">
        <w:t xml:space="preserve"> </w:t>
      </w:r>
      <w:r w:rsidR="00D766AF">
        <w:t xml:space="preserve">mA beam pulse.  </w:t>
      </w:r>
      <w:r w:rsidR="00AB4311">
        <w:fldChar w:fldCharType="begin"/>
      </w:r>
      <w:r w:rsidR="00AB4311">
        <w:instrText xml:space="preserve"> REF _Ref26539530 \h </w:instrText>
      </w:r>
      <w:r w:rsidR="00AB4311">
        <w:fldChar w:fldCharType="separate"/>
      </w:r>
      <w:r w:rsidR="00AB4311">
        <w:t xml:space="preserve">Table </w:t>
      </w:r>
      <w:r w:rsidR="00AB4311">
        <w:rPr>
          <w:noProof/>
        </w:rPr>
        <w:t>6</w:t>
      </w:r>
      <w:r w:rsidR="00AB4311">
        <w:noBreakHyphen/>
      </w:r>
      <w:r w:rsidR="00AB4311">
        <w:rPr>
          <w:noProof/>
        </w:rPr>
        <w:t>1</w:t>
      </w:r>
      <w:r w:rsidR="00AB4311">
        <w:fldChar w:fldCharType="end"/>
      </w:r>
      <w:r w:rsidR="00D766AF">
        <w:t xml:space="preserve"> shows the </w:t>
      </w:r>
      <w:r w:rsidR="00E23E11">
        <w:t>concluding results of the simulation in terms of delay budget, proportional gain, and allowable errors in RF feedforward.</w:t>
      </w:r>
    </w:p>
    <w:p w14:paraId="67D57186" w14:textId="77777777" w:rsidR="00AB1230" w:rsidRPr="00933E03" w:rsidRDefault="00AB1230" w:rsidP="00933E03">
      <w:pPr>
        <w:pStyle w:val="NotesBody11pt"/>
      </w:pPr>
    </w:p>
    <w:p w14:paraId="10286F6A" w14:textId="40C2D389" w:rsidR="00335673" w:rsidRDefault="00335673" w:rsidP="00933E03">
      <w:pPr>
        <w:pStyle w:val="Caption"/>
        <w:jc w:val="center"/>
      </w:pPr>
      <w:bookmarkStart w:id="20" w:name="_Ref26539530"/>
      <w:r>
        <w:t xml:space="preserve">Table </w:t>
      </w:r>
      <w:r w:rsidR="006018C4">
        <w:fldChar w:fldCharType="begin"/>
      </w:r>
      <w:r w:rsidR="006018C4">
        <w:instrText xml:space="preserve"> STYLEREF 1 \s </w:instrText>
      </w:r>
      <w:r w:rsidR="006018C4">
        <w:fldChar w:fldCharType="separate"/>
      </w:r>
      <w:r w:rsidR="00216CE9">
        <w:rPr>
          <w:noProof/>
        </w:rPr>
        <w:t>6</w:t>
      </w:r>
      <w:r w:rsidR="006018C4">
        <w:rPr>
          <w:noProof/>
        </w:rPr>
        <w:fldChar w:fldCharType="end"/>
      </w:r>
      <w:r w:rsidR="00216CE9">
        <w:noBreakHyphen/>
      </w:r>
      <w:r w:rsidR="006018C4">
        <w:fldChar w:fldCharType="begin"/>
      </w:r>
      <w:r w:rsidR="006018C4">
        <w:instrText xml:space="preserve"> SEQ Table \* ARABIC \s 1 </w:instrText>
      </w:r>
      <w:r w:rsidR="006018C4">
        <w:fldChar w:fldCharType="separate"/>
      </w:r>
      <w:r w:rsidR="00216CE9">
        <w:rPr>
          <w:noProof/>
        </w:rPr>
        <w:t>1</w:t>
      </w:r>
      <w:r w:rsidR="006018C4">
        <w:rPr>
          <w:noProof/>
        </w:rPr>
        <w:fldChar w:fldCharType="end"/>
      </w:r>
      <w:bookmarkEnd w:id="20"/>
      <w:r>
        <w:t>:  LLRF Dynamics Specifications</w:t>
      </w:r>
    </w:p>
    <w:tbl>
      <w:tblPr>
        <w:tblStyle w:val="TableGrid"/>
        <w:tblW w:w="0" w:type="auto"/>
        <w:jc w:val="center"/>
        <w:tblLook w:val="04A0" w:firstRow="1" w:lastRow="0" w:firstColumn="1" w:lastColumn="0" w:noHBand="0" w:noVBand="1"/>
      </w:tblPr>
      <w:tblGrid>
        <w:gridCol w:w="4135"/>
        <w:gridCol w:w="2070"/>
      </w:tblGrid>
      <w:tr w:rsidR="00B60A08" w14:paraId="2C15CA9B" w14:textId="77777777" w:rsidTr="009E2EB1">
        <w:trPr>
          <w:trHeight w:val="360"/>
          <w:jc w:val="center"/>
        </w:trPr>
        <w:tc>
          <w:tcPr>
            <w:tcW w:w="4135" w:type="dxa"/>
            <w:vAlign w:val="center"/>
          </w:tcPr>
          <w:p w14:paraId="491FF5CA" w14:textId="10DCF8EF" w:rsidR="00B60A08" w:rsidRPr="00714ED1" w:rsidRDefault="00933E03" w:rsidP="000F1EE8">
            <w:pPr>
              <w:pStyle w:val="NotesBody11pt"/>
              <w:rPr>
                <w:b/>
              </w:rPr>
            </w:pPr>
            <w:r w:rsidRPr="00714ED1">
              <w:rPr>
                <w:b/>
              </w:rPr>
              <w:t>Parameter</w:t>
            </w:r>
          </w:p>
        </w:tc>
        <w:tc>
          <w:tcPr>
            <w:tcW w:w="2070" w:type="dxa"/>
            <w:vAlign w:val="center"/>
          </w:tcPr>
          <w:p w14:paraId="6A2517FA" w14:textId="73CA0278" w:rsidR="00B60A08" w:rsidRPr="00714ED1" w:rsidRDefault="00714ED1" w:rsidP="009F6EC5">
            <w:pPr>
              <w:pStyle w:val="NotesBody11pt"/>
              <w:jc w:val="center"/>
              <w:rPr>
                <w:b/>
              </w:rPr>
            </w:pPr>
            <w:r w:rsidRPr="00714ED1">
              <w:rPr>
                <w:b/>
              </w:rPr>
              <w:t>Value</w:t>
            </w:r>
          </w:p>
        </w:tc>
      </w:tr>
      <w:tr w:rsidR="00933E03" w14:paraId="2DB59611" w14:textId="77777777" w:rsidTr="009E2EB1">
        <w:trPr>
          <w:trHeight w:val="360"/>
          <w:jc w:val="center"/>
        </w:trPr>
        <w:tc>
          <w:tcPr>
            <w:tcW w:w="4135" w:type="dxa"/>
            <w:vAlign w:val="center"/>
          </w:tcPr>
          <w:p w14:paraId="53DE6EBB" w14:textId="42C04F6E" w:rsidR="00933E03" w:rsidRDefault="00933E03" w:rsidP="000F1EE8">
            <w:pPr>
              <w:pStyle w:val="NotesBody11pt"/>
            </w:pPr>
            <w:r>
              <w:t>Delay Budget</w:t>
            </w:r>
          </w:p>
        </w:tc>
        <w:tc>
          <w:tcPr>
            <w:tcW w:w="2070" w:type="dxa"/>
            <w:vAlign w:val="center"/>
          </w:tcPr>
          <w:p w14:paraId="174ADAB8" w14:textId="6C0A56DA" w:rsidR="00933E03" w:rsidRDefault="00933E03" w:rsidP="009F6EC5">
            <w:pPr>
              <w:pStyle w:val="NotesBody11pt"/>
              <w:jc w:val="center"/>
            </w:pPr>
            <w:r>
              <w:t>5000 us max</w:t>
            </w:r>
          </w:p>
        </w:tc>
      </w:tr>
      <w:tr w:rsidR="00B60A08" w14:paraId="5B1E01A4" w14:textId="77777777" w:rsidTr="009E2EB1">
        <w:trPr>
          <w:trHeight w:val="360"/>
          <w:jc w:val="center"/>
        </w:trPr>
        <w:tc>
          <w:tcPr>
            <w:tcW w:w="4135" w:type="dxa"/>
            <w:vAlign w:val="center"/>
          </w:tcPr>
          <w:p w14:paraId="5B0A6EA7" w14:textId="3F8D2335" w:rsidR="00B60A08" w:rsidRDefault="00B60A08" w:rsidP="00B16616">
            <w:pPr>
              <w:pStyle w:val="NotesBody11pt"/>
              <w:ind w:left="432"/>
            </w:pPr>
            <w:r>
              <w:t>Amplifier Delay</w:t>
            </w:r>
          </w:p>
        </w:tc>
        <w:tc>
          <w:tcPr>
            <w:tcW w:w="2070" w:type="dxa"/>
            <w:vAlign w:val="center"/>
          </w:tcPr>
          <w:p w14:paraId="3A43EE69" w14:textId="64857E3F" w:rsidR="00B60A08" w:rsidRDefault="00B60A08" w:rsidP="009F6EC5">
            <w:pPr>
              <w:pStyle w:val="NotesBody11pt"/>
              <w:jc w:val="center"/>
            </w:pPr>
            <w:r>
              <w:t>100</w:t>
            </w:r>
            <w:r w:rsidR="002D0080">
              <w:t xml:space="preserve"> </w:t>
            </w:r>
            <w:r>
              <w:t>ns max</w:t>
            </w:r>
          </w:p>
        </w:tc>
      </w:tr>
      <w:tr w:rsidR="00B60A08" w14:paraId="00B11B8B" w14:textId="77777777" w:rsidTr="009E2EB1">
        <w:trPr>
          <w:trHeight w:val="360"/>
          <w:jc w:val="center"/>
        </w:trPr>
        <w:tc>
          <w:tcPr>
            <w:tcW w:w="4135" w:type="dxa"/>
            <w:vAlign w:val="center"/>
          </w:tcPr>
          <w:p w14:paraId="2931E611" w14:textId="5ADB2DBB" w:rsidR="00B60A08" w:rsidRDefault="00B60A08" w:rsidP="00B16616">
            <w:pPr>
              <w:pStyle w:val="NotesBody11pt"/>
              <w:ind w:left="432"/>
            </w:pPr>
            <w:r>
              <w:t>RF Power Distribution Delay</w:t>
            </w:r>
          </w:p>
        </w:tc>
        <w:tc>
          <w:tcPr>
            <w:tcW w:w="2070" w:type="dxa"/>
            <w:vAlign w:val="center"/>
          </w:tcPr>
          <w:p w14:paraId="7A53ECD2" w14:textId="70491D76" w:rsidR="00B60A08" w:rsidRDefault="00B60A08" w:rsidP="009F6EC5">
            <w:pPr>
              <w:pStyle w:val="NotesBody11pt"/>
              <w:jc w:val="center"/>
            </w:pPr>
            <w:r>
              <w:t>500</w:t>
            </w:r>
            <w:r w:rsidR="002D0080">
              <w:t xml:space="preserve"> </w:t>
            </w:r>
            <w:r>
              <w:t>ns max</w:t>
            </w:r>
          </w:p>
        </w:tc>
      </w:tr>
      <w:tr w:rsidR="00B60A08" w14:paraId="08C83DD4" w14:textId="77777777" w:rsidTr="009E2EB1">
        <w:trPr>
          <w:trHeight w:val="360"/>
          <w:jc w:val="center"/>
        </w:trPr>
        <w:tc>
          <w:tcPr>
            <w:tcW w:w="4135" w:type="dxa"/>
            <w:vAlign w:val="center"/>
          </w:tcPr>
          <w:p w14:paraId="257A62AA" w14:textId="133D745F" w:rsidR="00B60A08" w:rsidRDefault="00B60A08" w:rsidP="00B16616">
            <w:pPr>
              <w:pStyle w:val="NotesBody11pt"/>
              <w:ind w:left="432"/>
            </w:pPr>
            <w:r>
              <w:t>RF Fanback and Drive Delay</w:t>
            </w:r>
          </w:p>
        </w:tc>
        <w:tc>
          <w:tcPr>
            <w:tcW w:w="2070" w:type="dxa"/>
            <w:vAlign w:val="center"/>
          </w:tcPr>
          <w:p w14:paraId="6327CBF4" w14:textId="3FFC36B9" w:rsidR="00B60A08" w:rsidRDefault="00B60A08" w:rsidP="009F6EC5">
            <w:pPr>
              <w:pStyle w:val="NotesBody11pt"/>
              <w:jc w:val="center"/>
            </w:pPr>
            <w:r>
              <w:t>600</w:t>
            </w:r>
            <w:r w:rsidR="002D0080">
              <w:t xml:space="preserve"> </w:t>
            </w:r>
            <w:r>
              <w:t>ns max</w:t>
            </w:r>
          </w:p>
        </w:tc>
      </w:tr>
      <w:tr w:rsidR="00B60A08" w14:paraId="4D716700" w14:textId="77777777" w:rsidTr="009E2EB1">
        <w:trPr>
          <w:trHeight w:val="360"/>
          <w:jc w:val="center"/>
        </w:trPr>
        <w:tc>
          <w:tcPr>
            <w:tcW w:w="4135" w:type="dxa"/>
            <w:vAlign w:val="center"/>
          </w:tcPr>
          <w:p w14:paraId="04F89249" w14:textId="4A412967" w:rsidR="00B60A08" w:rsidRDefault="00B60A08" w:rsidP="00B16616">
            <w:pPr>
              <w:pStyle w:val="NotesBody11pt"/>
              <w:ind w:left="432"/>
            </w:pPr>
            <w:r>
              <w:t>LLRF System Delay</w:t>
            </w:r>
          </w:p>
        </w:tc>
        <w:tc>
          <w:tcPr>
            <w:tcW w:w="2070" w:type="dxa"/>
            <w:vAlign w:val="center"/>
          </w:tcPr>
          <w:p w14:paraId="4F10AAB3" w14:textId="49CC1E9D" w:rsidR="00B60A08" w:rsidRDefault="00B60A08" w:rsidP="009F6EC5">
            <w:pPr>
              <w:pStyle w:val="NotesBody11pt"/>
              <w:jc w:val="center"/>
            </w:pPr>
            <w:r>
              <w:t>3800</w:t>
            </w:r>
            <w:r w:rsidR="002D0080">
              <w:t xml:space="preserve"> </w:t>
            </w:r>
            <w:r>
              <w:t>ns max</w:t>
            </w:r>
          </w:p>
        </w:tc>
      </w:tr>
      <w:tr w:rsidR="00B60A08" w14:paraId="66AEF0A5" w14:textId="77777777" w:rsidTr="009E2EB1">
        <w:trPr>
          <w:trHeight w:val="360"/>
          <w:jc w:val="center"/>
        </w:trPr>
        <w:tc>
          <w:tcPr>
            <w:tcW w:w="4135" w:type="dxa"/>
            <w:vAlign w:val="center"/>
          </w:tcPr>
          <w:p w14:paraId="128939E7" w14:textId="6ED23CE0" w:rsidR="00B60A08" w:rsidRDefault="00C202DB" w:rsidP="000F1EE8">
            <w:pPr>
              <w:pStyle w:val="NotesBody11pt"/>
            </w:pPr>
            <w:r>
              <w:t>LLRF System Proportional Gain</w:t>
            </w:r>
          </w:p>
        </w:tc>
        <w:tc>
          <w:tcPr>
            <w:tcW w:w="2070" w:type="dxa"/>
            <w:vAlign w:val="center"/>
          </w:tcPr>
          <w:p w14:paraId="357F10A9" w14:textId="36BF4AD9" w:rsidR="00B60A08" w:rsidRDefault="00C202DB" w:rsidP="009F6EC5">
            <w:pPr>
              <w:pStyle w:val="NotesBody11pt"/>
              <w:jc w:val="center"/>
            </w:pPr>
            <w:r>
              <w:t>40</w:t>
            </w:r>
            <w:r w:rsidR="002D0080">
              <w:t xml:space="preserve"> </w:t>
            </w:r>
            <w:r>
              <w:t>dB min</w:t>
            </w:r>
          </w:p>
        </w:tc>
      </w:tr>
      <w:tr w:rsidR="00B60A08" w14:paraId="6BCE6BB4" w14:textId="77777777" w:rsidTr="009E2EB1">
        <w:trPr>
          <w:trHeight w:val="360"/>
          <w:jc w:val="center"/>
        </w:trPr>
        <w:tc>
          <w:tcPr>
            <w:tcW w:w="4135" w:type="dxa"/>
            <w:vAlign w:val="center"/>
          </w:tcPr>
          <w:p w14:paraId="6052CE32" w14:textId="7EDEDC45" w:rsidR="00B60A08" w:rsidRDefault="00C202DB" w:rsidP="000F1EE8">
            <w:pPr>
              <w:pStyle w:val="NotesBody11pt"/>
            </w:pPr>
            <w:r>
              <w:t xml:space="preserve">Feedforward </w:t>
            </w:r>
            <w:r w:rsidR="006248E3">
              <w:t xml:space="preserve">Error </w:t>
            </w:r>
            <w:r>
              <w:t>Vector Magnitude</w:t>
            </w:r>
          </w:p>
        </w:tc>
        <w:tc>
          <w:tcPr>
            <w:tcW w:w="2070" w:type="dxa"/>
            <w:vAlign w:val="center"/>
          </w:tcPr>
          <w:p w14:paraId="63BD2F5A" w14:textId="2AD5144B" w:rsidR="00B60A08" w:rsidRDefault="00C202DB" w:rsidP="009F6EC5">
            <w:pPr>
              <w:pStyle w:val="NotesBody11pt"/>
              <w:jc w:val="center"/>
            </w:pPr>
            <w:r>
              <w:t>10% max</w:t>
            </w:r>
          </w:p>
        </w:tc>
      </w:tr>
      <w:tr w:rsidR="00B60A08" w14:paraId="7B3B4906" w14:textId="77777777" w:rsidTr="009E2EB1">
        <w:trPr>
          <w:trHeight w:val="360"/>
          <w:jc w:val="center"/>
        </w:trPr>
        <w:tc>
          <w:tcPr>
            <w:tcW w:w="4135" w:type="dxa"/>
            <w:vAlign w:val="center"/>
          </w:tcPr>
          <w:p w14:paraId="6906DAB0" w14:textId="2A4A9522" w:rsidR="00B60A08" w:rsidRDefault="00C202DB" w:rsidP="000F1EE8">
            <w:pPr>
              <w:pStyle w:val="NotesBody11pt"/>
            </w:pPr>
            <w:r>
              <w:lastRenderedPageBreak/>
              <w:t>Error in Feedforward Program Timing</w:t>
            </w:r>
          </w:p>
        </w:tc>
        <w:tc>
          <w:tcPr>
            <w:tcW w:w="2070" w:type="dxa"/>
            <w:vAlign w:val="center"/>
          </w:tcPr>
          <w:p w14:paraId="47008D58" w14:textId="63A72A31" w:rsidR="00B60A08" w:rsidRDefault="00AF6E9F" w:rsidP="009F6EC5">
            <w:pPr>
              <w:pStyle w:val="NotesBody11pt"/>
              <w:jc w:val="center"/>
            </w:pPr>
            <w:r>
              <w:t>500</w:t>
            </w:r>
            <w:r w:rsidR="002D0080">
              <w:t xml:space="preserve"> </w:t>
            </w:r>
            <w:r>
              <w:t>ns max</w:t>
            </w:r>
          </w:p>
        </w:tc>
      </w:tr>
      <w:tr w:rsidR="006248E3" w14:paraId="0DD6806D" w14:textId="77777777" w:rsidTr="009E2EB1">
        <w:trPr>
          <w:trHeight w:val="360"/>
          <w:jc w:val="center"/>
        </w:trPr>
        <w:tc>
          <w:tcPr>
            <w:tcW w:w="4135" w:type="dxa"/>
            <w:vAlign w:val="center"/>
          </w:tcPr>
          <w:p w14:paraId="7F28954D" w14:textId="1DB95D70" w:rsidR="006248E3" w:rsidRDefault="006248E3" w:rsidP="000F1EE8">
            <w:pPr>
              <w:pStyle w:val="NotesBody11pt"/>
            </w:pPr>
            <w:r>
              <w:t>Overshoot Budget for Power Amplifier</w:t>
            </w:r>
          </w:p>
        </w:tc>
        <w:tc>
          <w:tcPr>
            <w:tcW w:w="2070" w:type="dxa"/>
            <w:vAlign w:val="center"/>
          </w:tcPr>
          <w:p w14:paraId="52F4A122" w14:textId="5A1ED5D3" w:rsidR="006248E3" w:rsidRDefault="006248E3" w:rsidP="009F6EC5">
            <w:pPr>
              <w:pStyle w:val="NotesBody11pt"/>
              <w:jc w:val="center"/>
            </w:pPr>
            <w:r>
              <w:t>15%</w:t>
            </w:r>
          </w:p>
        </w:tc>
      </w:tr>
    </w:tbl>
    <w:p w14:paraId="0B2F7FB5" w14:textId="77777777" w:rsidR="00527E9D" w:rsidRDefault="00527E9D" w:rsidP="0002590C">
      <w:pPr>
        <w:pStyle w:val="NotesBody11pt"/>
        <w:spacing w:before="240"/>
      </w:pPr>
      <w:r>
        <w:t>The delay budget has been broken down into budgets for different components in the RF system.  These values are a placeholder for the delay requirements flow down to the different components. The delay budget can be negotiated between the different systems as the design progresses, keeping the total delay within the overall budget.</w:t>
      </w:r>
    </w:p>
    <w:p w14:paraId="06B82E05" w14:textId="5FFD660C" w:rsidR="005936E7" w:rsidRDefault="00085DDC" w:rsidP="005936E7">
      <w:pPr>
        <w:pStyle w:val="Heading1"/>
      </w:pPr>
      <w:bookmarkStart w:id="21" w:name="_Toc26687937"/>
      <w:r>
        <w:t>CW</w:t>
      </w:r>
      <w:r w:rsidR="00D30C69">
        <w:t>-</w:t>
      </w:r>
      <w:r>
        <w:t>Compatible Regime</w:t>
      </w:r>
      <w:r w:rsidR="007E00B8">
        <w:t xml:space="preserve"> and Pulsed Operations</w:t>
      </w:r>
      <w:bookmarkEnd w:id="21"/>
    </w:p>
    <w:p w14:paraId="11261C4A" w14:textId="7D5853CB" w:rsidR="002869CB" w:rsidRDefault="00943D2B" w:rsidP="002869CB">
      <w:pPr>
        <w:pStyle w:val="NotesBody11pt"/>
      </w:pPr>
      <w:r>
        <w:t xml:space="preserve">The </w:t>
      </w:r>
      <w:r w:rsidR="003753E6">
        <w:t>GRD requires</w:t>
      </w:r>
      <w:r w:rsidR="002869CB" w:rsidRPr="002869CB">
        <w:t xml:space="preserve"> that all systems and components </w:t>
      </w:r>
      <w:r w:rsidR="002E3118">
        <w:t>are</w:t>
      </w:r>
      <w:r w:rsidR="002869CB" w:rsidRPr="002869CB">
        <w:t xml:space="preserve"> constructed and installed with a capability to support CW-RF and pulsed-beam operations at the project completion. </w:t>
      </w:r>
      <w:r w:rsidR="00B976CB">
        <w:t>These systems</w:t>
      </w:r>
      <w:r w:rsidR="00BB315E">
        <w:t>,</w:t>
      </w:r>
      <w:r w:rsidR="002869CB" w:rsidRPr="002869CB">
        <w:t xml:space="preserve"> </w:t>
      </w:r>
      <w:r w:rsidR="00BB315E">
        <w:t xml:space="preserve">within the scope of this PRD, </w:t>
      </w:r>
      <w:r w:rsidR="002869CB" w:rsidRPr="002869CB">
        <w:t>are identified as being required to support CW-compatible operations as installed by the PIP-II Project:</w:t>
      </w:r>
    </w:p>
    <w:p w14:paraId="46AFE1FC" w14:textId="77777777" w:rsidR="00493D40" w:rsidRPr="002869CB" w:rsidRDefault="00493D40" w:rsidP="002869CB">
      <w:pPr>
        <w:pStyle w:val="NotesBody11pt"/>
      </w:pPr>
    </w:p>
    <w:p w14:paraId="7F93D224" w14:textId="5DEB3346" w:rsidR="0067567C" w:rsidRDefault="002869CB" w:rsidP="008D44F0">
      <w:pPr>
        <w:pStyle w:val="NotesBody11pt"/>
        <w:numPr>
          <w:ilvl w:val="0"/>
          <w:numId w:val="31"/>
        </w:numPr>
      </w:pPr>
      <w:r w:rsidRPr="002869CB">
        <w:t>Warm front end</w:t>
      </w:r>
      <w:r w:rsidR="00BB315E">
        <w:t xml:space="preserve"> (RFQ and buncher cavities)</w:t>
      </w:r>
      <w:r w:rsidRPr="002869CB">
        <w:t>: As currently fabricated and installed at the PIP-II Injector Test (PIP2IT)</w:t>
      </w:r>
      <w:r w:rsidR="007A619A">
        <w:t>,</w:t>
      </w:r>
      <w:r w:rsidRPr="002869CB">
        <w:t xml:space="preserve"> all warm front-end components are capable of CW-beam operation. This capability will be retained when these components are relocated to the PIP-II </w:t>
      </w:r>
      <w:r w:rsidR="007A619A">
        <w:t>L</w:t>
      </w:r>
      <w:r w:rsidRPr="002869CB">
        <w:t>inac enclosure.</w:t>
      </w:r>
    </w:p>
    <w:p w14:paraId="231AE3BE" w14:textId="77777777" w:rsidR="00F50960" w:rsidRPr="002869CB" w:rsidRDefault="00F50960" w:rsidP="00F50960">
      <w:pPr>
        <w:pStyle w:val="NotesBody11pt"/>
        <w:ind w:left="720"/>
      </w:pPr>
    </w:p>
    <w:p w14:paraId="214A125B" w14:textId="599FA54C" w:rsidR="004C4EED" w:rsidRDefault="002869CB" w:rsidP="004C4EED">
      <w:pPr>
        <w:pStyle w:val="NotesBody11pt"/>
        <w:numPr>
          <w:ilvl w:val="0"/>
          <w:numId w:val="31"/>
        </w:numPr>
      </w:pPr>
      <w:r w:rsidRPr="002869CB">
        <w:t>Superconducting cavities and cryomodules: All cavities and cryomodules, including RF couplers, will be constructed with a capability for CW-beam operations. In particular, the specification for cavity Q</w:t>
      </w:r>
      <w:r w:rsidRPr="002869CB">
        <w:rPr>
          <w:vertAlign w:val="subscript"/>
        </w:rPr>
        <w:t>0</w:t>
      </w:r>
      <w:r w:rsidRPr="002869CB">
        <w:t xml:space="preserve"> will be established on the basis of CW operations.</w:t>
      </w:r>
    </w:p>
    <w:p w14:paraId="5C953411" w14:textId="77777777" w:rsidR="00F50960" w:rsidRPr="002869CB" w:rsidRDefault="00F50960" w:rsidP="00F50960">
      <w:pPr>
        <w:pStyle w:val="NotesBody11pt"/>
      </w:pPr>
    </w:p>
    <w:p w14:paraId="099AD5FA" w14:textId="7CCE9841" w:rsidR="004C4EED" w:rsidRDefault="002869CB" w:rsidP="004C4EED">
      <w:pPr>
        <w:pStyle w:val="NotesBody11pt"/>
        <w:numPr>
          <w:ilvl w:val="0"/>
          <w:numId w:val="31"/>
        </w:numPr>
      </w:pPr>
      <w:r w:rsidRPr="002869CB">
        <w:t>RF Sources: All RF sources and RF distribution infrastructure will be constructed with a capability for CW-beam operations.</w:t>
      </w:r>
    </w:p>
    <w:p w14:paraId="1CB40374" w14:textId="77777777" w:rsidR="00F50960" w:rsidRPr="002869CB" w:rsidRDefault="00F50960" w:rsidP="00F50960">
      <w:pPr>
        <w:pStyle w:val="NotesBody11pt"/>
      </w:pPr>
    </w:p>
    <w:p w14:paraId="07D90107" w14:textId="77777777" w:rsidR="002869CB" w:rsidRPr="002869CB" w:rsidRDefault="002869CB" w:rsidP="002869CB">
      <w:pPr>
        <w:pStyle w:val="NotesBody11pt"/>
        <w:numPr>
          <w:ilvl w:val="0"/>
          <w:numId w:val="31"/>
        </w:numPr>
      </w:pPr>
      <w:r w:rsidRPr="002869CB">
        <w:t>Low level RF (LLRF): The LLRF system will be capable of supporting CW-RF within the superconducting cavities, during pulsed-beam operations.</w:t>
      </w:r>
    </w:p>
    <w:p w14:paraId="24AD8D27" w14:textId="77777777" w:rsidR="00FB5969" w:rsidRDefault="00FB5969" w:rsidP="00FB5969">
      <w:pPr>
        <w:pStyle w:val="NotesBody11pt"/>
      </w:pPr>
    </w:p>
    <w:p w14:paraId="3F07E872" w14:textId="153135D2" w:rsidR="005F6FFF" w:rsidRDefault="00FB5969" w:rsidP="00FB5969">
      <w:pPr>
        <w:pStyle w:val="NotesBody11pt"/>
      </w:pPr>
      <w:r w:rsidRPr="002869CB">
        <w:t xml:space="preserve">Development of pulsed-RF capability </w:t>
      </w:r>
      <w:r w:rsidR="003120E3">
        <w:t xml:space="preserve">in the SRF section of the </w:t>
      </w:r>
      <w:r w:rsidR="005F6FFF">
        <w:t>Linac</w:t>
      </w:r>
      <w:r w:rsidR="003120E3">
        <w:t xml:space="preserve"> </w:t>
      </w:r>
      <w:r w:rsidRPr="002869CB">
        <w:t xml:space="preserve">is motivated by two factors: a) the interest to support the DAE partners’ plans to construct a pulsed-RF superconducting </w:t>
      </w:r>
      <w:r w:rsidR="008341DD">
        <w:t>L</w:t>
      </w:r>
      <w:r w:rsidRPr="002869CB">
        <w:t xml:space="preserve">inac (ISNS), and b) the desire to operate PIP-II in a cost-efficient operating mode. </w:t>
      </w:r>
      <w:r w:rsidR="003120E3">
        <w:t xml:space="preserve">Pulsed capability of the RF amplifiers and LLRF system are an intrinsic part of the pulsed-beam operations specifications.  </w:t>
      </w:r>
      <w:r w:rsidR="00726407">
        <w:t xml:space="preserve">Specifications for resonance control of SRF cavities </w:t>
      </w:r>
      <w:r w:rsidR="00C407E6">
        <w:t>are</w:t>
      </w:r>
      <w:r w:rsidR="00726407">
        <w:t xml:space="preserve"> not </w:t>
      </w:r>
      <w:r w:rsidR="00C407E6">
        <w:t xml:space="preserve">currently </w:t>
      </w:r>
      <w:r w:rsidR="00726407">
        <w:t>consistent with pulsed-RF operations, because the design parameters for CW/pulsed-RF</w:t>
      </w:r>
      <w:r w:rsidR="00356B40">
        <w:t xml:space="preserve"> </w:t>
      </w:r>
      <w:r w:rsidR="00726407">
        <w:t xml:space="preserve">compatible SRF cavities and resonance control systems </w:t>
      </w:r>
      <w:r w:rsidR="00116908">
        <w:t>have not demonstrated with these cavities.</w:t>
      </w:r>
    </w:p>
    <w:p w14:paraId="5C3BCA38" w14:textId="721476AB" w:rsidR="005A6BC8" w:rsidRDefault="00357034" w:rsidP="0002590C">
      <w:pPr>
        <w:pStyle w:val="Heading1"/>
        <w:keepNext/>
      </w:pPr>
      <w:bookmarkStart w:id="22" w:name="_Toc26687938"/>
      <w:r>
        <w:lastRenderedPageBreak/>
        <w:t xml:space="preserve">RF </w:t>
      </w:r>
      <w:r w:rsidR="00D23C98">
        <w:t xml:space="preserve">Power </w:t>
      </w:r>
      <w:r w:rsidR="00DF0687">
        <w:t>Requirements</w:t>
      </w:r>
      <w:bookmarkEnd w:id="22"/>
    </w:p>
    <w:p w14:paraId="0B6EF2C5" w14:textId="767998AF" w:rsidR="00357034" w:rsidRDefault="00E70646" w:rsidP="00E70646">
      <w:pPr>
        <w:pStyle w:val="Heading2"/>
      </w:pPr>
      <w:bookmarkStart w:id="23" w:name="_Toc26687939"/>
      <w:r>
        <w:t>SRF Cavity Power Requirements</w:t>
      </w:r>
      <w:bookmarkEnd w:id="23"/>
    </w:p>
    <w:p w14:paraId="1720076C" w14:textId="6A7A0D31" w:rsidR="003E1EA5" w:rsidRDefault="009A2E35" w:rsidP="00493D40">
      <w:pPr>
        <w:pStyle w:val="NotesBody11pt"/>
      </w:pPr>
      <w:r w:rsidRPr="00493D40">
        <w:t xml:space="preserve">Cavity RF </w:t>
      </w:r>
      <w:r w:rsidR="00E32A89" w:rsidRPr="00493D40">
        <w:t>power requirement</w:t>
      </w:r>
      <w:r w:rsidR="003A289D">
        <w:t>s</w:t>
      </w:r>
      <w:r w:rsidR="00E32A89" w:rsidRPr="00493D40">
        <w:t xml:space="preserve"> depend on the cavity and beam parameters. </w:t>
      </w:r>
      <w:r w:rsidR="008F4AEB">
        <w:t xml:space="preserve">The beam voltage and synchronous phase requirements are </w:t>
      </w:r>
      <w:r w:rsidR="001723F2">
        <w:t xml:space="preserve">collected in </w:t>
      </w:r>
      <w:r w:rsidR="00C30307">
        <w:t>S</w:t>
      </w:r>
      <w:r w:rsidR="001723F2">
        <w:t xml:space="preserve">ection </w:t>
      </w:r>
      <w:r w:rsidR="00C30307">
        <w:fldChar w:fldCharType="begin"/>
      </w:r>
      <w:r w:rsidR="00C30307">
        <w:instrText xml:space="preserve"> REF _Ref26537992 \r \h </w:instrText>
      </w:r>
      <w:r w:rsidR="00C30307">
        <w:fldChar w:fldCharType="separate"/>
      </w:r>
      <w:r w:rsidR="00C30307">
        <w:t>4</w:t>
      </w:r>
      <w:r w:rsidR="00C30307">
        <w:fldChar w:fldCharType="end"/>
      </w:r>
      <w:r w:rsidR="001723F2">
        <w:t xml:space="preserve"> of this document, and a</w:t>
      </w:r>
      <w:r w:rsidR="008F4AEB">
        <w:t xml:space="preserve"> maximum average beam current of 2.</w:t>
      </w:r>
      <w:r w:rsidR="00D55C0B">
        <w:t>0</w:t>
      </w:r>
      <w:r w:rsidR="009B7F55">
        <w:t xml:space="preserve"> </w:t>
      </w:r>
      <w:r w:rsidR="008F4AEB">
        <w:t xml:space="preserve">mA is assumed for all power demand calculations.  </w:t>
      </w:r>
      <w:r w:rsidR="00E32A89" w:rsidRPr="00493D40">
        <w:t>The power must also compensate for cavity detuning, which is assumed not to exceed 20 Hz for all types of cavities</w:t>
      </w:r>
      <w:r w:rsidR="008F4AEB">
        <w:t>.</w:t>
      </w:r>
    </w:p>
    <w:p w14:paraId="79935D3B" w14:textId="77777777" w:rsidR="00FF6EAB" w:rsidRDefault="00FF6EAB" w:rsidP="00493D40">
      <w:pPr>
        <w:pStyle w:val="NotesBody11pt"/>
      </w:pPr>
    </w:p>
    <w:p w14:paraId="05327945" w14:textId="288E850F" w:rsidR="001723F2" w:rsidRDefault="00E22658" w:rsidP="00493D40">
      <w:pPr>
        <w:pStyle w:val="NotesBody11pt"/>
      </w:pPr>
      <w:r>
        <w:fldChar w:fldCharType="begin"/>
      </w:r>
      <w:r>
        <w:instrText xml:space="preserve"> REF _Ref26597082 \h </w:instrText>
      </w:r>
      <w:r>
        <w:fldChar w:fldCharType="separate"/>
      </w:r>
      <w:r>
        <w:t xml:space="preserve">Table </w:t>
      </w:r>
      <w:r>
        <w:rPr>
          <w:noProof/>
        </w:rPr>
        <w:t>8</w:t>
      </w:r>
      <w:r>
        <w:noBreakHyphen/>
      </w:r>
      <w:r>
        <w:rPr>
          <w:noProof/>
        </w:rPr>
        <w:t>1</w:t>
      </w:r>
      <w:r>
        <w:fldChar w:fldCharType="end"/>
      </w:r>
      <w:r w:rsidR="00317D6D">
        <w:t xml:space="preserve"> shows the specific SRF cavity parameters used to determine the power required at the cavity input coupler.  </w:t>
      </w:r>
      <w:r w:rsidR="001723F2">
        <w:t xml:space="preserve">The optimal coupling of the cavity input couplers is calculated from the cavity and beam parameters. The calculation assumes that the coupling factor will be fixed for each style of cavity, and the optimal coupling will be derived from the cavity of each type with the highest power demand.  Also, the available power requirement allows for up to a </w:t>
      </w:r>
      <w:r w:rsidR="00894C23">
        <w:t>25</w:t>
      </w:r>
      <w:r w:rsidR="001723F2">
        <w:t xml:space="preserve">% variation from </w:t>
      </w:r>
      <w:r w:rsidR="006018C4">
        <w:t>design specification</w:t>
      </w:r>
      <w:r w:rsidR="001723F2">
        <w:t xml:space="preserve"> in the coupling, to allow for mechanical tolerances in manufacture.</w:t>
      </w:r>
    </w:p>
    <w:p w14:paraId="6DCA6F6B" w14:textId="77777777" w:rsidR="00D36972" w:rsidRDefault="00D36972" w:rsidP="00493D40">
      <w:pPr>
        <w:pStyle w:val="NotesBody11pt"/>
      </w:pPr>
    </w:p>
    <w:p w14:paraId="2AD0BD76" w14:textId="4DD68437" w:rsidR="00943D2B" w:rsidRPr="00943D2B" w:rsidRDefault="00471DE4" w:rsidP="00471DE4">
      <w:pPr>
        <w:pStyle w:val="Caption"/>
        <w:jc w:val="center"/>
        <w:rPr>
          <w:rFonts w:eastAsia="MS Mincho"/>
          <w:szCs w:val="22"/>
        </w:rPr>
      </w:pPr>
      <w:bookmarkStart w:id="24" w:name="_Ref26597082"/>
      <w:r>
        <w:t xml:space="preserve">Table </w:t>
      </w:r>
      <w:r w:rsidR="006018C4">
        <w:fldChar w:fldCharType="begin"/>
      </w:r>
      <w:r w:rsidR="006018C4">
        <w:instrText xml:space="preserve"> STYLEREF 1 \s </w:instrText>
      </w:r>
      <w:r w:rsidR="006018C4">
        <w:fldChar w:fldCharType="separate"/>
      </w:r>
      <w:r w:rsidR="00216CE9">
        <w:rPr>
          <w:noProof/>
        </w:rPr>
        <w:t>8</w:t>
      </w:r>
      <w:r w:rsidR="006018C4">
        <w:rPr>
          <w:noProof/>
        </w:rPr>
        <w:fldChar w:fldCharType="end"/>
      </w:r>
      <w:r w:rsidR="00216CE9">
        <w:noBreakHyphen/>
      </w:r>
      <w:r w:rsidR="006018C4">
        <w:fldChar w:fldCharType="begin"/>
      </w:r>
      <w:r w:rsidR="006018C4">
        <w:instrText xml:space="preserve"> SEQ Table \* ARABI</w:instrText>
      </w:r>
      <w:r w:rsidR="006018C4">
        <w:instrText xml:space="preserve">C \s 1 </w:instrText>
      </w:r>
      <w:r w:rsidR="006018C4">
        <w:fldChar w:fldCharType="separate"/>
      </w:r>
      <w:r w:rsidR="00216CE9">
        <w:rPr>
          <w:noProof/>
        </w:rPr>
        <w:t>1</w:t>
      </w:r>
      <w:r w:rsidR="006018C4">
        <w:rPr>
          <w:noProof/>
        </w:rPr>
        <w:fldChar w:fldCharType="end"/>
      </w:r>
      <w:bookmarkEnd w:id="24"/>
      <w:r>
        <w:t>.  SRF Cavity RF Requirements.</w:t>
      </w:r>
    </w:p>
    <w:tbl>
      <w:tblPr>
        <w:tblStyle w:val="TableGrid"/>
        <w:tblW w:w="9951" w:type="dxa"/>
        <w:jc w:val="center"/>
        <w:tblLook w:val="04A0" w:firstRow="1" w:lastRow="0" w:firstColumn="1" w:lastColumn="0" w:noHBand="0" w:noVBand="1"/>
      </w:tblPr>
      <w:tblGrid>
        <w:gridCol w:w="3685"/>
        <w:gridCol w:w="1260"/>
        <w:gridCol w:w="1170"/>
        <w:gridCol w:w="1170"/>
        <w:gridCol w:w="1350"/>
        <w:gridCol w:w="1316"/>
      </w:tblGrid>
      <w:tr w:rsidR="00D1021A" w:rsidRPr="00AF316E" w14:paraId="5E5B87CC" w14:textId="77777777" w:rsidTr="009E2EB1">
        <w:trPr>
          <w:trHeight w:val="576"/>
          <w:jc w:val="center"/>
        </w:trPr>
        <w:tc>
          <w:tcPr>
            <w:tcW w:w="3685" w:type="dxa"/>
            <w:vAlign w:val="center"/>
          </w:tcPr>
          <w:p w14:paraId="21C72D71" w14:textId="5AD4DDFF" w:rsidR="00D1021A" w:rsidRPr="00321729" w:rsidRDefault="00D74E10" w:rsidP="00AF55BD">
            <w:pPr>
              <w:pStyle w:val="NotesBody11pt"/>
              <w:rPr>
                <w:rFonts w:cs="Helvetica"/>
                <w:b/>
                <w:bCs/>
              </w:rPr>
            </w:pPr>
            <w:r w:rsidRPr="00D74E10">
              <w:rPr>
                <w:rFonts w:cs="Helvetica"/>
                <w:b/>
                <w:bCs/>
              </w:rPr>
              <w:t>Parameter</w:t>
            </w:r>
          </w:p>
        </w:tc>
        <w:tc>
          <w:tcPr>
            <w:tcW w:w="1260" w:type="dxa"/>
            <w:vAlign w:val="center"/>
          </w:tcPr>
          <w:p w14:paraId="318C8E79" w14:textId="77777777" w:rsidR="00D1021A" w:rsidRPr="00AF316E" w:rsidRDefault="00D1021A" w:rsidP="00D74E10">
            <w:pPr>
              <w:pStyle w:val="NotesBody11pt"/>
              <w:jc w:val="center"/>
              <w:rPr>
                <w:rFonts w:cs="Helvetica"/>
                <w:b/>
                <w:bCs/>
              </w:rPr>
            </w:pPr>
            <w:r w:rsidRPr="00AF316E">
              <w:rPr>
                <w:rFonts w:cs="Helvetica"/>
                <w:b/>
                <w:bCs/>
              </w:rPr>
              <w:t>HWR</w:t>
            </w:r>
          </w:p>
        </w:tc>
        <w:tc>
          <w:tcPr>
            <w:tcW w:w="1170" w:type="dxa"/>
            <w:vAlign w:val="center"/>
          </w:tcPr>
          <w:p w14:paraId="78428954" w14:textId="77777777" w:rsidR="00D1021A" w:rsidRPr="00AF316E" w:rsidRDefault="00D1021A" w:rsidP="00D74E10">
            <w:pPr>
              <w:pStyle w:val="NotesBody11pt"/>
              <w:jc w:val="center"/>
              <w:rPr>
                <w:rFonts w:cs="Helvetica"/>
                <w:b/>
                <w:bCs/>
              </w:rPr>
            </w:pPr>
            <w:r w:rsidRPr="00AF316E">
              <w:rPr>
                <w:rFonts w:cs="Helvetica"/>
                <w:b/>
                <w:bCs/>
              </w:rPr>
              <w:t>SSR1</w:t>
            </w:r>
          </w:p>
        </w:tc>
        <w:tc>
          <w:tcPr>
            <w:tcW w:w="1170" w:type="dxa"/>
            <w:vAlign w:val="center"/>
          </w:tcPr>
          <w:p w14:paraId="2B9B5666" w14:textId="77777777" w:rsidR="00D1021A" w:rsidRPr="00AF316E" w:rsidRDefault="00D1021A" w:rsidP="00D74E10">
            <w:pPr>
              <w:pStyle w:val="NotesBody11pt"/>
              <w:jc w:val="center"/>
              <w:rPr>
                <w:rFonts w:cs="Helvetica"/>
                <w:b/>
                <w:bCs/>
              </w:rPr>
            </w:pPr>
            <w:r w:rsidRPr="00AF316E">
              <w:rPr>
                <w:rFonts w:cs="Helvetica"/>
                <w:b/>
                <w:bCs/>
              </w:rPr>
              <w:t>SSR2</w:t>
            </w:r>
          </w:p>
        </w:tc>
        <w:tc>
          <w:tcPr>
            <w:tcW w:w="1350" w:type="dxa"/>
            <w:vAlign w:val="center"/>
          </w:tcPr>
          <w:p w14:paraId="014E5CB4" w14:textId="77777777" w:rsidR="00D1021A" w:rsidRPr="00AF316E" w:rsidRDefault="00D1021A" w:rsidP="00D74E10">
            <w:pPr>
              <w:pStyle w:val="NotesBody11pt"/>
              <w:jc w:val="center"/>
              <w:rPr>
                <w:rFonts w:cs="Helvetica"/>
                <w:b/>
                <w:bCs/>
              </w:rPr>
            </w:pPr>
            <w:r w:rsidRPr="00AF316E">
              <w:rPr>
                <w:rFonts w:cs="Helvetica"/>
                <w:b/>
                <w:bCs/>
              </w:rPr>
              <w:t>LB650</w:t>
            </w:r>
          </w:p>
        </w:tc>
        <w:tc>
          <w:tcPr>
            <w:tcW w:w="1316" w:type="dxa"/>
            <w:vAlign w:val="center"/>
          </w:tcPr>
          <w:p w14:paraId="36470A1B" w14:textId="77777777" w:rsidR="00D1021A" w:rsidRPr="00AF316E" w:rsidRDefault="00D1021A" w:rsidP="00D74E10">
            <w:pPr>
              <w:pStyle w:val="NotesBody11pt"/>
              <w:jc w:val="center"/>
              <w:rPr>
                <w:rFonts w:cs="Helvetica"/>
                <w:b/>
                <w:bCs/>
              </w:rPr>
            </w:pPr>
            <w:r w:rsidRPr="00AF316E">
              <w:rPr>
                <w:rFonts w:cs="Helvetica"/>
                <w:b/>
                <w:bCs/>
              </w:rPr>
              <w:t>HB650</w:t>
            </w:r>
          </w:p>
        </w:tc>
      </w:tr>
      <w:tr w:rsidR="00E32A89" w:rsidRPr="00AF316E" w14:paraId="71A50A0F" w14:textId="77777777" w:rsidTr="009E2EB1">
        <w:trPr>
          <w:trHeight w:val="576"/>
          <w:jc w:val="center"/>
        </w:trPr>
        <w:tc>
          <w:tcPr>
            <w:tcW w:w="3685" w:type="dxa"/>
            <w:vAlign w:val="center"/>
          </w:tcPr>
          <w:p w14:paraId="14D3DC47" w14:textId="02843CB1" w:rsidR="00E32A89" w:rsidRPr="00AF316E" w:rsidRDefault="00E32A89" w:rsidP="00D74E10">
            <w:pPr>
              <w:pStyle w:val="NotesBody11pt"/>
              <w:jc w:val="left"/>
              <w:rPr>
                <w:rFonts w:cs="Helvetica"/>
              </w:rPr>
            </w:pPr>
            <w:r w:rsidRPr="00AF316E">
              <w:rPr>
                <w:rFonts w:cs="Helvetica"/>
              </w:rPr>
              <w:t>Frequency (MHz)</w:t>
            </w:r>
          </w:p>
        </w:tc>
        <w:tc>
          <w:tcPr>
            <w:tcW w:w="1260" w:type="dxa"/>
            <w:vAlign w:val="center"/>
          </w:tcPr>
          <w:p w14:paraId="1EB657F4" w14:textId="2C8E8F95" w:rsidR="00E32A89" w:rsidRPr="00AF316E" w:rsidRDefault="00E32A89" w:rsidP="00D74E10">
            <w:pPr>
              <w:pStyle w:val="NotesBody11pt"/>
              <w:jc w:val="center"/>
              <w:rPr>
                <w:rFonts w:cs="Helvetica"/>
              </w:rPr>
            </w:pPr>
            <w:r w:rsidRPr="00AF316E">
              <w:rPr>
                <w:rFonts w:cs="Helvetica"/>
              </w:rPr>
              <w:t>162.5</w:t>
            </w:r>
          </w:p>
        </w:tc>
        <w:tc>
          <w:tcPr>
            <w:tcW w:w="1170" w:type="dxa"/>
            <w:vAlign w:val="center"/>
          </w:tcPr>
          <w:p w14:paraId="5458DC0B" w14:textId="1ACCE04A" w:rsidR="00E32A89" w:rsidRPr="00AF316E" w:rsidRDefault="00E32A89" w:rsidP="00D74E10">
            <w:pPr>
              <w:pStyle w:val="NotesBody11pt"/>
              <w:jc w:val="center"/>
              <w:rPr>
                <w:rFonts w:cs="Helvetica"/>
              </w:rPr>
            </w:pPr>
            <w:r w:rsidRPr="00AF316E">
              <w:rPr>
                <w:rFonts w:cs="Helvetica"/>
              </w:rPr>
              <w:t>325</w:t>
            </w:r>
          </w:p>
        </w:tc>
        <w:tc>
          <w:tcPr>
            <w:tcW w:w="1170" w:type="dxa"/>
            <w:vAlign w:val="center"/>
          </w:tcPr>
          <w:p w14:paraId="6FFE78DF" w14:textId="7798308B" w:rsidR="00E32A89" w:rsidRPr="00AF316E" w:rsidRDefault="00E32A89" w:rsidP="00D74E10">
            <w:pPr>
              <w:pStyle w:val="NotesBody11pt"/>
              <w:jc w:val="center"/>
              <w:rPr>
                <w:rFonts w:cs="Helvetica"/>
              </w:rPr>
            </w:pPr>
            <w:r w:rsidRPr="00AF316E">
              <w:rPr>
                <w:rFonts w:cs="Helvetica"/>
              </w:rPr>
              <w:t>325</w:t>
            </w:r>
          </w:p>
        </w:tc>
        <w:tc>
          <w:tcPr>
            <w:tcW w:w="1350" w:type="dxa"/>
            <w:vAlign w:val="center"/>
          </w:tcPr>
          <w:p w14:paraId="106FEBEA" w14:textId="31BD9257" w:rsidR="00E32A89" w:rsidRPr="00AF316E" w:rsidRDefault="00E32A89" w:rsidP="00D74E10">
            <w:pPr>
              <w:pStyle w:val="NotesBody11pt"/>
              <w:jc w:val="center"/>
              <w:rPr>
                <w:rFonts w:cs="Helvetica"/>
              </w:rPr>
            </w:pPr>
            <w:r w:rsidRPr="00AF316E">
              <w:rPr>
                <w:rFonts w:cs="Helvetica"/>
              </w:rPr>
              <w:t>650</w:t>
            </w:r>
          </w:p>
        </w:tc>
        <w:tc>
          <w:tcPr>
            <w:tcW w:w="1316" w:type="dxa"/>
            <w:vAlign w:val="center"/>
          </w:tcPr>
          <w:p w14:paraId="30BA2EE0" w14:textId="3905E6A6" w:rsidR="00E32A89" w:rsidRPr="00AF316E" w:rsidRDefault="00E32A89" w:rsidP="00D74E10">
            <w:pPr>
              <w:pStyle w:val="NotesBody11pt"/>
              <w:jc w:val="center"/>
              <w:rPr>
                <w:rFonts w:cs="Helvetica"/>
              </w:rPr>
            </w:pPr>
            <w:r w:rsidRPr="00AF316E">
              <w:rPr>
                <w:rFonts w:cs="Helvetica"/>
              </w:rPr>
              <w:t>650</w:t>
            </w:r>
          </w:p>
        </w:tc>
      </w:tr>
      <w:tr w:rsidR="00D1021A" w:rsidRPr="00AF316E" w14:paraId="773910BF" w14:textId="77777777" w:rsidTr="009E2EB1">
        <w:trPr>
          <w:trHeight w:val="576"/>
          <w:jc w:val="center"/>
        </w:trPr>
        <w:tc>
          <w:tcPr>
            <w:tcW w:w="3685" w:type="dxa"/>
            <w:vAlign w:val="center"/>
          </w:tcPr>
          <w:p w14:paraId="7875882E" w14:textId="2F710682" w:rsidR="00D1021A" w:rsidRPr="00AF316E" w:rsidRDefault="001723F2" w:rsidP="00D74E10">
            <w:pPr>
              <w:pStyle w:val="NotesBody11pt"/>
              <w:jc w:val="left"/>
              <w:rPr>
                <w:rFonts w:cs="Helvetica"/>
              </w:rPr>
            </w:pPr>
            <w:r>
              <w:rPr>
                <w:rFonts w:cs="Helvetica"/>
              </w:rPr>
              <w:t>Q</w:t>
            </w:r>
            <w:r w:rsidRPr="006D503E">
              <w:rPr>
                <w:rFonts w:cs="Helvetica"/>
                <w:vertAlign w:val="subscript"/>
              </w:rPr>
              <w:t>0</w:t>
            </w:r>
          </w:p>
        </w:tc>
        <w:tc>
          <w:tcPr>
            <w:tcW w:w="1260" w:type="dxa"/>
            <w:vAlign w:val="center"/>
          </w:tcPr>
          <w:p w14:paraId="5A3F74FB" w14:textId="6538FD8D" w:rsidR="00D1021A" w:rsidRPr="00AF316E" w:rsidRDefault="00894C23" w:rsidP="00D74E10">
            <w:pPr>
              <w:pStyle w:val="NotesBody11pt"/>
              <w:jc w:val="center"/>
              <w:rPr>
                <w:rFonts w:cs="Helvetica"/>
              </w:rPr>
            </w:pPr>
            <w:r>
              <w:rPr>
                <w:rFonts w:cs="Helvetica"/>
              </w:rPr>
              <w:t>8.</w:t>
            </w:r>
            <w:r w:rsidR="001723F2">
              <w:rPr>
                <w:rFonts w:cs="Helvetica"/>
              </w:rPr>
              <w:t>5e9</w:t>
            </w:r>
          </w:p>
        </w:tc>
        <w:tc>
          <w:tcPr>
            <w:tcW w:w="1170" w:type="dxa"/>
            <w:vAlign w:val="center"/>
          </w:tcPr>
          <w:p w14:paraId="4F77AEF4" w14:textId="12DAAC8D" w:rsidR="00D1021A" w:rsidRPr="00AF316E" w:rsidRDefault="00CC4DB9" w:rsidP="00D74E10">
            <w:pPr>
              <w:pStyle w:val="NotesBody11pt"/>
              <w:jc w:val="center"/>
              <w:rPr>
                <w:rFonts w:cs="Helvetica"/>
              </w:rPr>
            </w:pPr>
            <w:r>
              <w:rPr>
                <w:rFonts w:cs="Helvetica"/>
              </w:rPr>
              <w:t>8.2e9</w:t>
            </w:r>
          </w:p>
        </w:tc>
        <w:tc>
          <w:tcPr>
            <w:tcW w:w="1170" w:type="dxa"/>
            <w:vAlign w:val="center"/>
          </w:tcPr>
          <w:p w14:paraId="3D7FA474" w14:textId="092E1121" w:rsidR="00D1021A" w:rsidRPr="00AF316E" w:rsidRDefault="00CC4DB9" w:rsidP="00D74E10">
            <w:pPr>
              <w:pStyle w:val="NotesBody11pt"/>
              <w:jc w:val="center"/>
              <w:rPr>
                <w:rFonts w:cs="Helvetica"/>
              </w:rPr>
            </w:pPr>
            <w:r>
              <w:rPr>
                <w:rFonts w:cs="Helvetica"/>
              </w:rPr>
              <w:t>8.2e9</w:t>
            </w:r>
          </w:p>
        </w:tc>
        <w:tc>
          <w:tcPr>
            <w:tcW w:w="1350" w:type="dxa"/>
            <w:vAlign w:val="center"/>
          </w:tcPr>
          <w:p w14:paraId="64D4B980" w14:textId="50755908" w:rsidR="00D1021A" w:rsidRPr="00AF316E" w:rsidRDefault="00E32A89" w:rsidP="00D74E10">
            <w:pPr>
              <w:pStyle w:val="NotesBody11pt"/>
              <w:jc w:val="center"/>
              <w:rPr>
                <w:rFonts w:cs="Helvetica"/>
              </w:rPr>
            </w:pPr>
            <w:r w:rsidRPr="00AF316E">
              <w:rPr>
                <w:rFonts w:cs="Helvetica"/>
              </w:rPr>
              <w:t>23</w:t>
            </w:r>
            <w:r w:rsidR="00CA29FC">
              <w:rPr>
                <w:rFonts w:cs="Helvetica"/>
              </w:rPr>
              <w:t>e9</w:t>
            </w:r>
          </w:p>
        </w:tc>
        <w:tc>
          <w:tcPr>
            <w:tcW w:w="1316" w:type="dxa"/>
            <w:vAlign w:val="center"/>
          </w:tcPr>
          <w:p w14:paraId="4FDD48A7" w14:textId="55B0DC51" w:rsidR="00D1021A" w:rsidRPr="00AF316E" w:rsidRDefault="00CA29FC" w:rsidP="00D74E10">
            <w:pPr>
              <w:pStyle w:val="NotesBody11pt"/>
              <w:jc w:val="center"/>
              <w:rPr>
                <w:rFonts w:cs="Helvetica"/>
              </w:rPr>
            </w:pPr>
            <w:r>
              <w:rPr>
                <w:rFonts w:cs="Helvetica"/>
              </w:rPr>
              <w:t>32e9</w:t>
            </w:r>
          </w:p>
        </w:tc>
      </w:tr>
      <w:tr w:rsidR="00894C23" w:rsidRPr="00AF316E" w14:paraId="49C8EFE4" w14:textId="77777777" w:rsidTr="009E2EB1">
        <w:trPr>
          <w:trHeight w:val="576"/>
          <w:jc w:val="center"/>
        </w:trPr>
        <w:tc>
          <w:tcPr>
            <w:tcW w:w="3685" w:type="dxa"/>
            <w:vAlign w:val="center"/>
          </w:tcPr>
          <w:p w14:paraId="1C72CCD7" w14:textId="26E8AEFD" w:rsidR="00894C23" w:rsidRDefault="00894C23" w:rsidP="00D74E10">
            <w:pPr>
              <w:pStyle w:val="NotesBody11pt"/>
              <w:jc w:val="left"/>
              <w:rPr>
                <w:rFonts w:cs="Helvetica"/>
              </w:rPr>
            </w:pPr>
            <w:r>
              <w:rPr>
                <w:rFonts w:cs="Helvetica"/>
              </w:rPr>
              <w:t>Q</w:t>
            </w:r>
            <w:r w:rsidR="006D503E">
              <w:rPr>
                <w:rFonts w:cs="Helvetica"/>
                <w:vertAlign w:val="subscript"/>
              </w:rPr>
              <w:t>L</w:t>
            </w:r>
          </w:p>
        </w:tc>
        <w:tc>
          <w:tcPr>
            <w:tcW w:w="1260" w:type="dxa"/>
            <w:vAlign w:val="center"/>
          </w:tcPr>
          <w:p w14:paraId="7B291178" w14:textId="422A580A" w:rsidR="00894C23" w:rsidRDefault="00894C23" w:rsidP="00D74E10">
            <w:pPr>
              <w:pStyle w:val="NotesBody11pt"/>
              <w:jc w:val="center"/>
              <w:rPr>
                <w:rFonts w:cs="Helvetica"/>
              </w:rPr>
            </w:pPr>
            <w:r>
              <w:rPr>
                <w:rFonts w:cs="Helvetica"/>
              </w:rPr>
              <w:t>2.3e6</w:t>
            </w:r>
          </w:p>
        </w:tc>
        <w:tc>
          <w:tcPr>
            <w:tcW w:w="1170" w:type="dxa"/>
            <w:vAlign w:val="center"/>
          </w:tcPr>
          <w:p w14:paraId="71901FBA" w14:textId="533C750D" w:rsidR="00894C23" w:rsidRDefault="00894C23" w:rsidP="00D74E10">
            <w:pPr>
              <w:pStyle w:val="NotesBody11pt"/>
              <w:jc w:val="center"/>
              <w:rPr>
                <w:rFonts w:cs="Helvetica"/>
              </w:rPr>
            </w:pPr>
            <w:r>
              <w:rPr>
                <w:rFonts w:cs="Helvetica"/>
              </w:rPr>
              <w:t>3.0e6</w:t>
            </w:r>
          </w:p>
        </w:tc>
        <w:tc>
          <w:tcPr>
            <w:tcW w:w="1170" w:type="dxa"/>
            <w:vAlign w:val="center"/>
          </w:tcPr>
          <w:p w14:paraId="411E1B94" w14:textId="300F6FCA" w:rsidR="00894C23" w:rsidRDefault="00894C23" w:rsidP="00D74E10">
            <w:pPr>
              <w:pStyle w:val="NotesBody11pt"/>
              <w:jc w:val="center"/>
              <w:rPr>
                <w:rFonts w:cs="Helvetica"/>
              </w:rPr>
            </w:pPr>
            <w:r>
              <w:rPr>
                <w:rFonts w:cs="Helvetica"/>
              </w:rPr>
              <w:t>5.1e6</w:t>
            </w:r>
          </w:p>
        </w:tc>
        <w:tc>
          <w:tcPr>
            <w:tcW w:w="1350" w:type="dxa"/>
            <w:vAlign w:val="center"/>
          </w:tcPr>
          <w:p w14:paraId="3B14E418" w14:textId="1A99C09D" w:rsidR="00894C23" w:rsidRDefault="00894C23" w:rsidP="00D74E10">
            <w:pPr>
              <w:pStyle w:val="NotesBody11pt"/>
              <w:jc w:val="center"/>
              <w:rPr>
                <w:rFonts w:cs="Helvetica"/>
              </w:rPr>
            </w:pPr>
            <w:r>
              <w:rPr>
                <w:rFonts w:cs="Helvetica"/>
              </w:rPr>
              <w:t>10.4e6</w:t>
            </w:r>
          </w:p>
        </w:tc>
        <w:tc>
          <w:tcPr>
            <w:tcW w:w="1316" w:type="dxa"/>
            <w:vAlign w:val="center"/>
          </w:tcPr>
          <w:p w14:paraId="2B7F32B4" w14:textId="427934B6" w:rsidR="00894C23" w:rsidRDefault="003F3C4A" w:rsidP="00D74E10">
            <w:pPr>
              <w:pStyle w:val="NotesBody11pt"/>
              <w:jc w:val="center"/>
              <w:rPr>
                <w:rFonts w:cs="Helvetica"/>
              </w:rPr>
            </w:pPr>
            <w:r>
              <w:rPr>
                <w:rFonts w:cs="Helvetica"/>
              </w:rPr>
              <w:t>9.9e6</w:t>
            </w:r>
          </w:p>
        </w:tc>
      </w:tr>
      <w:tr w:rsidR="00D1021A" w:rsidRPr="00AF316E" w14:paraId="5B8C8872" w14:textId="77777777" w:rsidTr="009E2EB1">
        <w:trPr>
          <w:trHeight w:val="576"/>
          <w:jc w:val="center"/>
        </w:trPr>
        <w:tc>
          <w:tcPr>
            <w:tcW w:w="3685" w:type="dxa"/>
            <w:vAlign w:val="center"/>
          </w:tcPr>
          <w:p w14:paraId="634466AC" w14:textId="6D0C31A2" w:rsidR="00D1021A" w:rsidRPr="00AF316E" w:rsidRDefault="001723F2" w:rsidP="00D74E10">
            <w:pPr>
              <w:pStyle w:val="NotesBody11pt"/>
              <w:jc w:val="left"/>
              <w:rPr>
                <w:rFonts w:cs="Helvetica"/>
              </w:rPr>
            </w:pPr>
            <w:r>
              <w:rPr>
                <w:rFonts w:cs="Helvetica"/>
              </w:rPr>
              <w:t>R/Q (Ω)</w:t>
            </w:r>
          </w:p>
        </w:tc>
        <w:tc>
          <w:tcPr>
            <w:tcW w:w="1260" w:type="dxa"/>
            <w:vAlign w:val="center"/>
          </w:tcPr>
          <w:p w14:paraId="42AD196C" w14:textId="347CDAE8" w:rsidR="00D1021A" w:rsidRPr="00AF316E" w:rsidRDefault="001723F2" w:rsidP="00D74E10">
            <w:pPr>
              <w:pStyle w:val="NotesBody11pt"/>
              <w:jc w:val="center"/>
              <w:rPr>
                <w:rFonts w:cs="Helvetica"/>
              </w:rPr>
            </w:pPr>
            <w:r>
              <w:rPr>
                <w:rFonts w:cs="Helvetica"/>
              </w:rPr>
              <w:t>272</w:t>
            </w:r>
          </w:p>
        </w:tc>
        <w:tc>
          <w:tcPr>
            <w:tcW w:w="1170" w:type="dxa"/>
            <w:vAlign w:val="center"/>
          </w:tcPr>
          <w:p w14:paraId="05B50D12" w14:textId="576C96E0" w:rsidR="00D1021A" w:rsidRPr="00AF316E" w:rsidRDefault="00CC4DB9" w:rsidP="00D74E10">
            <w:pPr>
              <w:pStyle w:val="NotesBody11pt"/>
              <w:jc w:val="center"/>
              <w:rPr>
                <w:rFonts w:cs="Helvetica"/>
              </w:rPr>
            </w:pPr>
            <w:r>
              <w:rPr>
                <w:rFonts w:cs="Helvetica"/>
              </w:rPr>
              <w:t>242</w:t>
            </w:r>
          </w:p>
        </w:tc>
        <w:tc>
          <w:tcPr>
            <w:tcW w:w="1170" w:type="dxa"/>
            <w:vAlign w:val="center"/>
          </w:tcPr>
          <w:p w14:paraId="0DC30DEF" w14:textId="735F5A7C" w:rsidR="00D1021A" w:rsidRPr="00AF316E" w:rsidRDefault="00CC4DB9" w:rsidP="00D74E10">
            <w:pPr>
              <w:pStyle w:val="NotesBody11pt"/>
              <w:jc w:val="center"/>
              <w:rPr>
                <w:rFonts w:cs="Helvetica"/>
              </w:rPr>
            </w:pPr>
            <w:r>
              <w:rPr>
                <w:rFonts w:cs="Helvetica"/>
              </w:rPr>
              <w:t>297</w:t>
            </w:r>
          </w:p>
        </w:tc>
        <w:tc>
          <w:tcPr>
            <w:tcW w:w="1350" w:type="dxa"/>
            <w:vAlign w:val="center"/>
          </w:tcPr>
          <w:p w14:paraId="0EFA4B9D" w14:textId="5E22BD82" w:rsidR="00D1021A" w:rsidRPr="00AF316E" w:rsidRDefault="00CA29FC" w:rsidP="00D74E10">
            <w:pPr>
              <w:pStyle w:val="NotesBody11pt"/>
              <w:jc w:val="center"/>
              <w:rPr>
                <w:rFonts w:cs="Helvetica"/>
              </w:rPr>
            </w:pPr>
            <w:r>
              <w:rPr>
                <w:rFonts w:cs="Helvetica"/>
              </w:rPr>
              <w:t>340</w:t>
            </w:r>
          </w:p>
        </w:tc>
        <w:tc>
          <w:tcPr>
            <w:tcW w:w="1316" w:type="dxa"/>
            <w:vAlign w:val="center"/>
          </w:tcPr>
          <w:p w14:paraId="33338BF2" w14:textId="5A0AB028" w:rsidR="00D1021A" w:rsidRPr="00AF316E" w:rsidRDefault="00CA29FC" w:rsidP="00D74E10">
            <w:pPr>
              <w:pStyle w:val="NotesBody11pt"/>
              <w:jc w:val="center"/>
              <w:rPr>
                <w:rFonts w:cs="Helvetica"/>
              </w:rPr>
            </w:pPr>
            <w:r>
              <w:rPr>
                <w:rFonts w:cs="Helvetica"/>
              </w:rPr>
              <w:t>610</w:t>
            </w:r>
          </w:p>
        </w:tc>
      </w:tr>
      <w:tr w:rsidR="00D1021A" w:rsidRPr="00AF316E" w14:paraId="6F6C3316" w14:textId="77777777" w:rsidTr="004E30CD">
        <w:trPr>
          <w:trHeight w:val="360"/>
          <w:jc w:val="center"/>
        </w:trPr>
        <w:tc>
          <w:tcPr>
            <w:tcW w:w="3685" w:type="dxa"/>
            <w:vAlign w:val="center"/>
          </w:tcPr>
          <w:p w14:paraId="72F867B3" w14:textId="3202C349" w:rsidR="00D1021A" w:rsidRPr="00AF316E" w:rsidRDefault="00E32A89" w:rsidP="00D74E10">
            <w:pPr>
              <w:pStyle w:val="NotesBody11pt"/>
              <w:jc w:val="left"/>
              <w:rPr>
                <w:rFonts w:cs="Helvetica"/>
              </w:rPr>
            </w:pPr>
            <w:r w:rsidRPr="00AF316E">
              <w:rPr>
                <w:rFonts w:cs="Helvetica"/>
              </w:rPr>
              <w:t>Peak RF Power at Coupler</w:t>
            </w:r>
            <w:r w:rsidR="001C03E6" w:rsidRPr="00AF316E">
              <w:rPr>
                <w:rFonts w:cs="Helvetica"/>
              </w:rPr>
              <w:t xml:space="preserve"> without margins</w:t>
            </w:r>
            <w:r w:rsidR="001723F2">
              <w:rPr>
                <w:rFonts w:cs="Helvetica"/>
              </w:rPr>
              <w:t xml:space="preserve"> (kW)</w:t>
            </w:r>
          </w:p>
        </w:tc>
        <w:tc>
          <w:tcPr>
            <w:tcW w:w="1260" w:type="dxa"/>
            <w:vAlign w:val="center"/>
          </w:tcPr>
          <w:p w14:paraId="331F084A" w14:textId="53D1AD39" w:rsidR="00D1021A" w:rsidRPr="00AF316E" w:rsidRDefault="005956FF" w:rsidP="00D74E10">
            <w:pPr>
              <w:pStyle w:val="NotesBody11pt"/>
              <w:jc w:val="center"/>
              <w:rPr>
                <w:rFonts w:cs="Helvetica"/>
              </w:rPr>
            </w:pPr>
            <w:r>
              <w:rPr>
                <w:rFonts w:cs="Helvetica"/>
              </w:rPr>
              <w:t>4.</w:t>
            </w:r>
            <w:r w:rsidR="00894C23">
              <w:rPr>
                <w:rFonts w:cs="Helvetica"/>
              </w:rPr>
              <w:t>5</w:t>
            </w:r>
          </w:p>
        </w:tc>
        <w:tc>
          <w:tcPr>
            <w:tcW w:w="1170" w:type="dxa"/>
            <w:vAlign w:val="center"/>
          </w:tcPr>
          <w:p w14:paraId="488DDDAB" w14:textId="36EBB424" w:rsidR="00D1021A" w:rsidRPr="00AF316E" w:rsidRDefault="005956FF" w:rsidP="00D74E10">
            <w:pPr>
              <w:pStyle w:val="NotesBody11pt"/>
              <w:jc w:val="center"/>
              <w:rPr>
                <w:rFonts w:cs="Helvetica"/>
              </w:rPr>
            </w:pPr>
            <w:r>
              <w:rPr>
                <w:rFonts w:cs="Helvetica"/>
              </w:rPr>
              <w:t>4.4</w:t>
            </w:r>
          </w:p>
        </w:tc>
        <w:tc>
          <w:tcPr>
            <w:tcW w:w="1170" w:type="dxa"/>
            <w:vAlign w:val="center"/>
          </w:tcPr>
          <w:p w14:paraId="057DBA59" w14:textId="4A2D98B4" w:rsidR="00894C23" w:rsidRPr="00AF316E" w:rsidRDefault="00894C23" w:rsidP="00894C23">
            <w:pPr>
              <w:pStyle w:val="NotesBody11pt"/>
              <w:jc w:val="center"/>
              <w:rPr>
                <w:rFonts w:cs="Helvetica"/>
              </w:rPr>
            </w:pPr>
            <w:r>
              <w:rPr>
                <w:rFonts w:cs="Helvetica"/>
              </w:rPr>
              <w:t>12.5</w:t>
            </w:r>
          </w:p>
        </w:tc>
        <w:tc>
          <w:tcPr>
            <w:tcW w:w="1350" w:type="dxa"/>
            <w:vAlign w:val="center"/>
          </w:tcPr>
          <w:p w14:paraId="436297E9" w14:textId="005E658C" w:rsidR="003F3C4A" w:rsidRPr="00AF316E" w:rsidRDefault="003F3C4A" w:rsidP="003F3C4A">
            <w:pPr>
              <w:pStyle w:val="NotesBody11pt"/>
              <w:jc w:val="center"/>
              <w:rPr>
                <w:rFonts w:cs="Helvetica"/>
              </w:rPr>
            </w:pPr>
            <w:r>
              <w:rPr>
                <w:rFonts w:cs="Helvetica"/>
              </w:rPr>
              <w:t>29.2</w:t>
            </w:r>
          </w:p>
        </w:tc>
        <w:tc>
          <w:tcPr>
            <w:tcW w:w="1316" w:type="dxa"/>
            <w:vAlign w:val="center"/>
          </w:tcPr>
          <w:p w14:paraId="386AAC99" w14:textId="61DC10FF" w:rsidR="00D1021A" w:rsidRPr="00AF316E" w:rsidRDefault="003F3C4A" w:rsidP="00D74E10">
            <w:pPr>
              <w:pStyle w:val="NotesBody11pt"/>
              <w:jc w:val="center"/>
              <w:rPr>
                <w:rFonts w:cs="Helvetica"/>
              </w:rPr>
            </w:pPr>
            <w:r>
              <w:rPr>
                <w:rFonts w:cs="Helvetica"/>
              </w:rPr>
              <w:t>44.3</w:t>
            </w:r>
          </w:p>
        </w:tc>
      </w:tr>
    </w:tbl>
    <w:p w14:paraId="478DC4E5" w14:textId="77777777" w:rsidR="0003244F" w:rsidRDefault="0003244F" w:rsidP="00E70646">
      <w:pPr>
        <w:pStyle w:val="NotesBody11pt"/>
      </w:pPr>
    </w:p>
    <w:p w14:paraId="7CAB80C0" w14:textId="77777777" w:rsidR="00537054" w:rsidRPr="00E70646" w:rsidRDefault="00537054" w:rsidP="00E70646">
      <w:pPr>
        <w:pStyle w:val="NotesBody11pt"/>
      </w:pPr>
    </w:p>
    <w:p w14:paraId="2C4E68F6" w14:textId="58FE844E" w:rsidR="002E1596" w:rsidRDefault="002E1596" w:rsidP="002E1596">
      <w:pPr>
        <w:pStyle w:val="Heading2"/>
      </w:pPr>
      <w:bookmarkStart w:id="25" w:name="_Toc26687940"/>
      <w:r>
        <w:t xml:space="preserve">SRF </w:t>
      </w:r>
      <w:r w:rsidR="00DF0687">
        <w:t>Amplifier Parameters</w:t>
      </w:r>
      <w:bookmarkEnd w:id="25"/>
    </w:p>
    <w:p w14:paraId="571D6E1F" w14:textId="3A04B45B" w:rsidR="002E1596" w:rsidRDefault="002E1596" w:rsidP="002E1596">
      <w:pPr>
        <w:pStyle w:val="NotesBody11pt"/>
      </w:pPr>
      <w:r w:rsidRPr="00493D40">
        <w:t>The amplifier power also must account for power losses during RF transfer from</w:t>
      </w:r>
      <w:r>
        <w:t xml:space="preserve"> the</w:t>
      </w:r>
      <w:r w:rsidRPr="00493D40">
        <w:t xml:space="preserve"> RF amplifier in the gallery to </w:t>
      </w:r>
      <w:r>
        <w:t xml:space="preserve">the </w:t>
      </w:r>
      <w:r w:rsidRPr="00493D40">
        <w:t xml:space="preserve">SRF cavities. This loss </w:t>
      </w:r>
      <w:r>
        <w:t xml:space="preserve">is </w:t>
      </w:r>
      <w:r w:rsidRPr="00493D40">
        <w:t>assumed to be 1</w:t>
      </w:r>
      <w:r w:rsidR="00D62539">
        <w:t>5</w:t>
      </w:r>
      <w:r w:rsidRPr="00493D40">
        <w:t xml:space="preserve">% for HWR, SSR, and SSR2 cavities and </w:t>
      </w:r>
      <w:r w:rsidR="00D62539">
        <w:t>10</w:t>
      </w:r>
      <w:r w:rsidRPr="00493D40">
        <w:t>% for LB650 and HB650 cavities.</w:t>
      </w:r>
    </w:p>
    <w:p w14:paraId="1F16836A" w14:textId="77777777" w:rsidR="002E1596" w:rsidRPr="00493D40" w:rsidRDefault="002E1596" w:rsidP="002E1596">
      <w:pPr>
        <w:pStyle w:val="NotesBody11pt"/>
      </w:pPr>
    </w:p>
    <w:p w14:paraId="3DBC3F6B" w14:textId="528370DB" w:rsidR="002E1596" w:rsidRDefault="003A22F2" w:rsidP="002E1596">
      <w:pPr>
        <w:pStyle w:val="NotesBody11pt"/>
      </w:pPr>
      <w:r>
        <w:fldChar w:fldCharType="begin"/>
      </w:r>
      <w:r>
        <w:instrText xml:space="preserve"> REF _Ref26539430 \h </w:instrText>
      </w:r>
      <w:r>
        <w:fldChar w:fldCharType="separate"/>
      </w:r>
      <w:r w:rsidR="00216CE9">
        <w:t xml:space="preserve">Table </w:t>
      </w:r>
      <w:r w:rsidR="00216CE9">
        <w:rPr>
          <w:noProof/>
        </w:rPr>
        <w:t>8</w:t>
      </w:r>
      <w:r w:rsidR="00216CE9">
        <w:noBreakHyphen/>
      </w:r>
      <w:r w:rsidR="00216CE9">
        <w:rPr>
          <w:noProof/>
        </w:rPr>
        <w:t>2</w:t>
      </w:r>
      <w:r w:rsidR="00216CE9">
        <w:t xml:space="preserve">. </w:t>
      </w:r>
      <w:r w:rsidR="00216CE9" w:rsidRPr="007574B0">
        <w:t>SRF Amplifier Parameters.</w:t>
      </w:r>
      <w:r>
        <w:fldChar w:fldCharType="end"/>
      </w:r>
      <w:r w:rsidR="003B2D5E">
        <w:t xml:space="preserve"> specifies the required amplifier power for each cavity type based on the peak power at the input coupler, the transmission efficiency, and the operational overshoot budget.  </w:t>
      </w:r>
      <w:r w:rsidR="002E1596">
        <w:t xml:space="preserve">This overhead was derived in </w:t>
      </w:r>
      <w:r w:rsidR="002234AA">
        <w:t>S</w:t>
      </w:r>
      <w:r w:rsidR="002E1596">
        <w:t xml:space="preserve">ection </w:t>
      </w:r>
      <w:r w:rsidR="00086919">
        <w:fldChar w:fldCharType="begin"/>
      </w:r>
      <w:r w:rsidR="00086919">
        <w:instrText xml:space="preserve"> REF _Ref26597215 \r \h </w:instrText>
      </w:r>
      <w:r w:rsidR="00086919">
        <w:fldChar w:fldCharType="separate"/>
      </w:r>
      <w:r w:rsidR="00086919">
        <w:t>6</w:t>
      </w:r>
      <w:r w:rsidR="00086919">
        <w:fldChar w:fldCharType="end"/>
      </w:r>
      <w:r w:rsidR="002E1596">
        <w:t xml:space="preserve"> of this document and listed in </w:t>
      </w:r>
      <w:r w:rsidR="002234AA">
        <w:fldChar w:fldCharType="begin"/>
      </w:r>
      <w:r w:rsidR="002234AA">
        <w:instrText xml:space="preserve"> REF _Ref26539530 \h </w:instrText>
      </w:r>
      <w:r w:rsidR="002234AA">
        <w:fldChar w:fldCharType="separate"/>
      </w:r>
      <w:r w:rsidR="002234AA">
        <w:t xml:space="preserve">Table </w:t>
      </w:r>
      <w:r w:rsidR="002234AA">
        <w:rPr>
          <w:noProof/>
        </w:rPr>
        <w:t>6</w:t>
      </w:r>
      <w:r w:rsidR="002234AA">
        <w:noBreakHyphen/>
      </w:r>
      <w:r w:rsidR="002234AA">
        <w:rPr>
          <w:noProof/>
        </w:rPr>
        <w:t>1</w:t>
      </w:r>
      <w:r w:rsidR="002234AA">
        <w:fldChar w:fldCharType="end"/>
      </w:r>
      <w:r w:rsidR="002E1596">
        <w:t xml:space="preserve">.  </w:t>
      </w:r>
      <w:r w:rsidR="00D6434E">
        <w:t>The amplifier power is assumed to correspond to the 1</w:t>
      </w:r>
      <w:r w:rsidR="0094710E">
        <w:t xml:space="preserve"> </w:t>
      </w:r>
      <w:r w:rsidR="00D6434E">
        <w:t xml:space="preserve">dB compression point of the amplifier power response.  If the amplifier </w:t>
      </w:r>
      <w:r w:rsidR="00D6434E">
        <w:lastRenderedPageBreak/>
        <w:t>becomes too non-linear to make the requested</w:t>
      </w:r>
      <w:r w:rsidR="003B2D5E">
        <w:t xml:space="preserve"> power demand</w:t>
      </w:r>
      <w:r w:rsidR="00D6434E">
        <w:t>, the LLRF system will not be able regulate the cavity field adequately.</w:t>
      </w:r>
    </w:p>
    <w:p w14:paraId="27BD312B" w14:textId="6B6C82AF" w:rsidR="00FA5D8D" w:rsidRDefault="00FA5D8D" w:rsidP="00D910B8">
      <w:pPr>
        <w:pStyle w:val="NotesBody11pt"/>
      </w:pPr>
    </w:p>
    <w:p w14:paraId="57C71FA0" w14:textId="239BB6C4" w:rsidR="002E0040" w:rsidRPr="00216CE9" w:rsidRDefault="00216CE9" w:rsidP="00216CE9">
      <w:pPr>
        <w:pStyle w:val="Caption"/>
        <w:jc w:val="center"/>
      </w:pPr>
      <w:bookmarkStart w:id="26" w:name="_Ref26539430"/>
      <w:r>
        <w:t xml:space="preserve">Table </w:t>
      </w:r>
      <w:r w:rsidR="006018C4">
        <w:fldChar w:fldCharType="begin"/>
      </w:r>
      <w:r w:rsidR="006018C4">
        <w:instrText xml:space="preserve"> STYLEREF 1 \s </w:instrText>
      </w:r>
      <w:r w:rsidR="006018C4">
        <w:fldChar w:fldCharType="separate"/>
      </w:r>
      <w:r>
        <w:rPr>
          <w:noProof/>
        </w:rPr>
        <w:t>8</w:t>
      </w:r>
      <w:r w:rsidR="006018C4">
        <w:rPr>
          <w:noProof/>
        </w:rPr>
        <w:fldChar w:fldCharType="end"/>
      </w:r>
      <w:r>
        <w:noBreakHyphen/>
      </w:r>
      <w:r w:rsidR="006018C4">
        <w:fldChar w:fldCharType="begin"/>
      </w:r>
      <w:r w:rsidR="006018C4">
        <w:instrText xml:space="preserve"> SEQ Table \* ARABIC \s 1 </w:instrText>
      </w:r>
      <w:r w:rsidR="006018C4">
        <w:fldChar w:fldCharType="separate"/>
      </w:r>
      <w:r>
        <w:rPr>
          <w:noProof/>
        </w:rPr>
        <w:t>2</w:t>
      </w:r>
      <w:r w:rsidR="006018C4">
        <w:rPr>
          <w:noProof/>
        </w:rPr>
        <w:fldChar w:fldCharType="end"/>
      </w:r>
      <w:r>
        <w:t xml:space="preserve">. </w:t>
      </w:r>
      <w:r w:rsidRPr="007574B0">
        <w:t>SRF Amplifier Parameters.</w:t>
      </w:r>
      <w:bookmarkEnd w:id="26"/>
    </w:p>
    <w:tbl>
      <w:tblPr>
        <w:tblStyle w:val="TableGrid"/>
        <w:tblW w:w="8917" w:type="dxa"/>
        <w:jc w:val="center"/>
        <w:tblLook w:val="04A0" w:firstRow="1" w:lastRow="0" w:firstColumn="1" w:lastColumn="0" w:noHBand="0" w:noVBand="1"/>
      </w:tblPr>
      <w:tblGrid>
        <w:gridCol w:w="2425"/>
        <w:gridCol w:w="1440"/>
        <w:gridCol w:w="1260"/>
        <w:gridCol w:w="1260"/>
        <w:gridCol w:w="1260"/>
        <w:gridCol w:w="1272"/>
      </w:tblGrid>
      <w:tr w:rsidR="00695E3C" w:rsidRPr="001443B9" w14:paraId="0B00F787" w14:textId="77777777" w:rsidTr="00824E5F">
        <w:trPr>
          <w:trHeight w:val="432"/>
          <w:jc w:val="center"/>
        </w:trPr>
        <w:tc>
          <w:tcPr>
            <w:tcW w:w="2425" w:type="dxa"/>
            <w:vAlign w:val="center"/>
          </w:tcPr>
          <w:p w14:paraId="36A382FC" w14:textId="64AFC1DA" w:rsidR="00695E3C" w:rsidRPr="001443B9" w:rsidRDefault="00695E3C" w:rsidP="00D916DF">
            <w:pPr>
              <w:pStyle w:val="NotesBody11pt"/>
              <w:rPr>
                <w:b/>
                <w:bCs/>
              </w:rPr>
            </w:pPr>
            <w:r w:rsidRPr="001443B9">
              <w:rPr>
                <w:b/>
                <w:bCs/>
              </w:rPr>
              <w:t>Para</w:t>
            </w:r>
            <w:r>
              <w:rPr>
                <w:b/>
                <w:bCs/>
              </w:rPr>
              <w:t>meter</w:t>
            </w:r>
          </w:p>
        </w:tc>
        <w:tc>
          <w:tcPr>
            <w:tcW w:w="1440" w:type="dxa"/>
            <w:vAlign w:val="center"/>
          </w:tcPr>
          <w:p w14:paraId="225C33CF" w14:textId="77777777" w:rsidR="00695E3C" w:rsidRPr="001443B9" w:rsidRDefault="00695E3C" w:rsidP="001443B9">
            <w:pPr>
              <w:pStyle w:val="NotesBody11pt"/>
              <w:jc w:val="center"/>
              <w:rPr>
                <w:b/>
                <w:bCs/>
              </w:rPr>
            </w:pPr>
            <w:r w:rsidRPr="001443B9">
              <w:rPr>
                <w:b/>
                <w:bCs/>
              </w:rPr>
              <w:t>HWR</w:t>
            </w:r>
          </w:p>
        </w:tc>
        <w:tc>
          <w:tcPr>
            <w:tcW w:w="1260" w:type="dxa"/>
            <w:vAlign w:val="center"/>
          </w:tcPr>
          <w:p w14:paraId="463C564E" w14:textId="77777777" w:rsidR="00695E3C" w:rsidRPr="001443B9" w:rsidRDefault="00695E3C" w:rsidP="001443B9">
            <w:pPr>
              <w:pStyle w:val="NotesBody11pt"/>
              <w:jc w:val="center"/>
              <w:rPr>
                <w:b/>
                <w:bCs/>
              </w:rPr>
            </w:pPr>
            <w:r w:rsidRPr="001443B9">
              <w:rPr>
                <w:b/>
                <w:bCs/>
              </w:rPr>
              <w:t>SSR1</w:t>
            </w:r>
          </w:p>
        </w:tc>
        <w:tc>
          <w:tcPr>
            <w:tcW w:w="1260" w:type="dxa"/>
            <w:vAlign w:val="center"/>
          </w:tcPr>
          <w:p w14:paraId="13C7BA77" w14:textId="77777777" w:rsidR="00695E3C" w:rsidRPr="001443B9" w:rsidRDefault="00695E3C" w:rsidP="001443B9">
            <w:pPr>
              <w:pStyle w:val="NotesBody11pt"/>
              <w:jc w:val="center"/>
              <w:rPr>
                <w:b/>
                <w:bCs/>
              </w:rPr>
            </w:pPr>
            <w:r w:rsidRPr="001443B9">
              <w:rPr>
                <w:b/>
                <w:bCs/>
              </w:rPr>
              <w:t>SSR2</w:t>
            </w:r>
          </w:p>
        </w:tc>
        <w:tc>
          <w:tcPr>
            <w:tcW w:w="1260" w:type="dxa"/>
            <w:vAlign w:val="center"/>
          </w:tcPr>
          <w:p w14:paraId="70492FAF" w14:textId="77777777" w:rsidR="00695E3C" w:rsidRPr="001443B9" w:rsidRDefault="00695E3C" w:rsidP="001443B9">
            <w:pPr>
              <w:pStyle w:val="NotesBody11pt"/>
              <w:jc w:val="center"/>
              <w:rPr>
                <w:b/>
                <w:bCs/>
              </w:rPr>
            </w:pPr>
            <w:r w:rsidRPr="001443B9">
              <w:rPr>
                <w:b/>
                <w:bCs/>
              </w:rPr>
              <w:t>LB650</w:t>
            </w:r>
          </w:p>
        </w:tc>
        <w:tc>
          <w:tcPr>
            <w:tcW w:w="1272" w:type="dxa"/>
            <w:vAlign w:val="center"/>
          </w:tcPr>
          <w:p w14:paraId="42B73F37" w14:textId="77777777" w:rsidR="00695E3C" w:rsidRPr="001443B9" w:rsidRDefault="00695E3C" w:rsidP="001443B9">
            <w:pPr>
              <w:pStyle w:val="NotesBody11pt"/>
              <w:jc w:val="center"/>
              <w:rPr>
                <w:b/>
                <w:bCs/>
              </w:rPr>
            </w:pPr>
            <w:r w:rsidRPr="001443B9">
              <w:rPr>
                <w:b/>
                <w:bCs/>
              </w:rPr>
              <w:t>HB650</w:t>
            </w:r>
          </w:p>
        </w:tc>
      </w:tr>
      <w:tr w:rsidR="00695E3C" w:rsidRPr="001443B9" w14:paraId="1F44584D" w14:textId="77777777" w:rsidTr="00824E5F">
        <w:trPr>
          <w:trHeight w:val="432"/>
          <w:jc w:val="center"/>
        </w:trPr>
        <w:tc>
          <w:tcPr>
            <w:tcW w:w="2425" w:type="dxa"/>
            <w:vAlign w:val="center"/>
          </w:tcPr>
          <w:p w14:paraId="3F24A1A7" w14:textId="77777777" w:rsidR="00695E3C" w:rsidRPr="001443B9" w:rsidRDefault="00695E3C" w:rsidP="001443B9">
            <w:pPr>
              <w:pStyle w:val="NotesBody11pt"/>
              <w:jc w:val="left"/>
            </w:pPr>
            <w:r w:rsidRPr="001443B9">
              <w:t>Frequency (MHz)</w:t>
            </w:r>
          </w:p>
        </w:tc>
        <w:tc>
          <w:tcPr>
            <w:tcW w:w="1440" w:type="dxa"/>
            <w:vAlign w:val="center"/>
          </w:tcPr>
          <w:p w14:paraId="50A68DE8" w14:textId="77777777" w:rsidR="00695E3C" w:rsidRPr="001443B9" w:rsidRDefault="00695E3C" w:rsidP="001443B9">
            <w:pPr>
              <w:pStyle w:val="NotesBody11pt"/>
              <w:jc w:val="center"/>
            </w:pPr>
            <w:r w:rsidRPr="001443B9">
              <w:t>162.5</w:t>
            </w:r>
          </w:p>
        </w:tc>
        <w:tc>
          <w:tcPr>
            <w:tcW w:w="1260" w:type="dxa"/>
            <w:vAlign w:val="center"/>
          </w:tcPr>
          <w:p w14:paraId="209EE18A" w14:textId="77777777" w:rsidR="00695E3C" w:rsidRPr="001443B9" w:rsidRDefault="00695E3C" w:rsidP="001443B9">
            <w:pPr>
              <w:pStyle w:val="NotesBody11pt"/>
              <w:jc w:val="center"/>
            </w:pPr>
            <w:r w:rsidRPr="001443B9">
              <w:t>325</w:t>
            </w:r>
          </w:p>
        </w:tc>
        <w:tc>
          <w:tcPr>
            <w:tcW w:w="1260" w:type="dxa"/>
            <w:vAlign w:val="center"/>
          </w:tcPr>
          <w:p w14:paraId="0A3F1FF6" w14:textId="77777777" w:rsidR="00695E3C" w:rsidRPr="001443B9" w:rsidRDefault="00695E3C" w:rsidP="001443B9">
            <w:pPr>
              <w:pStyle w:val="NotesBody11pt"/>
              <w:jc w:val="center"/>
            </w:pPr>
            <w:r w:rsidRPr="001443B9">
              <w:t>325</w:t>
            </w:r>
          </w:p>
        </w:tc>
        <w:tc>
          <w:tcPr>
            <w:tcW w:w="1260" w:type="dxa"/>
            <w:vAlign w:val="center"/>
          </w:tcPr>
          <w:p w14:paraId="32B9D604" w14:textId="77777777" w:rsidR="00695E3C" w:rsidRPr="001443B9" w:rsidRDefault="00695E3C" w:rsidP="001443B9">
            <w:pPr>
              <w:pStyle w:val="NotesBody11pt"/>
              <w:jc w:val="center"/>
            </w:pPr>
            <w:r w:rsidRPr="001443B9">
              <w:t>650</w:t>
            </w:r>
          </w:p>
        </w:tc>
        <w:tc>
          <w:tcPr>
            <w:tcW w:w="1272" w:type="dxa"/>
            <w:vAlign w:val="center"/>
          </w:tcPr>
          <w:p w14:paraId="1E543364" w14:textId="77777777" w:rsidR="00695E3C" w:rsidRPr="001443B9" w:rsidRDefault="00695E3C" w:rsidP="001443B9">
            <w:pPr>
              <w:pStyle w:val="NotesBody11pt"/>
              <w:jc w:val="center"/>
            </w:pPr>
            <w:r w:rsidRPr="001443B9">
              <w:t>650</w:t>
            </w:r>
          </w:p>
        </w:tc>
      </w:tr>
      <w:tr w:rsidR="00695E3C" w:rsidRPr="001443B9" w14:paraId="631B6FEB" w14:textId="77777777" w:rsidTr="00824E5F">
        <w:trPr>
          <w:jc w:val="center"/>
        </w:trPr>
        <w:tc>
          <w:tcPr>
            <w:tcW w:w="2425" w:type="dxa"/>
            <w:vAlign w:val="center"/>
          </w:tcPr>
          <w:p w14:paraId="1BFC34B4" w14:textId="39270E1E" w:rsidR="00695E3C" w:rsidRPr="001443B9" w:rsidRDefault="00695E3C" w:rsidP="00695E3C">
            <w:pPr>
              <w:pStyle w:val="NotesBody11pt"/>
              <w:jc w:val="left"/>
            </w:pPr>
            <w:r w:rsidRPr="00AF316E">
              <w:rPr>
                <w:rFonts w:cs="Helvetica"/>
              </w:rPr>
              <w:t xml:space="preserve">RF Transfer Line Power Efficiency </w:t>
            </w:r>
          </w:p>
        </w:tc>
        <w:tc>
          <w:tcPr>
            <w:tcW w:w="1440" w:type="dxa"/>
            <w:vAlign w:val="center"/>
          </w:tcPr>
          <w:p w14:paraId="3CA9FCD2" w14:textId="7C7C466D" w:rsidR="00695E3C" w:rsidRPr="001443B9" w:rsidRDefault="00D62539" w:rsidP="00695E3C">
            <w:pPr>
              <w:pStyle w:val="NotesBody11pt"/>
              <w:jc w:val="center"/>
            </w:pPr>
            <w:r>
              <w:rPr>
                <w:rFonts w:cs="Helvetica"/>
              </w:rPr>
              <w:t>85</w:t>
            </w:r>
            <w:r w:rsidR="00695E3C" w:rsidRPr="00AF316E">
              <w:rPr>
                <w:rFonts w:cs="Helvetica"/>
              </w:rPr>
              <w:t>%</w:t>
            </w:r>
          </w:p>
        </w:tc>
        <w:tc>
          <w:tcPr>
            <w:tcW w:w="1260" w:type="dxa"/>
            <w:vAlign w:val="center"/>
          </w:tcPr>
          <w:p w14:paraId="6054CCE5" w14:textId="61138FB2" w:rsidR="00695E3C" w:rsidRPr="001443B9" w:rsidRDefault="00D62539" w:rsidP="00695E3C">
            <w:pPr>
              <w:pStyle w:val="NotesBody11pt"/>
              <w:jc w:val="center"/>
            </w:pPr>
            <w:r>
              <w:rPr>
                <w:rFonts w:cs="Helvetica"/>
              </w:rPr>
              <w:t>85</w:t>
            </w:r>
            <w:r w:rsidR="00695E3C" w:rsidRPr="00AF316E">
              <w:rPr>
                <w:rFonts w:cs="Helvetica"/>
              </w:rPr>
              <w:t>%</w:t>
            </w:r>
          </w:p>
        </w:tc>
        <w:tc>
          <w:tcPr>
            <w:tcW w:w="1260" w:type="dxa"/>
            <w:vAlign w:val="center"/>
          </w:tcPr>
          <w:p w14:paraId="30454768" w14:textId="335F2923" w:rsidR="00695E3C" w:rsidRPr="001443B9" w:rsidRDefault="00D62539" w:rsidP="00695E3C">
            <w:pPr>
              <w:pStyle w:val="NotesBody11pt"/>
              <w:jc w:val="center"/>
            </w:pPr>
            <w:r>
              <w:rPr>
                <w:rFonts w:cs="Helvetica"/>
              </w:rPr>
              <w:t>85</w:t>
            </w:r>
            <w:r w:rsidR="00695E3C" w:rsidRPr="00AF316E">
              <w:rPr>
                <w:rFonts w:cs="Helvetica"/>
              </w:rPr>
              <w:t>%</w:t>
            </w:r>
          </w:p>
        </w:tc>
        <w:tc>
          <w:tcPr>
            <w:tcW w:w="1260" w:type="dxa"/>
            <w:vAlign w:val="center"/>
          </w:tcPr>
          <w:p w14:paraId="6CD12EEE" w14:textId="4AC8CA38" w:rsidR="00695E3C" w:rsidRPr="001443B9" w:rsidRDefault="00695E3C" w:rsidP="00695E3C">
            <w:pPr>
              <w:pStyle w:val="NotesBody11pt"/>
              <w:jc w:val="center"/>
            </w:pPr>
            <w:r w:rsidRPr="00AF316E">
              <w:rPr>
                <w:rFonts w:cs="Helvetica"/>
              </w:rPr>
              <w:t>9</w:t>
            </w:r>
            <w:r w:rsidR="00D62539">
              <w:rPr>
                <w:rFonts w:cs="Helvetica"/>
              </w:rPr>
              <w:t>0</w:t>
            </w:r>
            <w:r w:rsidRPr="00AF316E">
              <w:rPr>
                <w:rFonts w:cs="Helvetica"/>
              </w:rPr>
              <w:t>%</w:t>
            </w:r>
          </w:p>
        </w:tc>
        <w:tc>
          <w:tcPr>
            <w:tcW w:w="1272" w:type="dxa"/>
            <w:vAlign w:val="center"/>
          </w:tcPr>
          <w:p w14:paraId="30024B9C" w14:textId="44D350B8" w:rsidR="00695E3C" w:rsidRPr="001443B9" w:rsidRDefault="00695E3C" w:rsidP="00695E3C">
            <w:pPr>
              <w:pStyle w:val="NotesBody11pt"/>
              <w:jc w:val="center"/>
            </w:pPr>
            <w:r w:rsidRPr="00AF316E">
              <w:rPr>
                <w:rFonts w:cs="Helvetica"/>
              </w:rPr>
              <w:t>9</w:t>
            </w:r>
            <w:r w:rsidR="00D62539">
              <w:rPr>
                <w:rFonts w:cs="Helvetica"/>
              </w:rPr>
              <w:t>0</w:t>
            </w:r>
            <w:r w:rsidRPr="00AF316E">
              <w:rPr>
                <w:rFonts w:cs="Helvetica"/>
              </w:rPr>
              <w:t>%</w:t>
            </w:r>
          </w:p>
        </w:tc>
      </w:tr>
      <w:tr w:rsidR="00695E3C" w:rsidRPr="001443B9" w14:paraId="3F4B51D7" w14:textId="77777777" w:rsidTr="00824E5F">
        <w:trPr>
          <w:trHeight w:val="432"/>
          <w:jc w:val="center"/>
        </w:trPr>
        <w:tc>
          <w:tcPr>
            <w:tcW w:w="2425" w:type="dxa"/>
            <w:vAlign w:val="center"/>
          </w:tcPr>
          <w:p w14:paraId="2EA178D1" w14:textId="27F1B0F2" w:rsidR="00695E3C" w:rsidRPr="001443B9" w:rsidRDefault="00695E3C" w:rsidP="00695E3C">
            <w:pPr>
              <w:pStyle w:val="NotesBody11pt"/>
              <w:jc w:val="left"/>
            </w:pPr>
            <w:r>
              <w:rPr>
                <w:rFonts w:cs="Helvetica"/>
              </w:rPr>
              <w:t>Overshoot Budget</w:t>
            </w:r>
          </w:p>
        </w:tc>
        <w:tc>
          <w:tcPr>
            <w:tcW w:w="1440" w:type="dxa"/>
            <w:vAlign w:val="center"/>
          </w:tcPr>
          <w:p w14:paraId="011A886B" w14:textId="0050B390" w:rsidR="00695E3C" w:rsidRPr="001443B9" w:rsidRDefault="00695E3C" w:rsidP="00695E3C">
            <w:pPr>
              <w:pStyle w:val="NotesBody11pt"/>
              <w:jc w:val="center"/>
            </w:pPr>
            <w:r>
              <w:rPr>
                <w:rFonts w:cs="Helvetica"/>
              </w:rPr>
              <w:t>15</w:t>
            </w:r>
            <w:r w:rsidRPr="00AF316E">
              <w:rPr>
                <w:rFonts w:cs="Helvetica"/>
              </w:rPr>
              <w:t>%</w:t>
            </w:r>
          </w:p>
        </w:tc>
        <w:tc>
          <w:tcPr>
            <w:tcW w:w="1260" w:type="dxa"/>
            <w:vAlign w:val="center"/>
          </w:tcPr>
          <w:p w14:paraId="71F03341" w14:textId="7F965E95" w:rsidR="00695E3C" w:rsidRPr="001443B9" w:rsidRDefault="00695E3C" w:rsidP="00695E3C">
            <w:pPr>
              <w:pStyle w:val="NotesBody11pt"/>
              <w:jc w:val="center"/>
            </w:pPr>
            <w:r>
              <w:rPr>
                <w:rFonts w:cs="Helvetica"/>
              </w:rPr>
              <w:t>15</w:t>
            </w:r>
            <w:r w:rsidRPr="00AF316E">
              <w:rPr>
                <w:rFonts w:cs="Helvetica"/>
              </w:rPr>
              <w:t>%</w:t>
            </w:r>
          </w:p>
        </w:tc>
        <w:tc>
          <w:tcPr>
            <w:tcW w:w="1260" w:type="dxa"/>
            <w:vAlign w:val="center"/>
          </w:tcPr>
          <w:p w14:paraId="26EB4245" w14:textId="576DD41A" w:rsidR="00695E3C" w:rsidRPr="001443B9" w:rsidRDefault="00695E3C" w:rsidP="00695E3C">
            <w:pPr>
              <w:pStyle w:val="NotesBody11pt"/>
              <w:jc w:val="center"/>
            </w:pPr>
            <w:r>
              <w:rPr>
                <w:rFonts w:cs="Helvetica"/>
              </w:rPr>
              <w:t>15</w:t>
            </w:r>
            <w:r w:rsidRPr="00AF316E">
              <w:rPr>
                <w:rFonts w:cs="Helvetica"/>
              </w:rPr>
              <w:t>%</w:t>
            </w:r>
          </w:p>
        </w:tc>
        <w:tc>
          <w:tcPr>
            <w:tcW w:w="1260" w:type="dxa"/>
            <w:vAlign w:val="center"/>
          </w:tcPr>
          <w:p w14:paraId="2A5A279C" w14:textId="714E794C" w:rsidR="00695E3C" w:rsidRPr="001443B9" w:rsidRDefault="00695E3C" w:rsidP="00695E3C">
            <w:pPr>
              <w:pStyle w:val="NotesBody11pt"/>
              <w:jc w:val="center"/>
            </w:pPr>
            <w:r>
              <w:rPr>
                <w:rFonts w:cs="Helvetica"/>
              </w:rPr>
              <w:t>15</w:t>
            </w:r>
            <w:r w:rsidRPr="00AF316E">
              <w:rPr>
                <w:rFonts w:cs="Helvetica"/>
              </w:rPr>
              <w:t>%</w:t>
            </w:r>
          </w:p>
        </w:tc>
        <w:tc>
          <w:tcPr>
            <w:tcW w:w="1272" w:type="dxa"/>
            <w:vAlign w:val="center"/>
          </w:tcPr>
          <w:p w14:paraId="5FAE5DA4" w14:textId="7459DA55" w:rsidR="00695E3C" w:rsidRPr="001443B9" w:rsidRDefault="00695E3C" w:rsidP="00695E3C">
            <w:pPr>
              <w:pStyle w:val="NotesBody11pt"/>
              <w:jc w:val="center"/>
            </w:pPr>
            <w:r>
              <w:rPr>
                <w:rFonts w:cs="Helvetica"/>
              </w:rPr>
              <w:t>15</w:t>
            </w:r>
            <w:r w:rsidRPr="00AF316E">
              <w:rPr>
                <w:rFonts w:cs="Helvetica"/>
              </w:rPr>
              <w:t>%</w:t>
            </w:r>
          </w:p>
        </w:tc>
      </w:tr>
      <w:tr w:rsidR="00695E3C" w:rsidRPr="001443B9" w14:paraId="7C4484A9" w14:textId="77777777" w:rsidTr="00824E5F">
        <w:trPr>
          <w:trHeight w:val="432"/>
          <w:jc w:val="center"/>
        </w:trPr>
        <w:tc>
          <w:tcPr>
            <w:tcW w:w="2425" w:type="dxa"/>
            <w:vAlign w:val="center"/>
          </w:tcPr>
          <w:p w14:paraId="478F8936" w14:textId="77777777" w:rsidR="00695E3C" w:rsidRPr="001443B9" w:rsidRDefault="00695E3C" w:rsidP="001443B9">
            <w:pPr>
              <w:pStyle w:val="NotesBody11pt"/>
              <w:jc w:val="left"/>
            </w:pPr>
            <w:r w:rsidRPr="001443B9">
              <w:t>Amplifier power (kW)</w:t>
            </w:r>
          </w:p>
        </w:tc>
        <w:tc>
          <w:tcPr>
            <w:tcW w:w="1440" w:type="dxa"/>
            <w:vAlign w:val="center"/>
          </w:tcPr>
          <w:p w14:paraId="1474B21C" w14:textId="1E4DF1CE" w:rsidR="00695E3C" w:rsidRPr="001443B9" w:rsidRDefault="004C00B3" w:rsidP="001443B9">
            <w:pPr>
              <w:pStyle w:val="NotesBody11pt"/>
              <w:jc w:val="center"/>
            </w:pPr>
            <w:r>
              <w:t>0.</w:t>
            </w:r>
            <w:r w:rsidR="00FD6F05">
              <w:t>41</w:t>
            </w:r>
            <w:r w:rsidR="00695E3C" w:rsidRPr="001443B9">
              <w:t xml:space="preserve">* / </w:t>
            </w:r>
            <w:r w:rsidR="00C82D70">
              <w:t>6.</w:t>
            </w:r>
            <w:r w:rsidR="00573E67">
              <w:t>2</w:t>
            </w:r>
          </w:p>
        </w:tc>
        <w:tc>
          <w:tcPr>
            <w:tcW w:w="1260" w:type="dxa"/>
            <w:vAlign w:val="center"/>
          </w:tcPr>
          <w:p w14:paraId="5BE191D2" w14:textId="5CB24084" w:rsidR="00695E3C" w:rsidRPr="001443B9" w:rsidRDefault="00C82D70" w:rsidP="001443B9">
            <w:pPr>
              <w:pStyle w:val="NotesBody11pt"/>
              <w:jc w:val="center"/>
            </w:pPr>
            <w:r>
              <w:t>6.1</w:t>
            </w:r>
          </w:p>
        </w:tc>
        <w:tc>
          <w:tcPr>
            <w:tcW w:w="1260" w:type="dxa"/>
            <w:vAlign w:val="center"/>
          </w:tcPr>
          <w:p w14:paraId="77A40139" w14:textId="6D09D57D" w:rsidR="00695E3C" w:rsidRPr="001443B9" w:rsidRDefault="00C82D70" w:rsidP="001443B9">
            <w:pPr>
              <w:pStyle w:val="NotesBody11pt"/>
              <w:jc w:val="center"/>
            </w:pPr>
            <w:r>
              <w:t>1</w:t>
            </w:r>
            <w:r w:rsidR="00573E67">
              <w:t>7.3</w:t>
            </w:r>
          </w:p>
        </w:tc>
        <w:tc>
          <w:tcPr>
            <w:tcW w:w="1260" w:type="dxa"/>
            <w:vAlign w:val="center"/>
          </w:tcPr>
          <w:p w14:paraId="69CFE309" w14:textId="73CFD531" w:rsidR="00695E3C" w:rsidRPr="001443B9" w:rsidRDefault="00573E67" w:rsidP="001443B9">
            <w:pPr>
              <w:pStyle w:val="NotesBody11pt"/>
              <w:jc w:val="center"/>
            </w:pPr>
            <w:r>
              <w:t>38.2</w:t>
            </w:r>
          </w:p>
        </w:tc>
        <w:tc>
          <w:tcPr>
            <w:tcW w:w="1272" w:type="dxa"/>
            <w:vAlign w:val="center"/>
          </w:tcPr>
          <w:p w14:paraId="6745CFDF" w14:textId="470B881B" w:rsidR="00695E3C" w:rsidRPr="001443B9" w:rsidRDefault="00573E67" w:rsidP="001443B9">
            <w:pPr>
              <w:pStyle w:val="NotesBody11pt"/>
              <w:jc w:val="center"/>
            </w:pPr>
            <w:r>
              <w:t>57.9</w:t>
            </w:r>
          </w:p>
        </w:tc>
      </w:tr>
    </w:tbl>
    <w:p w14:paraId="2D6D0BD5" w14:textId="663B604F" w:rsidR="00537054" w:rsidRDefault="00357034" w:rsidP="00795512">
      <w:pPr>
        <w:pStyle w:val="NotesBody11pt"/>
        <w:ind w:left="360" w:firstLine="432"/>
      </w:pPr>
      <w:r>
        <w:t xml:space="preserve">*- </w:t>
      </w:r>
      <w:r w:rsidR="000452BA">
        <w:t>P</w:t>
      </w:r>
      <w:r>
        <w:t xml:space="preserve">ower of the first HWR amplifier </w:t>
      </w:r>
    </w:p>
    <w:p w14:paraId="0EEAAA8B" w14:textId="77777777" w:rsidR="004E1584" w:rsidRPr="00357034" w:rsidRDefault="004E1584" w:rsidP="00795512">
      <w:pPr>
        <w:pStyle w:val="NotesBody11pt"/>
        <w:ind w:left="360" w:firstLine="432"/>
      </w:pPr>
    </w:p>
    <w:p w14:paraId="1AA0E877" w14:textId="42A61837" w:rsidR="00085DDC" w:rsidRDefault="004C00B3" w:rsidP="00547BC9">
      <w:pPr>
        <w:pStyle w:val="Heading2"/>
      </w:pPr>
      <w:bookmarkStart w:id="27" w:name="_Toc26687941"/>
      <w:r>
        <w:t>Eq</w:t>
      </w:r>
      <w:r w:rsidR="00AB414B">
        <w:t>ui</w:t>
      </w:r>
      <w:r>
        <w:t>pment</w:t>
      </w:r>
      <w:r w:rsidR="00830F9F">
        <w:t xml:space="preserve"> Protection</w:t>
      </w:r>
      <w:bookmarkEnd w:id="27"/>
      <w:r w:rsidR="00530428">
        <w:t xml:space="preserve"> </w:t>
      </w:r>
    </w:p>
    <w:p w14:paraId="78FBD9C8" w14:textId="7AB8B79C" w:rsidR="00AB414B" w:rsidRDefault="35A1C768" w:rsidP="00AB414B">
      <w:pPr>
        <w:pStyle w:val="NotesBody11pt"/>
      </w:pPr>
      <w:r>
        <w:t xml:space="preserve">The SRF cavity and input coupler need to be protected from damage when a quench or electrical fault (multipacting or spark) occurs in the vacuum section.  It assumes that there is no way to remove the stored energy in the cavity once a quench or fault occurs.  All components connected to the cavity, including the cavity itself, must be able to withstand the full stored energy of the cavity in the event of a fault condition.  The RF protection system is specified to ensure that the components are not exposed to more than 10% of extra energy from the RF power amplifiers than components would be exposed to from the cavity energy.  </w:t>
      </w:r>
      <w:r w:rsidR="00FE51F3">
        <w:fldChar w:fldCharType="begin"/>
      </w:r>
      <w:r w:rsidR="00FE51F3">
        <w:instrText xml:space="preserve"> REF _Ref26597276 \h </w:instrText>
      </w:r>
      <w:r w:rsidR="00FE51F3">
        <w:fldChar w:fldCharType="separate"/>
      </w:r>
      <w:r w:rsidR="00FE51F3">
        <w:t xml:space="preserve">Table </w:t>
      </w:r>
      <w:r w:rsidR="00FE51F3" w:rsidRPr="35A1C768">
        <w:t>8</w:t>
      </w:r>
      <w:r w:rsidR="00FE51F3">
        <w:noBreakHyphen/>
      </w:r>
      <w:r w:rsidR="00FE51F3">
        <w:rPr>
          <w:noProof/>
        </w:rPr>
        <w:t>3</w:t>
      </w:r>
      <w:r w:rsidR="00FE51F3">
        <w:fldChar w:fldCharType="end"/>
      </w:r>
      <w:r>
        <w:t xml:space="preserve"> summarizes the cavity stored energy parameters that can be created in a fault condition.  The response time of the interlocks is derived from the 10% limit and the maximum amplifier output power.</w:t>
      </w:r>
    </w:p>
    <w:p w14:paraId="03AD695D" w14:textId="77777777" w:rsidR="00795512" w:rsidRPr="00AB414B" w:rsidRDefault="00795512" w:rsidP="00AB414B">
      <w:pPr>
        <w:pStyle w:val="NotesBody11pt"/>
      </w:pPr>
    </w:p>
    <w:p w14:paraId="50AB86A4" w14:textId="2AE49557" w:rsidR="008967D2" w:rsidRDefault="008967D2" w:rsidP="00795512">
      <w:pPr>
        <w:pStyle w:val="Caption"/>
        <w:jc w:val="center"/>
      </w:pPr>
      <w:bookmarkStart w:id="28" w:name="_Ref26597276"/>
      <w:r>
        <w:t xml:space="preserve">Table </w:t>
      </w:r>
      <w:r w:rsidR="006018C4">
        <w:fldChar w:fldCharType="begin"/>
      </w:r>
      <w:r w:rsidR="006018C4">
        <w:instrText xml:space="preserve"> STYLEREF 1 \s </w:instrText>
      </w:r>
      <w:r w:rsidR="006018C4">
        <w:fldChar w:fldCharType="separate"/>
      </w:r>
      <w:r w:rsidR="00216CE9" w:rsidRPr="35A1C768">
        <w:t>8</w:t>
      </w:r>
      <w:r w:rsidR="006018C4">
        <w:fldChar w:fldCharType="end"/>
      </w:r>
      <w:r w:rsidR="00216CE9">
        <w:noBreakHyphen/>
      </w:r>
      <w:r w:rsidR="006018C4">
        <w:fldChar w:fldCharType="begin"/>
      </w:r>
      <w:r w:rsidR="006018C4">
        <w:instrText xml:space="preserve"> SEQ Table \* ARABIC \s 1 </w:instrText>
      </w:r>
      <w:r w:rsidR="006018C4">
        <w:fldChar w:fldCharType="separate"/>
      </w:r>
      <w:r w:rsidR="00FE51F3">
        <w:rPr>
          <w:noProof/>
        </w:rPr>
        <w:t>3</w:t>
      </w:r>
      <w:r w:rsidR="006018C4">
        <w:rPr>
          <w:noProof/>
        </w:rPr>
        <w:fldChar w:fldCharType="end"/>
      </w:r>
      <w:bookmarkEnd w:id="28"/>
      <w:r>
        <w:t>:  SRF Equipment Protection Parameters</w:t>
      </w:r>
    </w:p>
    <w:tbl>
      <w:tblPr>
        <w:tblStyle w:val="TableGrid"/>
        <w:tblW w:w="8917" w:type="dxa"/>
        <w:jc w:val="center"/>
        <w:tblLook w:val="04A0" w:firstRow="1" w:lastRow="0" w:firstColumn="1" w:lastColumn="0" w:noHBand="0" w:noVBand="1"/>
      </w:tblPr>
      <w:tblGrid>
        <w:gridCol w:w="2605"/>
        <w:gridCol w:w="1260"/>
        <w:gridCol w:w="1260"/>
        <w:gridCol w:w="1260"/>
        <w:gridCol w:w="1260"/>
        <w:gridCol w:w="1272"/>
      </w:tblGrid>
      <w:tr w:rsidR="00EF7A4F" w:rsidRPr="001443B9" w14:paraId="2B8D72C2" w14:textId="77777777" w:rsidTr="005766AE">
        <w:trPr>
          <w:trHeight w:val="360"/>
          <w:jc w:val="center"/>
        </w:trPr>
        <w:tc>
          <w:tcPr>
            <w:tcW w:w="2605" w:type="dxa"/>
          </w:tcPr>
          <w:p w14:paraId="2D22F6C6" w14:textId="77777777" w:rsidR="00EF7A4F" w:rsidRPr="001443B9" w:rsidRDefault="00EF7A4F" w:rsidP="00D55C0B">
            <w:pPr>
              <w:pStyle w:val="NotesBody11pt"/>
              <w:rPr>
                <w:b/>
                <w:bCs/>
              </w:rPr>
            </w:pPr>
            <w:r w:rsidRPr="001443B9">
              <w:rPr>
                <w:b/>
                <w:bCs/>
              </w:rPr>
              <w:t>Para</w:t>
            </w:r>
            <w:r>
              <w:rPr>
                <w:b/>
                <w:bCs/>
              </w:rPr>
              <w:t>meter</w:t>
            </w:r>
          </w:p>
        </w:tc>
        <w:tc>
          <w:tcPr>
            <w:tcW w:w="1260" w:type="dxa"/>
          </w:tcPr>
          <w:p w14:paraId="3161E378" w14:textId="77777777" w:rsidR="00EF7A4F" w:rsidRPr="001443B9" w:rsidRDefault="00EF7A4F" w:rsidP="00D55C0B">
            <w:pPr>
              <w:pStyle w:val="NotesBody11pt"/>
              <w:jc w:val="center"/>
              <w:rPr>
                <w:b/>
                <w:bCs/>
              </w:rPr>
            </w:pPr>
            <w:r w:rsidRPr="001443B9">
              <w:rPr>
                <w:b/>
                <w:bCs/>
              </w:rPr>
              <w:t>HWR</w:t>
            </w:r>
          </w:p>
        </w:tc>
        <w:tc>
          <w:tcPr>
            <w:tcW w:w="1260" w:type="dxa"/>
          </w:tcPr>
          <w:p w14:paraId="13604EC2" w14:textId="77777777" w:rsidR="00EF7A4F" w:rsidRPr="001443B9" w:rsidRDefault="00EF7A4F" w:rsidP="00D55C0B">
            <w:pPr>
              <w:pStyle w:val="NotesBody11pt"/>
              <w:jc w:val="center"/>
              <w:rPr>
                <w:b/>
                <w:bCs/>
              </w:rPr>
            </w:pPr>
            <w:r w:rsidRPr="001443B9">
              <w:rPr>
                <w:b/>
                <w:bCs/>
              </w:rPr>
              <w:t>SSR1</w:t>
            </w:r>
          </w:p>
        </w:tc>
        <w:tc>
          <w:tcPr>
            <w:tcW w:w="1260" w:type="dxa"/>
          </w:tcPr>
          <w:p w14:paraId="70BA2BFC" w14:textId="77777777" w:rsidR="00EF7A4F" w:rsidRPr="001443B9" w:rsidRDefault="00EF7A4F" w:rsidP="00D55C0B">
            <w:pPr>
              <w:pStyle w:val="NotesBody11pt"/>
              <w:jc w:val="center"/>
              <w:rPr>
                <w:b/>
                <w:bCs/>
              </w:rPr>
            </w:pPr>
            <w:r w:rsidRPr="001443B9">
              <w:rPr>
                <w:b/>
                <w:bCs/>
              </w:rPr>
              <w:t>SSR2</w:t>
            </w:r>
          </w:p>
        </w:tc>
        <w:tc>
          <w:tcPr>
            <w:tcW w:w="1260" w:type="dxa"/>
          </w:tcPr>
          <w:p w14:paraId="313655A3" w14:textId="77777777" w:rsidR="00EF7A4F" w:rsidRPr="001443B9" w:rsidRDefault="00EF7A4F" w:rsidP="00D55C0B">
            <w:pPr>
              <w:pStyle w:val="NotesBody11pt"/>
              <w:jc w:val="center"/>
              <w:rPr>
                <w:b/>
                <w:bCs/>
              </w:rPr>
            </w:pPr>
            <w:r w:rsidRPr="001443B9">
              <w:rPr>
                <w:b/>
                <w:bCs/>
              </w:rPr>
              <w:t>LB650</w:t>
            </w:r>
          </w:p>
        </w:tc>
        <w:tc>
          <w:tcPr>
            <w:tcW w:w="1272" w:type="dxa"/>
          </w:tcPr>
          <w:p w14:paraId="0C80280F" w14:textId="77777777" w:rsidR="00EF7A4F" w:rsidRPr="001443B9" w:rsidRDefault="00EF7A4F" w:rsidP="00D55C0B">
            <w:pPr>
              <w:pStyle w:val="NotesBody11pt"/>
              <w:jc w:val="center"/>
              <w:rPr>
                <w:b/>
                <w:bCs/>
              </w:rPr>
            </w:pPr>
            <w:r w:rsidRPr="001443B9">
              <w:rPr>
                <w:b/>
                <w:bCs/>
              </w:rPr>
              <w:t>HB650</w:t>
            </w:r>
          </w:p>
        </w:tc>
      </w:tr>
      <w:tr w:rsidR="00EF7A4F" w:rsidRPr="001443B9" w14:paraId="0B4DC53C" w14:textId="77777777" w:rsidTr="00D552FE">
        <w:trPr>
          <w:jc w:val="center"/>
        </w:trPr>
        <w:tc>
          <w:tcPr>
            <w:tcW w:w="2605" w:type="dxa"/>
            <w:vAlign w:val="center"/>
          </w:tcPr>
          <w:p w14:paraId="6C7855DD" w14:textId="14F7A6EA" w:rsidR="00EF7A4F" w:rsidRPr="001443B9" w:rsidRDefault="00EF7A4F" w:rsidP="00D55C0B">
            <w:pPr>
              <w:pStyle w:val="NotesBody11pt"/>
              <w:jc w:val="left"/>
            </w:pPr>
            <w:r>
              <w:t>Peak Return Power from Cavity Decay</w:t>
            </w:r>
            <w:r w:rsidR="004F5261">
              <w:t xml:space="preserve"> (kW)</w:t>
            </w:r>
          </w:p>
        </w:tc>
        <w:tc>
          <w:tcPr>
            <w:tcW w:w="1260" w:type="dxa"/>
            <w:vAlign w:val="center"/>
          </w:tcPr>
          <w:p w14:paraId="5F82F3DF" w14:textId="20BFDFDB" w:rsidR="00EF7A4F" w:rsidRPr="001443B9" w:rsidRDefault="00C75498" w:rsidP="00D55C0B">
            <w:pPr>
              <w:pStyle w:val="NotesBody11pt"/>
              <w:jc w:val="center"/>
            </w:pPr>
            <w:r>
              <w:t>8.9</w:t>
            </w:r>
          </w:p>
        </w:tc>
        <w:tc>
          <w:tcPr>
            <w:tcW w:w="1260" w:type="dxa"/>
            <w:vAlign w:val="center"/>
          </w:tcPr>
          <w:p w14:paraId="3DD2A421" w14:textId="7FDB0330" w:rsidR="00EF7A4F" w:rsidRPr="001443B9" w:rsidRDefault="00C75498" w:rsidP="00D55C0B">
            <w:pPr>
              <w:pStyle w:val="NotesBody11pt"/>
              <w:jc w:val="center"/>
            </w:pPr>
            <w:r>
              <w:t>6.6</w:t>
            </w:r>
          </w:p>
        </w:tc>
        <w:tc>
          <w:tcPr>
            <w:tcW w:w="1260" w:type="dxa"/>
            <w:vAlign w:val="center"/>
          </w:tcPr>
          <w:p w14:paraId="54EF51F7" w14:textId="1E231D69" w:rsidR="00EF7A4F" w:rsidRPr="001443B9" w:rsidRDefault="00FA5490" w:rsidP="00D55C0B">
            <w:pPr>
              <w:pStyle w:val="NotesBody11pt"/>
              <w:jc w:val="center"/>
            </w:pPr>
            <w:r>
              <w:t>23</w:t>
            </w:r>
          </w:p>
        </w:tc>
        <w:tc>
          <w:tcPr>
            <w:tcW w:w="1260" w:type="dxa"/>
            <w:vAlign w:val="center"/>
          </w:tcPr>
          <w:p w14:paraId="7C28519C" w14:textId="0E688627" w:rsidR="00EF7A4F" w:rsidRPr="001443B9" w:rsidRDefault="004F5261" w:rsidP="00D55C0B">
            <w:pPr>
              <w:pStyle w:val="NotesBody11pt"/>
              <w:jc w:val="center"/>
            </w:pPr>
            <w:r>
              <w:t>55</w:t>
            </w:r>
          </w:p>
        </w:tc>
        <w:tc>
          <w:tcPr>
            <w:tcW w:w="1272" w:type="dxa"/>
            <w:vAlign w:val="center"/>
          </w:tcPr>
          <w:p w14:paraId="31CFC88E" w14:textId="480490B7" w:rsidR="00EF7A4F" w:rsidRPr="001443B9" w:rsidRDefault="004F5261" w:rsidP="00D55C0B">
            <w:pPr>
              <w:pStyle w:val="NotesBody11pt"/>
              <w:jc w:val="center"/>
            </w:pPr>
            <w:r>
              <w:t>8</w:t>
            </w:r>
            <w:r w:rsidR="00FA5490">
              <w:t>9</w:t>
            </w:r>
          </w:p>
        </w:tc>
      </w:tr>
      <w:tr w:rsidR="00EF7A4F" w:rsidRPr="001443B9" w14:paraId="088C82A8" w14:textId="77777777" w:rsidTr="00D552FE">
        <w:trPr>
          <w:jc w:val="center"/>
        </w:trPr>
        <w:tc>
          <w:tcPr>
            <w:tcW w:w="2605" w:type="dxa"/>
            <w:vAlign w:val="center"/>
          </w:tcPr>
          <w:p w14:paraId="41943383" w14:textId="00322823" w:rsidR="00EF7A4F" w:rsidRPr="001443B9" w:rsidRDefault="008B2CDC" w:rsidP="00D55C0B">
            <w:pPr>
              <w:pStyle w:val="NotesBody11pt"/>
              <w:jc w:val="left"/>
            </w:pPr>
            <w:r>
              <w:rPr>
                <w:rFonts w:cs="Helvetica"/>
              </w:rPr>
              <w:t>Cavity Decay Time at Peak Energy</w:t>
            </w:r>
            <w:r w:rsidR="00EF7A4F" w:rsidRPr="00AF316E">
              <w:rPr>
                <w:rFonts w:cs="Helvetica"/>
              </w:rPr>
              <w:t xml:space="preserve"> </w:t>
            </w:r>
            <w:r w:rsidR="004F5261">
              <w:rPr>
                <w:rFonts w:cs="Helvetica"/>
              </w:rPr>
              <w:t>(ms)</w:t>
            </w:r>
          </w:p>
        </w:tc>
        <w:tc>
          <w:tcPr>
            <w:tcW w:w="1260" w:type="dxa"/>
            <w:vAlign w:val="center"/>
          </w:tcPr>
          <w:p w14:paraId="6D890294" w14:textId="0E7A4137" w:rsidR="00EF7A4F" w:rsidRPr="001443B9" w:rsidRDefault="004F5261" w:rsidP="00D55C0B">
            <w:pPr>
              <w:pStyle w:val="NotesBody11pt"/>
              <w:jc w:val="center"/>
            </w:pPr>
            <w:r>
              <w:rPr>
                <w:rFonts w:cs="Helvetica"/>
              </w:rPr>
              <w:t>2.</w:t>
            </w:r>
            <w:r w:rsidR="00402C99">
              <w:rPr>
                <w:rFonts w:cs="Helvetica"/>
              </w:rPr>
              <w:t>99</w:t>
            </w:r>
          </w:p>
        </w:tc>
        <w:tc>
          <w:tcPr>
            <w:tcW w:w="1260" w:type="dxa"/>
            <w:vAlign w:val="center"/>
          </w:tcPr>
          <w:p w14:paraId="3C34C760" w14:textId="60C7EFF2" w:rsidR="00EF7A4F" w:rsidRPr="001443B9" w:rsidRDefault="004F5261" w:rsidP="00D55C0B">
            <w:pPr>
              <w:pStyle w:val="NotesBody11pt"/>
              <w:jc w:val="center"/>
            </w:pPr>
            <w:r>
              <w:rPr>
                <w:rFonts w:cs="Helvetica"/>
              </w:rPr>
              <w:t>1.</w:t>
            </w:r>
            <w:r w:rsidR="00311557">
              <w:rPr>
                <w:rFonts w:cs="Helvetica"/>
              </w:rPr>
              <w:t>93</w:t>
            </w:r>
          </w:p>
        </w:tc>
        <w:tc>
          <w:tcPr>
            <w:tcW w:w="1260" w:type="dxa"/>
            <w:vAlign w:val="center"/>
          </w:tcPr>
          <w:p w14:paraId="4FD17F06" w14:textId="23743EE0" w:rsidR="00EF7A4F" w:rsidRPr="001443B9" w:rsidRDefault="004F5261" w:rsidP="00D55C0B">
            <w:pPr>
              <w:pStyle w:val="NotesBody11pt"/>
              <w:jc w:val="center"/>
            </w:pPr>
            <w:r>
              <w:rPr>
                <w:rFonts w:cs="Helvetica"/>
              </w:rPr>
              <w:t>2.</w:t>
            </w:r>
            <w:r w:rsidR="00311557">
              <w:rPr>
                <w:rFonts w:cs="Helvetica"/>
              </w:rPr>
              <w:t>89</w:t>
            </w:r>
          </w:p>
        </w:tc>
        <w:tc>
          <w:tcPr>
            <w:tcW w:w="1260" w:type="dxa"/>
            <w:vAlign w:val="center"/>
          </w:tcPr>
          <w:p w14:paraId="3302D828" w14:textId="257CC9C9" w:rsidR="00EF7A4F" w:rsidRPr="001443B9" w:rsidRDefault="004F5261" w:rsidP="00D55C0B">
            <w:pPr>
              <w:pStyle w:val="NotesBody11pt"/>
              <w:jc w:val="center"/>
            </w:pPr>
            <w:r>
              <w:rPr>
                <w:rFonts w:cs="Helvetica"/>
              </w:rPr>
              <w:t>2.</w:t>
            </w:r>
            <w:r w:rsidR="00311557">
              <w:rPr>
                <w:rFonts w:cs="Helvetica"/>
              </w:rPr>
              <w:t>95</w:t>
            </w:r>
          </w:p>
        </w:tc>
        <w:tc>
          <w:tcPr>
            <w:tcW w:w="1272" w:type="dxa"/>
            <w:vAlign w:val="center"/>
          </w:tcPr>
          <w:p w14:paraId="0F2B3B3E" w14:textId="20765B9B" w:rsidR="00EF7A4F" w:rsidRPr="001443B9" w:rsidRDefault="00311557" w:rsidP="00D55C0B">
            <w:pPr>
              <w:pStyle w:val="NotesBody11pt"/>
              <w:jc w:val="center"/>
            </w:pPr>
            <w:r>
              <w:rPr>
                <w:rFonts w:cs="Helvetica"/>
              </w:rPr>
              <w:t>3.07</w:t>
            </w:r>
          </w:p>
        </w:tc>
      </w:tr>
      <w:tr w:rsidR="00EF7A4F" w:rsidRPr="001443B9" w14:paraId="1FCA552F" w14:textId="77777777" w:rsidTr="00D552FE">
        <w:trPr>
          <w:jc w:val="center"/>
        </w:trPr>
        <w:tc>
          <w:tcPr>
            <w:tcW w:w="2605" w:type="dxa"/>
            <w:vAlign w:val="center"/>
          </w:tcPr>
          <w:p w14:paraId="117D254D" w14:textId="2F97866E" w:rsidR="00EF7A4F" w:rsidRPr="001443B9" w:rsidRDefault="008B2CDC" w:rsidP="00D55C0B">
            <w:pPr>
              <w:pStyle w:val="NotesBody11pt"/>
              <w:jc w:val="left"/>
            </w:pPr>
            <w:r>
              <w:t>Max Energy to Fault Condition</w:t>
            </w:r>
            <w:r w:rsidR="004F5261">
              <w:t xml:space="preserve"> (J)</w:t>
            </w:r>
          </w:p>
        </w:tc>
        <w:tc>
          <w:tcPr>
            <w:tcW w:w="1260" w:type="dxa"/>
            <w:vAlign w:val="center"/>
          </w:tcPr>
          <w:p w14:paraId="090CAC47" w14:textId="5E1551E1" w:rsidR="00EF7A4F" w:rsidRPr="001443B9" w:rsidRDefault="004F5261" w:rsidP="00D55C0B">
            <w:pPr>
              <w:pStyle w:val="NotesBody11pt"/>
              <w:jc w:val="center"/>
            </w:pPr>
            <w:r>
              <w:rPr>
                <w:rFonts w:cs="Helvetica"/>
              </w:rPr>
              <w:t>16</w:t>
            </w:r>
            <w:r w:rsidR="00402C99">
              <w:rPr>
                <w:rFonts w:cs="Helvetica"/>
              </w:rPr>
              <w:t>.6</w:t>
            </w:r>
          </w:p>
        </w:tc>
        <w:tc>
          <w:tcPr>
            <w:tcW w:w="1260" w:type="dxa"/>
            <w:vAlign w:val="center"/>
          </w:tcPr>
          <w:p w14:paraId="4639E733" w14:textId="15334264" w:rsidR="00EF7A4F" w:rsidRPr="001443B9" w:rsidRDefault="004F5261" w:rsidP="00D55C0B">
            <w:pPr>
              <w:pStyle w:val="NotesBody11pt"/>
              <w:jc w:val="center"/>
            </w:pPr>
            <w:r>
              <w:rPr>
                <w:rFonts w:cs="Helvetica"/>
              </w:rPr>
              <w:t>9.4</w:t>
            </w:r>
          </w:p>
        </w:tc>
        <w:tc>
          <w:tcPr>
            <w:tcW w:w="1260" w:type="dxa"/>
            <w:vAlign w:val="center"/>
          </w:tcPr>
          <w:p w14:paraId="36676D57" w14:textId="717D192B" w:rsidR="00EF7A4F" w:rsidRPr="001443B9" w:rsidRDefault="004F5261" w:rsidP="00D55C0B">
            <w:pPr>
              <w:pStyle w:val="NotesBody11pt"/>
              <w:jc w:val="center"/>
            </w:pPr>
            <w:r>
              <w:rPr>
                <w:rFonts w:cs="Helvetica"/>
              </w:rPr>
              <w:t>45</w:t>
            </w:r>
          </w:p>
        </w:tc>
        <w:tc>
          <w:tcPr>
            <w:tcW w:w="1260" w:type="dxa"/>
            <w:vAlign w:val="center"/>
          </w:tcPr>
          <w:p w14:paraId="38DA65F7" w14:textId="278A0840" w:rsidR="00EF7A4F" w:rsidRPr="001443B9" w:rsidRDefault="004F5261" w:rsidP="00D55C0B">
            <w:pPr>
              <w:pStyle w:val="NotesBody11pt"/>
              <w:jc w:val="center"/>
            </w:pPr>
            <w:r>
              <w:rPr>
                <w:rFonts w:cs="Helvetica"/>
              </w:rPr>
              <w:t>110</w:t>
            </w:r>
          </w:p>
        </w:tc>
        <w:tc>
          <w:tcPr>
            <w:tcW w:w="1272" w:type="dxa"/>
            <w:vAlign w:val="center"/>
          </w:tcPr>
          <w:p w14:paraId="2D8699E3" w14:textId="31EA28E5" w:rsidR="00EF7A4F" w:rsidRPr="001443B9" w:rsidRDefault="004F5261" w:rsidP="00D55C0B">
            <w:pPr>
              <w:pStyle w:val="NotesBody11pt"/>
              <w:jc w:val="center"/>
            </w:pPr>
            <w:r>
              <w:rPr>
                <w:rFonts w:cs="Helvetica"/>
              </w:rPr>
              <w:t>173</w:t>
            </w:r>
          </w:p>
        </w:tc>
      </w:tr>
      <w:tr w:rsidR="00EF7A4F" w:rsidRPr="001443B9" w14:paraId="35833555" w14:textId="77777777" w:rsidTr="00D552FE">
        <w:trPr>
          <w:jc w:val="center"/>
        </w:trPr>
        <w:tc>
          <w:tcPr>
            <w:tcW w:w="2605" w:type="dxa"/>
            <w:vAlign w:val="center"/>
          </w:tcPr>
          <w:p w14:paraId="3032BD00" w14:textId="5A91AFB8" w:rsidR="00EF7A4F" w:rsidRPr="001443B9" w:rsidRDefault="004F5261" w:rsidP="00D55C0B">
            <w:pPr>
              <w:pStyle w:val="NotesBody11pt"/>
              <w:jc w:val="left"/>
            </w:pPr>
            <w:r>
              <w:t>Interlocks Response Time (us)</w:t>
            </w:r>
          </w:p>
        </w:tc>
        <w:tc>
          <w:tcPr>
            <w:tcW w:w="1260" w:type="dxa"/>
            <w:vAlign w:val="center"/>
          </w:tcPr>
          <w:p w14:paraId="25896312" w14:textId="2BE47D0B" w:rsidR="00EF7A4F" w:rsidRPr="001443B9" w:rsidRDefault="001A286D" w:rsidP="00D55C0B">
            <w:pPr>
              <w:pStyle w:val="NotesBody11pt"/>
              <w:jc w:val="center"/>
            </w:pPr>
            <w:r>
              <w:t>248</w:t>
            </w:r>
          </w:p>
        </w:tc>
        <w:tc>
          <w:tcPr>
            <w:tcW w:w="1260" w:type="dxa"/>
            <w:vAlign w:val="center"/>
          </w:tcPr>
          <w:p w14:paraId="22AA7A9D" w14:textId="3CDE6CFB" w:rsidR="00EF7A4F" w:rsidRPr="001443B9" w:rsidRDefault="001A286D" w:rsidP="00D55C0B">
            <w:pPr>
              <w:pStyle w:val="NotesBody11pt"/>
              <w:jc w:val="center"/>
            </w:pPr>
            <w:r>
              <w:t>140</w:t>
            </w:r>
          </w:p>
        </w:tc>
        <w:tc>
          <w:tcPr>
            <w:tcW w:w="1260" w:type="dxa"/>
            <w:vAlign w:val="center"/>
          </w:tcPr>
          <w:p w14:paraId="012EA10C" w14:textId="46A31A71" w:rsidR="00EF7A4F" w:rsidRPr="001443B9" w:rsidRDefault="007768FA" w:rsidP="00D55C0B">
            <w:pPr>
              <w:pStyle w:val="NotesBody11pt"/>
              <w:jc w:val="center"/>
            </w:pPr>
            <w:r>
              <w:t>2</w:t>
            </w:r>
            <w:r w:rsidR="001A286D">
              <w:t>36</w:t>
            </w:r>
          </w:p>
        </w:tc>
        <w:tc>
          <w:tcPr>
            <w:tcW w:w="1260" w:type="dxa"/>
            <w:vAlign w:val="center"/>
          </w:tcPr>
          <w:p w14:paraId="74E4EBD3" w14:textId="2B7472F2" w:rsidR="00EF7A4F" w:rsidRPr="001443B9" w:rsidRDefault="007768FA" w:rsidP="00D55C0B">
            <w:pPr>
              <w:pStyle w:val="NotesBody11pt"/>
              <w:jc w:val="center"/>
            </w:pPr>
            <w:r>
              <w:t>2</w:t>
            </w:r>
            <w:r w:rsidR="001A286D">
              <w:t>62</w:t>
            </w:r>
          </w:p>
        </w:tc>
        <w:tc>
          <w:tcPr>
            <w:tcW w:w="1272" w:type="dxa"/>
            <w:vAlign w:val="center"/>
          </w:tcPr>
          <w:p w14:paraId="0D37ECC7" w14:textId="780E6C1A" w:rsidR="00EF7A4F" w:rsidRPr="001443B9" w:rsidRDefault="007768FA" w:rsidP="00D55C0B">
            <w:pPr>
              <w:pStyle w:val="NotesBody11pt"/>
              <w:jc w:val="center"/>
            </w:pPr>
            <w:r>
              <w:t>2</w:t>
            </w:r>
            <w:r w:rsidR="001A286D">
              <w:t>72</w:t>
            </w:r>
          </w:p>
        </w:tc>
      </w:tr>
    </w:tbl>
    <w:p w14:paraId="62EC6E58" w14:textId="200E08FD" w:rsidR="00795512" w:rsidRDefault="00795512" w:rsidP="00795512">
      <w:pPr>
        <w:pStyle w:val="Heading2"/>
        <w:numPr>
          <w:ilvl w:val="0"/>
          <w:numId w:val="0"/>
        </w:numPr>
      </w:pPr>
    </w:p>
    <w:p w14:paraId="4A024E54" w14:textId="0956D314" w:rsidR="00836ADD" w:rsidRDefault="006C5E8E" w:rsidP="006C5E8E">
      <w:pPr>
        <w:pStyle w:val="Heading2"/>
      </w:pPr>
      <w:bookmarkStart w:id="29" w:name="_Toc26687942"/>
      <w:r>
        <w:t>Resonant Control</w:t>
      </w:r>
      <w:bookmarkEnd w:id="29"/>
    </w:p>
    <w:p w14:paraId="11A375F7" w14:textId="701DED25" w:rsidR="006C5E8E" w:rsidRDefault="006C5E8E" w:rsidP="006C5E8E">
      <w:pPr>
        <w:pStyle w:val="NotesBody11pt"/>
      </w:pPr>
      <w:r>
        <w:t>This document does not cover the mechanism to keep cavity microphonics below the 20</w:t>
      </w:r>
      <w:r w:rsidR="00E12906">
        <w:t xml:space="preserve"> </w:t>
      </w:r>
      <w:r>
        <w:t xml:space="preserve">Hz </w:t>
      </w:r>
      <w:r w:rsidR="0002590C">
        <w:t xml:space="preserve">detuning </w:t>
      </w:r>
      <w:r>
        <w:t>limit.  This is an assumed specification from the vibration PRD.  However, the optimal detuning can be significantly off resonance for matching to the beam loading.  The resonant controls should keep the resonant frequency within 6</w:t>
      </w:r>
      <w:r w:rsidR="00E12906">
        <w:t xml:space="preserve"> </w:t>
      </w:r>
      <w:r>
        <w:t>Hz of optimal detuning for beam loading</w:t>
      </w:r>
      <w:r w:rsidR="0002590C">
        <w:t xml:space="preserve">. </w:t>
      </w:r>
      <w:r>
        <w:t xml:space="preserve"> </w:t>
      </w:r>
      <w:r w:rsidR="0002590C">
        <w:t>This allows for peak microphonics detuning of 14 Hz while still maintaining the 20 Hz, overall detuning limit.</w:t>
      </w:r>
    </w:p>
    <w:p w14:paraId="02B09089" w14:textId="7F354B87" w:rsidR="00D75DD8" w:rsidRDefault="00D75DD8" w:rsidP="00D75DD8">
      <w:pPr>
        <w:pStyle w:val="Heading2"/>
      </w:pPr>
      <w:bookmarkStart w:id="30" w:name="_Toc26687943"/>
      <w:r>
        <w:t>Room Temperature Cavity Power Requirements</w:t>
      </w:r>
      <w:bookmarkEnd w:id="30"/>
    </w:p>
    <w:p w14:paraId="4AA57CEF" w14:textId="0575582A" w:rsidR="00D75DD8" w:rsidRDefault="009F5EF7" w:rsidP="00D75DD8">
      <w:pPr>
        <w:pStyle w:val="NotesBody11pt"/>
      </w:pPr>
      <w:r>
        <w:fldChar w:fldCharType="begin"/>
      </w:r>
      <w:r>
        <w:instrText xml:space="preserve"> REF _Ref26539882 \h </w:instrText>
      </w:r>
      <w:r>
        <w:fldChar w:fldCharType="separate"/>
      </w:r>
      <w:r>
        <w:t xml:space="preserve">Table </w:t>
      </w:r>
      <w:r>
        <w:rPr>
          <w:noProof/>
        </w:rPr>
        <w:t>8</w:t>
      </w:r>
      <w:r>
        <w:noBreakHyphen/>
      </w:r>
      <w:r>
        <w:rPr>
          <w:noProof/>
        </w:rPr>
        <w:t>4</w:t>
      </w:r>
      <w:r>
        <w:fldChar w:fldCharType="end"/>
      </w:r>
      <w:r>
        <w:t xml:space="preserve"> lists the room temperature cavity RF requirements.</w:t>
      </w:r>
    </w:p>
    <w:p w14:paraId="01C3E548" w14:textId="77777777" w:rsidR="004C4EED" w:rsidRDefault="004C4EED" w:rsidP="00D75DD8">
      <w:pPr>
        <w:pStyle w:val="NotesBody11pt"/>
      </w:pPr>
    </w:p>
    <w:p w14:paraId="49B6BA43" w14:textId="20B89C8B" w:rsidR="00D75DD8" w:rsidRPr="00DD44D9" w:rsidRDefault="00D75DD8" w:rsidP="00D75DD8">
      <w:pPr>
        <w:pStyle w:val="Caption"/>
        <w:jc w:val="center"/>
      </w:pPr>
      <w:bookmarkStart w:id="31" w:name="_Ref26539882"/>
      <w:r>
        <w:t xml:space="preserve">Table </w:t>
      </w:r>
      <w:r w:rsidR="006018C4">
        <w:fldChar w:fldCharType="begin"/>
      </w:r>
      <w:r w:rsidR="006018C4">
        <w:instrText xml:space="preserve"> STYLEREF 1 \s </w:instrText>
      </w:r>
      <w:r w:rsidR="006018C4">
        <w:fldChar w:fldCharType="separate"/>
      </w:r>
      <w:r w:rsidR="00216CE9">
        <w:rPr>
          <w:noProof/>
        </w:rPr>
        <w:t>8</w:t>
      </w:r>
      <w:r w:rsidR="006018C4">
        <w:rPr>
          <w:noProof/>
        </w:rPr>
        <w:fldChar w:fldCharType="end"/>
      </w:r>
      <w:r w:rsidR="00216CE9">
        <w:noBreakHyphen/>
      </w:r>
      <w:r w:rsidR="006018C4">
        <w:fldChar w:fldCharType="begin"/>
      </w:r>
      <w:r w:rsidR="006018C4">
        <w:instrText xml:space="preserve"> SEQ Table \* ARABIC \s 1 </w:instrText>
      </w:r>
      <w:r w:rsidR="006018C4">
        <w:fldChar w:fldCharType="separate"/>
      </w:r>
      <w:r w:rsidR="00216CE9">
        <w:rPr>
          <w:noProof/>
        </w:rPr>
        <w:t>4</w:t>
      </w:r>
      <w:r w:rsidR="006018C4">
        <w:rPr>
          <w:noProof/>
        </w:rPr>
        <w:fldChar w:fldCharType="end"/>
      </w:r>
      <w:bookmarkEnd w:id="31"/>
      <w:r>
        <w:t>. Room Temperature Cavity RF Requirements.</w:t>
      </w:r>
    </w:p>
    <w:tbl>
      <w:tblPr>
        <w:tblStyle w:val="TableGrid"/>
        <w:tblW w:w="6514" w:type="dxa"/>
        <w:jc w:val="center"/>
        <w:tblLook w:val="04A0" w:firstRow="1" w:lastRow="0" w:firstColumn="1" w:lastColumn="0" w:noHBand="0" w:noVBand="1"/>
      </w:tblPr>
      <w:tblGrid>
        <w:gridCol w:w="4045"/>
        <w:gridCol w:w="1238"/>
        <w:gridCol w:w="1231"/>
      </w:tblGrid>
      <w:tr w:rsidR="00D75DD8" w:rsidRPr="00AF316E" w14:paraId="24B5327A" w14:textId="77777777" w:rsidTr="00824E5F">
        <w:trPr>
          <w:jc w:val="center"/>
        </w:trPr>
        <w:tc>
          <w:tcPr>
            <w:tcW w:w="4045" w:type="dxa"/>
            <w:vAlign w:val="center"/>
          </w:tcPr>
          <w:p w14:paraId="66A1CD66" w14:textId="334D50B4" w:rsidR="00D75DD8" w:rsidRPr="00217CC5" w:rsidRDefault="00D75DD8" w:rsidP="00D75DD8">
            <w:pPr>
              <w:pStyle w:val="NotesBody11pt"/>
              <w:rPr>
                <w:rFonts w:cs="Helvetica"/>
                <w:b/>
                <w:bCs/>
              </w:rPr>
            </w:pPr>
            <w:r w:rsidRPr="00D74E10">
              <w:rPr>
                <w:rFonts w:cs="Helvetica"/>
                <w:b/>
                <w:bCs/>
              </w:rPr>
              <w:t>Parameter</w:t>
            </w:r>
          </w:p>
        </w:tc>
        <w:tc>
          <w:tcPr>
            <w:tcW w:w="1238" w:type="dxa"/>
            <w:vAlign w:val="center"/>
          </w:tcPr>
          <w:p w14:paraId="6851A316" w14:textId="77777777" w:rsidR="00D75DD8" w:rsidRPr="00AF316E" w:rsidRDefault="00D75DD8" w:rsidP="00D75DD8">
            <w:pPr>
              <w:pStyle w:val="NotesBody11pt"/>
              <w:jc w:val="center"/>
              <w:rPr>
                <w:rFonts w:cs="Helvetica"/>
                <w:b/>
                <w:bCs/>
              </w:rPr>
            </w:pPr>
            <w:r>
              <w:rPr>
                <w:rFonts w:cs="Helvetica"/>
                <w:b/>
                <w:bCs/>
              </w:rPr>
              <w:t>RFQ</w:t>
            </w:r>
          </w:p>
        </w:tc>
        <w:tc>
          <w:tcPr>
            <w:tcW w:w="1231" w:type="dxa"/>
            <w:vAlign w:val="center"/>
          </w:tcPr>
          <w:p w14:paraId="1EEA7C74" w14:textId="77777777" w:rsidR="00D75DD8" w:rsidRPr="00AF316E" w:rsidRDefault="00D75DD8" w:rsidP="00D75DD8">
            <w:pPr>
              <w:pStyle w:val="NotesBody11pt"/>
              <w:jc w:val="center"/>
              <w:rPr>
                <w:rFonts w:cs="Helvetica"/>
                <w:b/>
                <w:bCs/>
              </w:rPr>
            </w:pPr>
            <w:r>
              <w:rPr>
                <w:rFonts w:cs="Helvetica"/>
                <w:b/>
                <w:bCs/>
              </w:rPr>
              <w:t>WFE Bunching</w:t>
            </w:r>
          </w:p>
        </w:tc>
      </w:tr>
      <w:tr w:rsidR="00D75DD8" w:rsidRPr="00AF316E" w14:paraId="1ED89CCB" w14:textId="77777777" w:rsidTr="00824E5F">
        <w:trPr>
          <w:trHeight w:val="432"/>
          <w:jc w:val="center"/>
        </w:trPr>
        <w:tc>
          <w:tcPr>
            <w:tcW w:w="4045" w:type="dxa"/>
            <w:vAlign w:val="center"/>
          </w:tcPr>
          <w:p w14:paraId="565E3EF9" w14:textId="77777777" w:rsidR="00D75DD8" w:rsidRPr="00AF316E" w:rsidRDefault="00D75DD8" w:rsidP="00D75DD8">
            <w:pPr>
              <w:pStyle w:val="NotesBody11pt"/>
              <w:jc w:val="left"/>
              <w:rPr>
                <w:rFonts w:cs="Helvetica"/>
              </w:rPr>
            </w:pPr>
            <w:r w:rsidRPr="00AF316E">
              <w:rPr>
                <w:rFonts w:cs="Helvetica"/>
              </w:rPr>
              <w:t>Frequency (MHz)</w:t>
            </w:r>
          </w:p>
        </w:tc>
        <w:tc>
          <w:tcPr>
            <w:tcW w:w="1238" w:type="dxa"/>
            <w:vAlign w:val="center"/>
          </w:tcPr>
          <w:p w14:paraId="78A2A953" w14:textId="77777777" w:rsidR="00D75DD8" w:rsidRPr="00AF316E" w:rsidRDefault="00D75DD8" w:rsidP="00D75DD8">
            <w:pPr>
              <w:pStyle w:val="NotesBody11pt"/>
              <w:jc w:val="center"/>
              <w:rPr>
                <w:rFonts w:cs="Helvetica"/>
              </w:rPr>
            </w:pPr>
            <w:r w:rsidRPr="00AF316E">
              <w:rPr>
                <w:rFonts w:cs="Helvetica"/>
              </w:rPr>
              <w:t>162.5</w:t>
            </w:r>
          </w:p>
        </w:tc>
        <w:tc>
          <w:tcPr>
            <w:tcW w:w="1231" w:type="dxa"/>
            <w:vAlign w:val="center"/>
          </w:tcPr>
          <w:p w14:paraId="1346D150" w14:textId="77777777" w:rsidR="00D75DD8" w:rsidRPr="00AF316E" w:rsidRDefault="00D75DD8" w:rsidP="00D75DD8">
            <w:pPr>
              <w:pStyle w:val="NotesBody11pt"/>
              <w:jc w:val="center"/>
              <w:rPr>
                <w:rFonts w:cs="Helvetica"/>
              </w:rPr>
            </w:pPr>
            <w:r>
              <w:rPr>
                <w:rFonts w:cs="Helvetica"/>
              </w:rPr>
              <w:t>162.5</w:t>
            </w:r>
          </w:p>
        </w:tc>
      </w:tr>
      <w:tr w:rsidR="00D75DD8" w:rsidRPr="00AF316E" w14:paraId="1A89E88C" w14:textId="77777777" w:rsidTr="00824E5F">
        <w:trPr>
          <w:trHeight w:val="360"/>
          <w:jc w:val="center"/>
        </w:trPr>
        <w:tc>
          <w:tcPr>
            <w:tcW w:w="4045" w:type="dxa"/>
            <w:vAlign w:val="center"/>
          </w:tcPr>
          <w:p w14:paraId="7703CA18" w14:textId="77777777" w:rsidR="00D75DD8" w:rsidRPr="00AF316E" w:rsidRDefault="00D75DD8" w:rsidP="00D75DD8">
            <w:pPr>
              <w:pStyle w:val="NotesBody11pt"/>
              <w:jc w:val="left"/>
              <w:rPr>
                <w:rFonts w:cs="Helvetica"/>
              </w:rPr>
            </w:pPr>
            <w:r w:rsidRPr="00AF316E">
              <w:rPr>
                <w:rFonts w:cs="Helvetica"/>
              </w:rPr>
              <w:t>Power transmitted to beam (kW</w:t>
            </w:r>
            <w:r>
              <w:rPr>
                <w:rFonts w:cs="Helvetica"/>
              </w:rPr>
              <w:t>, nominal voltage, 5 mA</w:t>
            </w:r>
            <w:r w:rsidRPr="00AF316E">
              <w:rPr>
                <w:rFonts w:cs="Helvetica"/>
              </w:rPr>
              <w:t>)</w:t>
            </w:r>
          </w:p>
        </w:tc>
        <w:tc>
          <w:tcPr>
            <w:tcW w:w="1238" w:type="dxa"/>
            <w:vAlign w:val="center"/>
          </w:tcPr>
          <w:p w14:paraId="676CFD51" w14:textId="77777777" w:rsidR="00D75DD8" w:rsidRPr="00AF316E" w:rsidRDefault="00D75DD8" w:rsidP="00D75DD8">
            <w:pPr>
              <w:pStyle w:val="NotesBody11pt"/>
              <w:jc w:val="center"/>
              <w:rPr>
                <w:rFonts w:cs="Helvetica"/>
              </w:rPr>
            </w:pPr>
            <w:r>
              <w:rPr>
                <w:rFonts w:cs="Helvetica"/>
              </w:rPr>
              <w:t>21</w:t>
            </w:r>
          </w:p>
        </w:tc>
        <w:tc>
          <w:tcPr>
            <w:tcW w:w="1231" w:type="dxa"/>
            <w:vAlign w:val="center"/>
          </w:tcPr>
          <w:p w14:paraId="5B3EFD57" w14:textId="77777777" w:rsidR="00D75DD8" w:rsidRPr="00AF316E" w:rsidRDefault="00D75DD8" w:rsidP="00D75DD8">
            <w:pPr>
              <w:pStyle w:val="NotesBody11pt"/>
              <w:jc w:val="center"/>
              <w:rPr>
                <w:rFonts w:cs="Helvetica"/>
              </w:rPr>
            </w:pPr>
            <w:r>
              <w:rPr>
                <w:rFonts w:cs="Helvetica"/>
              </w:rPr>
              <w:t>0.35</w:t>
            </w:r>
          </w:p>
        </w:tc>
      </w:tr>
      <w:tr w:rsidR="00D75DD8" w:rsidRPr="00AF316E" w14:paraId="68F19124" w14:textId="77777777" w:rsidTr="00824E5F">
        <w:trPr>
          <w:trHeight w:val="432"/>
          <w:jc w:val="center"/>
        </w:trPr>
        <w:tc>
          <w:tcPr>
            <w:tcW w:w="4045" w:type="dxa"/>
            <w:vAlign w:val="center"/>
          </w:tcPr>
          <w:p w14:paraId="37AAF297" w14:textId="77777777" w:rsidR="00D75DD8" w:rsidRPr="00AF316E" w:rsidRDefault="00D75DD8" w:rsidP="00D75DD8">
            <w:pPr>
              <w:pStyle w:val="NotesBody11pt"/>
              <w:tabs>
                <w:tab w:val="right" w:pos="2681"/>
              </w:tabs>
              <w:jc w:val="left"/>
              <w:rPr>
                <w:rFonts w:cs="Helvetica"/>
              </w:rPr>
            </w:pPr>
            <w:r>
              <w:rPr>
                <w:rFonts w:cs="Helvetica"/>
              </w:rPr>
              <w:t>Cavity Q</w:t>
            </w:r>
            <w:r w:rsidRPr="009B4ADE">
              <w:rPr>
                <w:rFonts w:cs="Helvetica"/>
                <w:vertAlign w:val="subscript"/>
              </w:rPr>
              <w:t>0</w:t>
            </w:r>
          </w:p>
        </w:tc>
        <w:tc>
          <w:tcPr>
            <w:tcW w:w="1238" w:type="dxa"/>
            <w:vAlign w:val="center"/>
          </w:tcPr>
          <w:p w14:paraId="34295962" w14:textId="77777777" w:rsidR="00D75DD8" w:rsidRDefault="00D75DD8" w:rsidP="00D75DD8">
            <w:pPr>
              <w:pStyle w:val="NotesBody11pt"/>
              <w:jc w:val="center"/>
              <w:rPr>
                <w:rFonts w:cs="Helvetica"/>
              </w:rPr>
            </w:pPr>
            <w:r>
              <w:rPr>
                <w:rFonts w:cs="Helvetica"/>
              </w:rPr>
              <w:t>13000</w:t>
            </w:r>
          </w:p>
        </w:tc>
        <w:tc>
          <w:tcPr>
            <w:tcW w:w="1231" w:type="dxa"/>
            <w:vAlign w:val="center"/>
          </w:tcPr>
          <w:p w14:paraId="3156C5DE" w14:textId="77777777" w:rsidR="00D75DD8" w:rsidRDefault="00D75DD8" w:rsidP="00D75DD8">
            <w:pPr>
              <w:pStyle w:val="NotesBody11pt"/>
              <w:jc w:val="center"/>
              <w:rPr>
                <w:rFonts w:cs="Helvetica"/>
              </w:rPr>
            </w:pPr>
            <w:r>
              <w:rPr>
                <w:rFonts w:cs="Helvetica"/>
              </w:rPr>
              <w:t>10020</w:t>
            </w:r>
          </w:p>
        </w:tc>
      </w:tr>
      <w:tr w:rsidR="00D75DD8" w:rsidRPr="00AF316E" w14:paraId="74EB264D" w14:textId="77777777" w:rsidTr="00824E5F">
        <w:trPr>
          <w:trHeight w:val="432"/>
          <w:jc w:val="center"/>
        </w:trPr>
        <w:tc>
          <w:tcPr>
            <w:tcW w:w="4045" w:type="dxa"/>
            <w:vAlign w:val="center"/>
          </w:tcPr>
          <w:p w14:paraId="1659F476" w14:textId="77777777" w:rsidR="00D75DD8" w:rsidRPr="00AF316E" w:rsidRDefault="00D75DD8" w:rsidP="00D75DD8">
            <w:pPr>
              <w:pStyle w:val="NotesBody11pt"/>
              <w:tabs>
                <w:tab w:val="right" w:pos="2681"/>
              </w:tabs>
              <w:jc w:val="left"/>
              <w:rPr>
                <w:rFonts w:cs="Helvetica"/>
              </w:rPr>
            </w:pPr>
            <w:r w:rsidRPr="00AF316E">
              <w:rPr>
                <w:rFonts w:cs="Helvetica"/>
              </w:rPr>
              <w:t xml:space="preserve">Cavity </w:t>
            </w:r>
            <w:r>
              <w:rPr>
                <w:rFonts w:cs="Helvetica"/>
              </w:rPr>
              <w:t>Loaded Q</w:t>
            </w:r>
          </w:p>
        </w:tc>
        <w:tc>
          <w:tcPr>
            <w:tcW w:w="1238" w:type="dxa"/>
            <w:vAlign w:val="center"/>
          </w:tcPr>
          <w:p w14:paraId="1404194E" w14:textId="77777777" w:rsidR="00D75DD8" w:rsidRPr="00AF316E" w:rsidRDefault="00D75DD8" w:rsidP="00D75DD8">
            <w:pPr>
              <w:pStyle w:val="NotesBody11pt"/>
              <w:jc w:val="center"/>
              <w:rPr>
                <w:rFonts w:cs="Helvetica"/>
              </w:rPr>
            </w:pPr>
            <w:r>
              <w:rPr>
                <w:rFonts w:cs="Helvetica"/>
              </w:rPr>
              <w:t>6100</w:t>
            </w:r>
          </w:p>
        </w:tc>
        <w:tc>
          <w:tcPr>
            <w:tcW w:w="1231" w:type="dxa"/>
            <w:vAlign w:val="center"/>
          </w:tcPr>
          <w:p w14:paraId="7C4B6EEB" w14:textId="77777777" w:rsidR="00D75DD8" w:rsidRPr="00AF316E" w:rsidRDefault="00D75DD8" w:rsidP="00D75DD8">
            <w:pPr>
              <w:pStyle w:val="NotesBody11pt"/>
              <w:jc w:val="center"/>
              <w:rPr>
                <w:rFonts w:cs="Helvetica"/>
              </w:rPr>
            </w:pPr>
            <w:r>
              <w:rPr>
                <w:rFonts w:cs="Helvetica"/>
              </w:rPr>
              <w:t>5090</w:t>
            </w:r>
          </w:p>
        </w:tc>
      </w:tr>
      <w:tr w:rsidR="00D75DD8" w:rsidRPr="00AF316E" w14:paraId="697AF815" w14:textId="77777777" w:rsidTr="00824E5F">
        <w:trPr>
          <w:trHeight w:val="432"/>
          <w:jc w:val="center"/>
        </w:trPr>
        <w:tc>
          <w:tcPr>
            <w:tcW w:w="4045" w:type="dxa"/>
            <w:vAlign w:val="center"/>
          </w:tcPr>
          <w:p w14:paraId="7C295EC4" w14:textId="50BEA81E" w:rsidR="00D75DD8" w:rsidRPr="00AF316E" w:rsidRDefault="00D75DD8" w:rsidP="00D75DD8">
            <w:pPr>
              <w:pStyle w:val="NotesBody11pt"/>
              <w:jc w:val="left"/>
              <w:rPr>
                <w:rFonts w:cs="Helvetica"/>
              </w:rPr>
            </w:pPr>
            <w:r w:rsidRPr="00AF316E">
              <w:rPr>
                <w:rFonts w:cs="Helvetica"/>
              </w:rPr>
              <w:t>Peak RF Power at Couple</w:t>
            </w:r>
            <w:r>
              <w:rPr>
                <w:rFonts w:cs="Helvetica"/>
              </w:rPr>
              <w:t>r</w:t>
            </w:r>
            <w:r w:rsidR="004D2666">
              <w:rPr>
                <w:rFonts w:cs="Helvetica"/>
              </w:rPr>
              <w:t>s (x2)</w:t>
            </w:r>
          </w:p>
        </w:tc>
        <w:tc>
          <w:tcPr>
            <w:tcW w:w="1238" w:type="dxa"/>
            <w:vAlign w:val="center"/>
          </w:tcPr>
          <w:p w14:paraId="5A257CB6" w14:textId="3C577150" w:rsidR="00D75DD8" w:rsidRPr="00AF316E" w:rsidRDefault="004D2666" w:rsidP="00D75DD8">
            <w:pPr>
              <w:pStyle w:val="NotesBody11pt"/>
              <w:jc w:val="center"/>
              <w:rPr>
                <w:rFonts w:cs="Helvetica"/>
              </w:rPr>
            </w:pPr>
            <w:r>
              <w:rPr>
                <w:rFonts w:cs="Helvetica"/>
              </w:rPr>
              <w:t>50</w:t>
            </w:r>
          </w:p>
        </w:tc>
        <w:tc>
          <w:tcPr>
            <w:tcW w:w="1231" w:type="dxa"/>
            <w:vAlign w:val="center"/>
          </w:tcPr>
          <w:p w14:paraId="6B2E4787" w14:textId="77777777" w:rsidR="00D75DD8" w:rsidRPr="00AF316E" w:rsidRDefault="00D75DD8" w:rsidP="00D75DD8">
            <w:pPr>
              <w:pStyle w:val="NotesBody11pt"/>
              <w:jc w:val="center"/>
              <w:rPr>
                <w:rFonts w:cs="Helvetica"/>
              </w:rPr>
            </w:pPr>
            <w:r>
              <w:rPr>
                <w:rFonts w:cs="Helvetica"/>
              </w:rPr>
              <w:t>0.9</w:t>
            </w:r>
          </w:p>
        </w:tc>
      </w:tr>
    </w:tbl>
    <w:p w14:paraId="4CC3D91B" w14:textId="533F9A1A" w:rsidR="00D75DD8" w:rsidRDefault="00D75DD8" w:rsidP="006C5E8E">
      <w:pPr>
        <w:pStyle w:val="NotesBody11pt"/>
      </w:pPr>
    </w:p>
    <w:p w14:paraId="4A07B1F6" w14:textId="77777777" w:rsidR="004C4EED" w:rsidRPr="006C5E8E" w:rsidRDefault="004C4EED" w:rsidP="006C5E8E">
      <w:pPr>
        <w:pStyle w:val="NotesBody11pt"/>
      </w:pPr>
    </w:p>
    <w:p w14:paraId="5BABD8C9" w14:textId="5B038084" w:rsidR="00836ADD" w:rsidRDefault="00836ADD" w:rsidP="00836ADD">
      <w:pPr>
        <w:pStyle w:val="Heading1"/>
      </w:pPr>
      <w:bookmarkStart w:id="32" w:name="_Toc26687944"/>
      <w:r>
        <w:t xml:space="preserve">RF Phase </w:t>
      </w:r>
      <w:r w:rsidR="00803149">
        <w:t>Reference Stability</w:t>
      </w:r>
      <w:r>
        <w:t xml:space="preserve"> Requirements</w:t>
      </w:r>
      <w:bookmarkEnd w:id="32"/>
    </w:p>
    <w:p w14:paraId="6AA86F48" w14:textId="28029505" w:rsidR="00836ADD" w:rsidRDefault="00DF0F8E" w:rsidP="00836ADD">
      <w:pPr>
        <w:pStyle w:val="NotesBody11pt"/>
      </w:pPr>
      <w:r>
        <w:t xml:space="preserve">Accuracy of the synchronous phase </w:t>
      </w:r>
      <w:r w:rsidR="0074010E">
        <w:t xml:space="preserve">in the cavity relative to beam is most sensitive to the accuracy of the RF phase reference used to identify errors in the cavity gradient phase.  </w:t>
      </w:r>
      <w:r w:rsidR="00D61982">
        <w:t>This analysis of the required stability and accuracy of the reference assumes that the detected cavity gradient goes through an analog down converting process to an intermediate frequency that is digitally sampled.  The cavity gradient is not directly sampled by a digital system.  This analysis also assumes that the reference errors at the down converter dominate the synchronous phase error and is approximately one-to-one.</w:t>
      </w:r>
    </w:p>
    <w:p w14:paraId="061BA7ED" w14:textId="77777777" w:rsidR="0067262D" w:rsidRDefault="0067262D" w:rsidP="00836ADD">
      <w:pPr>
        <w:pStyle w:val="NotesBody11pt"/>
      </w:pPr>
    </w:p>
    <w:p w14:paraId="666C39DB" w14:textId="75888E22" w:rsidR="00D61982" w:rsidRDefault="00D61982" w:rsidP="00836ADD">
      <w:pPr>
        <w:pStyle w:val="NotesBody11pt"/>
      </w:pPr>
      <w:r>
        <w:t>This analysis focuses on two forms of error in the reference line, random errors due to jitter in the reference phase, and slow, relatively fixed errors</w:t>
      </w:r>
      <w:r w:rsidR="00216F3F">
        <w:t>,</w:t>
      </w:r>
      <w:r>
        <w:t xml:space="preserve"> generally caused by thermal effects in the reference distribution.  </w:t>
      </w:r>
      <w:r w:rsidR="00EA454D">
        <w:t>The effect of the errors has the greatest effect on the 650</w:t>
      </w:r>
      <w:r w:rsidR="00195017">
        <w:t xml:space="preserve"> </w:t>
      </w:r>
      <w:r w:rsidR="00EA454D">
        <w:t xml:space="preserve">MHz reference system where phase errors are most sensitive to timing errors.  </w:t>
      </w:r>
      <w:r w:rsidR="00216F3F">
        <w:t xml:space="preserve">The total rms phase error for the specified phase jitter is about a quarter of the phase stability budget specified in </w:t>
      </w:r>
      <w:r w:rsidR="00B9644F">
        <w:fldChar w:fldCharType="begin"/>
      </w:r>
      <w:r w:rsidR="00B9644F">
        <w:instrText xml:space="preserve"> REF _Ref20896831 \h </w:instrText>
      </w:r>
      <w:r w:rsidR="00B9644F">
        <w:fldChar w:fldCharType="separate"/>
      </w:r>
      <w:r w:rsidR="009F5EF7">
        <w:t xml:space="preserve">Table </w:t>
      </w:r>
      <w:r w:rsidR="009F5EF7">
        <w:rPr>
          <w:noProof/>
        </w:rPr>
        <w:t>4</w:t>
      </w:r>
      <w:r w:rsidR="009F5EF7">
        <w:noBreakHyphen/>
      </w:r>
      <w:r w:rsidR="009F5EF7">
        <w:rPr>
          <w:noProof/>
        </w:rPr>
        <w:t>2</w:t>
      </w:r>
      <w:r w:rsidR="00B9644F">
        <w:fldChar w:fldCharType="end"/>
      </w:r>
      <w:r w:rsidR="00216F3F">
        <w:t>.</w:t>
      </w:r>
      <w:r w:rsidR="000679CE">
        <w:t xml:space="preserve">  The slow drift specification allows for th</w:t>
      </w:r>
      <w:r w:rsidR="009E3113">
        <w:t xml:space="preserve">ermal effects on the reference line to move the beam synchronous phase beyond the phase stability </w:t>
      </w:r>
      <w:r w:rsidR="009E3113">
        <w:lastRenderedPageBreak/>
        <w:t xml:space="preserve">budget in 4 seconds.  These specifications are summarized in </w:t>
      </w:r>
      <w:r w:rsidR="006D690B">
        <w:fldChar w:fldCharType="begin"/>
      </w:r>
      <w:r w:rsidR="006D690B">
        <w:instrText xml:space="preserve"> REF _Ref26597333 \h </w:instrText>
      </w:r>
      <w:r w:rsidR="006D690B">
        <w:fldChar w:fldCharType="separate"/>
      </w:r>
      <w:r w:rsidR="006D690B">
        <w:t xml:space="preserve">Table </w:t>
      </w:r>
      <w:r w:rsidR="006D690B" w:rsidRPr="35A1C768">
        <w:t>9</w:t>
      </w:r>
      <w:r w:rsidR="006D690B">
        <w:noBreakHyphen/>
      </w:r>
      <w:r w:rsidR="006D690B">
        <w:rPr>
          <w:noProof/>
        </w:rPr>
        <w:t>1</w:t>
      </w:r>
      <w:r w:rsidR="006D690B">
        <w:fldChar w:fldCharType="end"/>
      </w:r>
      <w:r w:rsidR="009E3113">
        <w:t>.  The beam energy correction system for beam injection will be required to respond in this time to maintain proper energy matching.</w:t>
      </w:r>
    </w:p>
    <w:p w14:paraId="5AC21C4F" w14:textId="691C49E8" w:rsidR="00836ADD" w:rsidRDefault="00836ADD" w:rsidP="00836ADD">
      <w:pPr>
        <w:pStyle w:val="NotesBody11pt"/>
      </w:pPr>
    </w:p>
    <w:p w14:paraId="7D4C4A9B" w14:textId="7AD8E203" w:rsidR="003266A7" w:rsidRPr="003266A7" w:rsidRDefault="003266A7" w:rsidP="35A1C768">
      <w:pPr>
        <w:pStyle w:val="Caption"/>
        <w:jc w:val="center"/>
        <w:rPr>
          <w:rFonts w:eastAsia="MS Mincho"/>
        </w:rPr>
      </w:pPr>
      <w:bookmarkStart w:id="33" w:name="_Ref26597333"/>
      <w:r>
        <w:t xml:space="preserve">Table </w:t>
      </w:r>
      <w:r w:rsidR="006018C4">
        <w:fldChar w:fldCharType="begin"/>
      </w:r>
      <w:r w:rsidR="006018C4">
        <w:instrText xml:space="preserve"> STYLEREF 1 \s </w:instrText>
      </w:r>
      <w:r w:rsidR="006018C4">
        <w:fldChar w:fldCharType="separate"/>
      </w:r>
      <w:r w:rsidR="00216CE9" w:rsidRPr="35A1C768">
        <w:t>9</w:t>
      </w:r>
      <w:r w:rsidR="006018C4">
        <w:fldChar w:fldCharType="end"/>
      </w:r>
      <w:r w:rsidR="00216CE9">
        <w:noBreakHyphen/>
      </w:r>
      <w:r w:rsidR="006018C4">
        <w:fldChar w:fldCharType="begin"/>
      </w:r>
      <w:r w:rsidR="006018C4">
        <w:instrText xml:space="preserve"> SEQ Table \* ARABIC \s 1 </w:instrText>
      </w:r>
      <w:r w:rsidR="006018C4">
        <w:fldChar w:fldCharType="separate"/>
      </w:r>
      <w:r w:rsidR="00216CE9">
        <w:rPr>
          <w:noProof/>
        </w:rPr>
        <w:t>1</w:t>
      </w:r>
      <w:r w:rsidR="006018C4">
        <w:rPr>
          <w:noProof/>
        </w:rPr>
        <w:fldChar w:fldCharType="end"/>
      </w:r>
      <w:bookmarkEnd w:id="33"/>
      <w:r>
        <w:t xml:space="preserve">.  </w:t>
      </w:r>
      <w:r w:rsidR="00DC4A93">
        <w:t>RF Phase Reference Line</w:t>
      </w:r>
      <w:r>
        <w:t xml:space="preserve"> Parameters.</w:t>
      </w:r>
    </w:p>
    <w:tbl>
      <w:tblPr>
        <w:tblStyle w:val="TableGrid"/>
        <w:tblW w:w="0" w:type="auto"/>
        <w:jc w:val="center"/>
        <w:tblLook w:val="04A0" w:firstRow="1" w:lastRow="0" w:firstColumn="1" w:lastColumn="0" w:noHBand="0" w:noVBand="1"/>
      </w:tblPr>
      <w:tblGrid>
        <w:gridCol w:w="5035"/>
        <w:gridCol w:w="3420"/>
      </w:tblGrid>
      <w:tr w:rsidR="00836ADD" w14:paraId="178F4B90" w14:textId="77777777" w:rsidTr="00824E5F">
        <w:trPr>
          <w:trHeight w:val="432"/>
          <w:jc w:val="center"/>
        </w:trPr>
        <w:tc>
          <w:tcPr>
            <w:tcW w:w="5035" w:type="dxa"/>
            <w:vAlign w:val="center"/>
          </w:tcPr>
          <w:p w14:paraId="63C4E5E7" w14:textId="77777777" w:rsidR="00836ADD" w:rsidRPr="00621B08" w:rsidRDefault="00836ADD" w:rsidP="00AF55BD">
            <w:pPr>
              <w:pStyle w:val="NotesBody11pt"/>
              <w:keepNext/>
              <w:keepLines/>
              <w:rPr>
                <w:b/>
                <w:bCs/>
              </w:rPr>
            </w:pPr>
            <w:r w:rsidRPr="00621B08">
              <w:rPr>
                <w:b/>
                <w:bCs/>
              </w:rPr>
              <w:t>Parameter</w:t>
            </w:r>
          </w:p>
        </w:tc>
        <w:tc>
          <w:tcPr>
            <w:tcW w:w="3420" w:type="dxa"/>
            <w:vAlign w:val="center"/>
          </w:tcPr>
          <w:p w14:paraId="13B4BBA4" w14:textId="77777777" w:rsidR="00836ADD" w:rsidRPr="00621B08" w:rsidRDefault="00836ADD" w:rsidP="00AF55BD">
            <w:pPr>
              <w:pStyle w:val="NotesBody11pt"/>
              <w:keepNext/>
              <w:keepLines/>
              <w:jc w:val="center"/>
              <w:rPr>
                <w:b/>
                <w:bCs/>
              </w:rPr>
            </w:pPr>
            <w:r w:rsidRPr="00621B08">
              <w:rPr>
                <w:b/>
                <w:bCs/>
              </w:rPr>
              <w:t>Value</w:t>
            </w:r>
          </w:p>
        </w:tc>
      </w:tr>
      <w:tr w:rsidR="00836ADD" w14:paraId="164C2412" w14:textId="77777777" w:rsidTr="00824E5F">
        <w:trPr>
          <w:trHeight w:val="432"/>
          <w:jc w:val="center"/>
        </w:trPr>
        <w:tc>
          <w:tcPr>
            <w:tcW w:w="5035" w:type="dxa"/>
            <w:vAlign w:val="center"/>
          </w:tcPr>
          <w:p w14:paraId="6F5283A4" w14:textId="3E52113E" w:rsidR="00836ADD" w:rsidRDefault="00836ADD" w:rsidP="00AF55BD">
            <w:pPr>
              <w:pStyle w:val="NotesBody11pt"/>
              <w:keepNext/>
              <w:keepLines/>
            </w:pPr>
            <w:r>
              <w:t>Frequency compatibility</w:t>
            </w:r>
          </w:p>
        </w:tc>
        <w:tc>
          <w:tcPr>
            <w:tcW w:w="3420" w:type="dxa"/>
            <w:vAlign w:val="center"/>
          </w:tcPr>
          <w:p w14:paraId="4B910A7C" w14:textId="5F4A3EA4" w:rsidR="00836ADD" w:rsidRDefault="00836ADD" w:rsidP="00AF55BD">
            <w:pPr>
              <w:pStyle w:val="NotesBody11pt"/>
              <w:keepNext/>
              <w:keepLines/>
              <w:jc w:val="center"/>
            </w:pPr>
            <w:r>
              <w:t>162.5, 325, 650</w:t>
            </w:r>
            <w:r w:rsidR="0046291D">
              <w:t xml:space="preserve"> MHz</w:t>
            </w:r>
          </w:p>
        </w:tc>
      </w:tr>
      <w:tr w:rsidR="00836ADD" w14:paraId="0E441BF3" w14:textId="77777777" w:rsidTr="00824E5F">
        <w:trPr>
          <w:trHeight w:val="432"/>
          <w:jc w:val="center"/>
        </w:trPr>
        <w:tc>
          <w:tcPr>
            <w:tcW w:w="5035" w:type="dxa"/>
            <w:vAlign w:val="center"/>
          </w:tcPr>
          <w:p w14:paraId="02108509" w14:textId="5ED77541" w:rsidR="00836ADD" w:rsidRDefault="00836ADD" w:rsidP="00AF55BD">
            <w:pPr>
              <w:pStyle w:val="NotesBody11pt"/>
              <w:keepNext/>
              <w:keepLines/>
            </w:pPr>
            <w:r>
              <w:t xml:space="preserve">Phase jitter requirement </w:t>
            </w:r>
            <w:r w:rsidR="00E329B0">
              <w:t>(@ 8 kHz bandwidth)</w:t>
            </w:r>
          </w:p>
        </w:tc>
        <w:tc>
          <w:tcPr>
            <w:tcW w:w="3420" w:type="dxa"/>
            <w:vAlign w:val="center"/>
          </w:tcPr>
          <w:p w14:paraId="4ECC4A1D" w14:textId="7C8EFEBD" w:rsidR="00836ADD" w:rsidRDefault="0046291D" w:rsidP="00AF55BD">
            <w:pPr>
              <w:pStyle w:val="NotesBody11pt"/>
              <w:keepNext/>
              <w:keepLines/>
              <w:jc w:val="center"/>
            </w:pPr>
            <w:r>
              <w:t>0.</w:t>
            </w:r>
            <w:r w:rsidR="00EF7ABC">
              <w:t>073</w:t>
            </w:r>
            <w:r w:rsidR="00836ADD">
              <w:t xml:space="preserve"> </w:t>
            </w:r>
            <w:r w:rsidR="00E329B0">
              <w:t>p</w:t>
            </w:r>
            <w:r w:rsidR="00836ADD">
              <w:t>s</w:t>
            </w:r>
            <w:r>
              <w:t xml:space="preserve"> rms max</w:t>
            </w:r>
          </w:p>
        </w:tc>
      </w:tr>
      <w:tr w:rsidR="00836ADD" w14:paraId="24194264" w14:textId="77777777" w:rsidTr="00824E5F">
        <w:trPr>
          <w:trHeight w:val="432"/>
          <w:jc w:val="center"/>
        </w:trPr>
        <w:tc>
          <w:tcPr>
            <w:tcW w:w="5035" w:type="dxa"/>
            <w:vAlign w:val="center"/>
          </w:tcPr>
          <w:p w14:paraId="65F0E27C" w14:textId="727AA8C9" w:rsidR="00836ADD" w:rsidRDefault="00836ADD" w:rsidP="00AF55BD">
            <w:pPr>
              <w:pStyle w:val="NotesBody11pt"/>
              <w:keepNext/>
              <w:keepLines/>
            </w:pPr>
            <w:r>
              <w:t>Slow drift requirements</w:t>
            </w:r>
          </w:p>
        </w:tc>
        <w:tc>
          <w:tcPr>
            <w:tcW w:w="3420" w:type="dxa"/>
            <w:vAlign w:val="center"/>
          </w:tcPr>
          <w:p w14:paraId="652DAB80" w14:textId="151A27C8" w:rsidR="00836ADD" w:rsidRDefault="00326E74" w:rsidP="00AF55BD">
            <w:pPr>
              <w:pStyle w:val="NotesBody11pt"/>
              <w:keepNext/>
              <w:keepLines/>
              <w:jc w:val="center"/>
            </w:pPr>
            <w:r>
              <w:t>0.</w:t>
            </w:r>
            <w:r w:rsidR="00EF7ABC">
              <w:t>073</w:t>
            </w:r>
            <w:r w:rsidR="00836ADD">
              <w:t xml:space="preserve"> </w:t>
            </w:r>
            <w:r w:rsidR="00E329B0">
              <w:t>p</w:t>
            </w:r>
            <w:r w:rsidR="00836ADD">
              <w:t>s / sec</w:t>
            </w:r>
            <w:r>
              <w:t xml:space="preserve"> max</w:t>
            </w:r>
          </w:p>
        </w:tc>
      </w:tr>
    </w:tbl>
    <w:p w14:paraId="5A033030" w14:textId="3ADCD7DD" w:rsidR="0032412A" w:rsidRDefault="0032412A" w:rsidP="0032412A">
      <w:pPr>
        <w:pStyle w:val="NotesBody11pt"/>
      </w:pPr>
    </w:p>
    <w:p w14:paraId="71D2021D" w14:textId="77777777" w:rsidR="00537054" w:rsidRDefault="00537054" w:rsidP="0032412A">
      <w:pPr>
        <w:pStyle w:val="NotesBody11pt"/>
      </w:pPr>
    </w:p>
    <w:p w14:paraId="396BEDEB" w14:textId="77777777" w:rsidR="005F6FFF" w:rsidRDefault="005F6FFF" w:rsidP="005F6FFF">
      <w:pPr>
        <w:pStyle w:val="Heading1"/>
        <w:spacing w:before="0"/>
        <w:jc w:val="both"/>
      </w:pPr>
      <w:bookmarkStart w:id="34" w:name="_Toc510692257"/>
      <w:bookmarkStart w:id="35" w:name="_Toc514850528"/>
      <w:bookmarkStart w:id="36" w:name="_Toc26687945"/>
      <w:r>
        <w:t>Reference Documents</w:t>
      </w:r>
      <w:bookmarkEnd w:id="34"/>
      <w:bookmarkEnd w:id="35"/>
      <w:bookmarkEnd w:id="36"/>
    </w:p>
    <w:p w14:paraId="7C932556" w14:textId="77777777" w:rsidR="005F6FFF" w:rsidRDefault="005F6FFF" w:rsidP="005F6FFF">
      <w:pPr>
        <w:pStyle w:val="NotesBody11pt"/>
      </w:pPr>
    </w:p>
    <w:tbl>
      <w:tblPr>
        <w:tblStyle w:val="TableGrid1"/>
        <w:tblW w:w="0" w:type="auto"/>
        <w:jc w:val="center"/>
        <w:tblLook w:val="04A0" w:firstRow="1" w:lastRow="0" w:firstColumn="1" w:lastColumn="0" w:noHBand="0" w:noVBand="1"/>
      </w:tblPr>
      <w:tblGrid>
        <w:gridCol w:w="540"/>
        <w:gridCol w:w="6930"/>
        <w:gridCol w:w="1885"/>
      </w:tblGrid>
      <w:tr w:rsidR="005F6FFF" w14:paraId="3BA539B1" w14:textId="77777777" w:rsidTr="005B7DCB">
        <w:trPr>
          <w:trHeight w:val="360"/>
          <w:jc w:val="center"/>
        </w:trPr>
        <w:tc>
          <w:tcPr>
            <w:tcW w:w="540" w:type="dxa"/>
            <w:vAlign w:val="center"/>
          </w:tcPr>
          <w:p w14:paraId="340C53B2" w14:textId="77777777" w:rsidR="005F6FFF" w:rsidRPr="00C0669E" w:rsidRDefault="005F6FFF" w:rsidP="005B7DCB">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57F3AC74" w14:textId="77777777" w:rsidR="005F6FFF" w:rsidRPr="00C0669E" w:rsidRDefault="005F6FFF" w:rsidP="005B7DCB">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3A2BC159" w14:textId="77777777" w:rsidR="005F6FFF" w:rsidRPr="00C0669E" w:rsidRDefault="005F6FFF" w:rsidP="005B7DCB">
            <w:pPr>
              <w:jc w:val="center"/>
              <w:rPr>
                <w:rFonts w:ascii="Helvetica" w:hAnsi="Helvetica" w:cs="Helvetica"/>
                <w:b/>
                <w:sz w:val="22"/>
                <w:szCs w:val="22"/>
              </w:rPr>
            </w:pPr>
            <w:r w:rsidRPr="00C0669E">
              <w:rPr>
                <w:rFonts w:ascii="Helvetica" w:hAnsi="Helvetica" w:cs="Helvetica"/>
                <w:b/>
                <w:sz w:val="22"/>
                <w:szCs w:val="22"/>
              </w:rPr>
              <w:t>Document #</w:t>
            </w:r>
          </w:p>
        </w:tc>
      </w:tr>
      <w:tr w:rsidR="005F6FFF" w14:paraId="747A47AE" w14:textId="77777777" w:rsidTr="005B7DCB">
        <w:trPr>
          <w:trHeight w:val="360"/>
          <w:jc w:val="center"/>
        </w:trPr>
        <w:tc>
          <w:tcPr>
            <w:tcW w:w="540" w:type="dxa"/>
            <w:vAlign w:val="center"/>
          </w:tcPr>
          <w:p w14:paraId="4CA30448" w14:textId="77777777" w:rsidR="005F6FFF" w:rsidRDefault="005F6FFF" w:rsidP="005B7DCB">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24E814DA" w14:textId="77777777" w:rsidR="005F6FFF" w:rsidRPr="000E6AAD" w:rsidRDefault="005F6FFF" w:rsidP="005B7DCB">
            <w:pPr>
              <w:jc w:val="both"/>
              <w:rPr>
                <w:rFonts w:ascii="Helvetica" w:hAnsi="Helvetica" w:cs="Helvetica"/>
                <w:sz w:val="22"/>
                <w:szCs w:val="22"/>
              </w:rPr>
            </w:pPr>
            <w:r>
              <w:rPr>
                <w:rFonts w:ascii="Helvetica" w:hAnsi="Helvetica" w:cs="Helvetica"/>
                <w:sz w:val="22"/>
                <w:szCs w:val="22"/>
              </w:rPr>
              <w:t>PIP-II Global Requirements Document (GRD)</w:t>
            </w:r>
          </w:p>
        </w:tc>
        <w:tc>
          <w:tcPr>
            <w:tcW w:w="1885" w:type="dxa"/>
            <w:vAlign w:val="center"/>
          </w:tcPr>
          <w:p w14:paraId="7674A8BD" w14:textId="77777777" w:rsidR="005F6FFF" w:rsidRDefault="005F6FFF" w:rsidP="005B7DCB">
            <w:pPr>
              <w:jc w:val="center"/>
              <w:rPr>
                <w:rFonts w:ascii="Helvetica" w:hAnsi="Helvetica" w:cs="Helvetica"/>
                <w:sz w:val="22"/>
                <w:szCs w:val="22"/>
              </w:rPr>
            </w:pPr>
            <w:r>
              <w:rPr>
                <w:rFonts w:ascii="Helvetica" w:hAnsi="Helvetica" w:cs="Helvetica"/>
                <w:sz w:val="22"/>
                <w:szCs w:val="22"/>
              </w:rPr>
              <w:t>ED0001222</w:t>
            </w:r>
          </w:p>
        </w:tc>
      </w:tr>
      <w:tr w:rsidR="005F6FFF" w14:paraId="45A2C3E7" w14:textId="77777777" w:rsidTr="005B7DCB">
        <w:trPr>
          <w:trHeight w:val="360"/>
          <w:jc w:val="center"/>
        </w:trPr>
        <w:tc>
          <w:tcPr>
            <w:tcW w:w="540" w:type="dxa"/>
            <w:vAlign w:val="center"/>
          </w:tcPr>
          <w:p w14:paraId="121CC324" w14:textId="77777777" w:rsidR="005F6FFF" w:rsidRDefault="005F6FFF" w:rsidP="005B7DCB">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74770954" w14:textId="77777777" w:rsidR="005F6FFF" w:rsidRDefault="005F6FFF" w:rsidP="005B7DCB">
            <w:pPr>
              <w:jc w:val="both"/>
              <w:rPr>
                <w:rFonts w:ascii="Helvetica" w:hAnsi="Helvetica" w:cs="Helvetica"/>
                <w:sz w:val="22"/>
                <w:szCs w:val="22"/>
              </w:rPr>
            </w:pPr>
            <w:r>
              <w:rPr>
                <w:rFonts w:ascii="Helvetica" w:hAnsi="Helvetica" w:cs="Helvetica"/>
                <w:sz w:val="22"/>
                <w:szCs w:val="22"/>
              </w:rPr>
              <w:t>PIP-II Superconducting Linac Parameters (PRD)</w:t>
            </w:r>
          </w:p>
        </w:tc>
        <w:tc>
          <w:tcPr>
            <w:tcW w:w="1885" w:type="dxa"/>
            <w:vAlign w:val="center"/>
          </w:tcPr>
          <w:p w14:paraId="15ADBFC6" w14:textId="5D2906D4" w:rsidR="005F6FFF" w:rsidRDefault="005F6FFF" w:rsidP="005B7DCB">
            <w:pPr>
              <w:jc w:val="center"/>
              <w:rPr>
                <w:rFonts w:ascii="Helvetica" w:hAnsi="Helvetica" w:cs="Helvetica"/>
                <w:sz w:val="22"/>
                <w:szCs w:val="22"/>
              </w:rPr>
            </w:pPr>
            <w:r>
              <w:rPr>
                <w:rFonts w:ascii="Helvetica" w:hAnsi="Helvetica" w:cs="Helvetica"/>
                <w:sz w:val="22"/>
                <w:szCs w:val="22"/>
              </w:rPr>
              <w:t>ED00102</w:t>
            </w:r>
            <w:r w:rsidR="00852336">
              <w:rPr>
                <w:rFonts w:ascii="Helvetica" w:hAnsi="Helvetica" w:cs="Helvetica"/>
                <w:sz w:val="22"/>
                <w:szCs w:val="22"/>
              </w:rPr>
              <w:t>21</w:t>
            </w:r>
          </w:p>
        </w:tc>
      </w:tr>
      <w:tr w:rsidR="005F6FFF" w14:paraId="3BFDB0FC" w14:textId="77777777" w:rsidTr="005B7DCB">
        <w:trPr>
          <w:trHeight w:val="360"/>
          <w:jc w:val="center"/>
        </w:trPr>
        <w:tc>
          <w:tcPr>
            <w:tcW w:w="540" w:type="dxa"/>
            <w:vAlign w:val="center"/>
          </w:tcPr>
          <w:p w14:paraId="10425EDF" w14:textId="77777777" w:rsidR="005F6FFF" w:rsidRDefault="005F6FFF" w:rsidP="005B7DCB">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5D3E3E58" w14:textId="5062BE82" w:rsidR="005F6FFF" w:rsidRDefault="005F6FFF" w:rsidP="005B7DCB">
            <w:pPr>
              <w:jc w:val="both"/>
              <w:rPr>
                <w:rFonts w:ascii="Helvetica" w:hAnsi="Helvetica" w:cs="Helvetica"/>
                <w:sz w:val="22"/>
                <w:szCs w:val="22"/>
              </w:rPr>
            </w:pPr>
            <w:r w:rsidRPr="004C10D4">
              <w:rPr>
                <w:rFonts w:ascii="Helvetica" w:hAnsi="Helvetica" w:cs="Helvetica"/>
                <w:sz w:val="22"/>
                <w:szCs w:val="22"/>
              </w:rPr>
              <w:t>PIP-II Parameters PRD</w:t>
            </w:r>
          </w:p>
        </w:tc>
        <w:tc>
          <w:tcPr>
            <w:tcW w:w="1885" w:type="dxa"/>
            <w:vAlign w:val="center"/>
          </w:tcPr>
          <w:p w14:paraId="37EA8BB0" w14:textId="237C7E85" w:rsidR="005F6FFF" w:rsidRDefault="005F6FFF" w:rsidP="005B7DCB">
            <w:pPr>
              <w:jc w:val="center"/>
              <w:rPr>
                <w:rFonts w:ascii="Helvetica" w:hAnsi="Helvetica" w:cs="Helvetica"/>
                <w:sz w:val="22"/>
                <w:szCs w:val="22"/>
              </w:rPr>
            </w:pPr>
            <w:r>
              <w:rPr>
                <w:rFonts w:ascii="Helvetica" w:hAnsi="Helvetica" w:cs="Helvetica"/>
                <w:sz w:val="22"/>
                <w:szCs w:val="22"/>
              </w:rPr>
              <w:t>ED001021</w:t>
            </w:r>
            <w:r w:rsidR="004C10D4">
              <w:rPr>
                <w:rFonts w:ascii="Helvetica" w:hAnsi="Helvetica" w:cs="Helvetica"/>
                <w:sz w:val="22"/>
                <w:szCs w:val="22"/>
              </w:rPr>
              <w:t>6</w:t>
            </w:r>
          </w:p>
        </w:tc>
      </w:tr>
      <w:tr w:rsidR="00C65A45" w14:paraId="51FAF4B0" w14:textId="77777777" w:rsidTr="005B7DCB">
        <w:trPr>
          <w:trHeight w:val="360"/>
          <w:jc w:val="center"/>
        </w:trPr>
        <w:tc>
          <w:tcPr>
            <w:tcW w:w="540" w:type="dxa"/>
            <w:vAlign w:val="center"/>
          </w:tcPr>
          <w:p w14:paraId="3B19E6B2" w14:textId="578511AE" w:rsidR="00C65A45" w:rsidRDefault="00DE646E" w:rsidP="005B7DCB">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6BB414E0" w14:textId="55102E49" w:rsidR="00C65A45" w:rsidRDefault="00C65A45" w:rsidP="005B7DCB">
            <w:pPr>
              <w:jc w:val="both"/>
              <w:rPr>
                <w:rFonts w:ascii="Helvetica" w:hAnsi="Helvetica" w:cs="Helvetica"/>
                <w:sz w:val="22"/>
                <w:szCs w:val="22"/>
              </w:rPr>
            </w:pPr>
            <w:r w:rsidRPr="00B307D2">
              <w:rPr>
                <w:rFonts w:ascii="Helvetica" w:hAnsi="Helvetica" w:cs="Helvetica"/>
                <w:sz w:val="22"/>
                <w:szCs w:val="22"/>
              </w:rPr>
              <w:t>Analysis of Linac Energy Jitter</w:t>
            </w:r>
          </w:p>
        </w:tc>
        <w:tc>
          <w:tcPr>
            <w:tcW w:w="1885" w:type="dxa"/>
            <w:vAlign w:val="center"/>
          </w:tcPr>
          <w:p w14:paraId="7691C9E3" w14:textId="6AC989C0" w:rsidR="00C65A45" w:rsidRDefault="00B307D2" w:rsidP="005B7DCB">
            <w:pPr>
              <w:jc w:val="center"/>
              <w:rPr>
                <w:rFonts w:ascii="Helvetica" w:hAnsi="Helvetica" w:cs="Helvetica"/>
                <w:sz w:val="22"/>
                <w:szCs w:val="22"/>
              </w:rPr>
            </w:pPr>
            <w:r>
              <w:rPr>
                <w:rFonts w:ascii="Helvetica" w:hAnsi="Helvetica" w:cs="Helvetica"/>
                <w:sz w:val="22"/>
                <w:szCs w:val="22"/>
              </w:rPr>
              <w:t>PIP-II DocDB #2976</w:t>
            </w:r>
          </w:p>
        </w:tc>
      </w:tr>
      <w:tr w:rsidR="002E1D1C" w14:paraId="76973EA1" w14:textId="77777777" w:rsidTr="005B7DCB">
        <w:trPr>
          <w:trHeight w:val="360"/>
          <w:jc w:val="center"/>
        </w:trPr>
        <w:tc>
          <w:tcPr>
            <w:tcW w:w="540" w:type="dxa"/>
            <w:vAlign w:val="center"/>
          </w:tcPr>
          <w:p w14:paraId="66049197" w14:textId="63907495" w:rsidR="002E1D1C" w:rsidRDefault="00DE646E" w:rsidP="005B7DCB">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85243CB" w14:textId="640EAB3B" w:rsidR="002E1D1C" w:rsidRPr="00B307D2" w:rsidRDefault="002E1D1C" w:rsidP="005B7DCB">
            <w:pPr>
              <w:jc w:val="both"/>
              <w:rPr>
                <w:rFonts w:ascii="Helvetica" w:hAnsi="Helvetica" w:cs="Helvetica"/>
                <w:sz w:val="22"/>
                <w:szCs w:val="22"/>
              </w:rPr>
            </w:pPr>
            <w:r w:rsidRPr="00B83AB3">
              <w:rPr>
                <w:rFonts w:ascii="Helvetica" w:hAnsi="Helvetica" w:cs="Helvetica"/>
                <w:sz w:val="22"/>
                <w:szCs w:val="22"/>
              </w:rPr>
              <w:t>PIP-II RF Control Simulation for SRF Cavities with Pulsed Beam Loading</w:t>
            </w:r>
          </w:p>
        </w:tc>
        <w:tc>
          <w:tcPr>
            <w:tcW w:w="1885" w:type="dxa"/>
            <w:vAlign w:val="center"/>
          </w:tcPr>
          <w:p w14:paraId="66FF98D6" w14:textId="5A71210C" w:rsidR="002E1D1C" w:rsidRDefault="0090569E" w:rsidP="005B7DCB">
            <w:pPr>
              <w:jc w:val="center"/>
              <w:rPr>
                <w:rFonts w:ascii="Helvetica" w:hAnsi="Helvetica" w:cs="Helvetica"/>
                <w:sz w:val="22"/>
                <w:szCs w:val="22"/>
              </w:rPr>
            </w:pPr>
            <w:r>
              <w:rPr>
                <w:rFonts w:ascii="Helvetica" w:hAnsi="Helvetica" w:cs="Helvetica"/>
                <w:sz w:val="22"/>
                <w:szCs w:val="22"/>
              </w:rPr>
              <w:t>EN03775</w:t>
            </w:r>
          </w:p>
        </w:tc>
      </w:tr>
    </w:tbl>
    <w:p w14:paraId="50800E4B" w14:textId="77777777" w:rsidR="005F6FFF" w:rsidRPr="00DE68DA" w:rsidRDefault="005F6FFF" w:rsidP="005F6FFF">
      <w:pPr>
        <w:pStyle w:val="NotesBody11pt"/>
      </w:pPr>
    </w:p>
    <w:p w14:paraId="45520E2E" w14:textId="0EFD1CB5" w:rsidR="005F6FFF" w:rsidRPr="0032412A" w:rsidRDefault="005F6FFF" w:rsidP="0032412A">
      <w:pPr>
        <w:pStyle w:val="NotesBody11pt"/>
      </w:pPr>
    </w:p>
    <w:sectPr w:rsidR="005F6FFF" w:rsidRPr="0032412A" w:rsidSect="003143CA">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14DD" w14:textId="77777777" w:rsidR="00894C23" w:rsidRDefault="00894C23" w:rsidP="008C6B3A">
      <w:r>
        <w:separator/>
      </w:r>
    </w:p>
    <w:p w14:paraId="41BF11B7" w14:textId="77777777" w:rsidR="00894C23" w:rsidRDefault="00894C23"/>
    <w:p w14:paraId="5A17727E" w14:textId="77777777" w:rsidR="00894C23" w:rsidRDefault="00894C23" w:rsidP="00D346FA"/>
  </w:endnote>
  <w:endnote w:type="continuationSeparator" w:id="0">
    <w:p w14:paraId="49891576" w14:textId="77777777" w:rsidR="00894C23" w:rsidRDefault="00894C23" w:rsidP="008C6B3A">
      <w:r>
        <w:continuationSeparator/>
      </w:r>
    </w:p>
    <w:p w14:paraId="2B0919F9" w14:textId="77777777" w:rsidR="00894C23" w:rsidRDefault="00894C23"/>
    <w:p w14:paraId="17363196" w14:textId="77777777" w:rsidR="00894C23" w:rsidRDefault="00894C23" w:rsidP="00D346FA"/>
  </w:endnote>
  <w:endnote w:type="continuationNotice" w:id="1">
    <w:p w14:paraId="7D85A98D" w14:textId="77777777" w:rsidR="00894C23" w:rsidRDefault="00894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46F7" w14:textId="77777777" w:rsidR="00894C23" w:rsidRDefault="00894C23"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894C23" w:rsidRDefault="00894C23"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E572" w14:textId="34194B2A" w:rsidR="00894C23" w:rsidRPr="00ED6DFD" w:rsidRDefault="00894C23"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17</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251A2" w14:textId="77777777" w:rsidR="00894C23" w:rsidRDefault="00894C23" w:rsidP="008C6B3A">
      <w:r>
        <w:separator/>
      </w:r>
    </w:p>
    <w:p w14:paraId="394262FB" w14:textId="77777777" w:rsidR="00894C23" w:rsidRDefault="00894C23"/>
    <w:p w14:paraId="42DC1AB0" w14:textId="77777777" w:rsidR="00894C23" w:rsidRDefault="00894C23" w:rsidP="00D346FA"/>
  </w:footnote>
  <w:footnote w:type="continuationSeparator" w:id="0">
    <w:p w14:paraId="3024B47B" w14:textId="77777777" w:rsidR="00894C23" w:rsidRDefault="00894C23" w:rsidP="008C6B3A">
      <w:r>
        <w:continuationSeparator/>
      </w:r>
    </w:p>
    <w:p w14:paraId="0B2CAAE1" w14:textId="77777777" w:rsidR="00894C23" w:rsidRDefault="00894C23"/>
    <w:p w14:paraId="4BA42532" w14:textId="77777777" w:rsidR="00894C23" w:rsidRDefault="00894C23" w:rsidP="00D346FA"/>
  </w:footnote>
  <w:footnote w:type="continuationNotice" w:id="1">
    <w:p w14:paraId="26B865C2" w14:textId="77777777" w:rsidR="00894C23" w:rsidRDefault="00894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4DD6" w14:textId="77777777" w:rsidR="00894C23" w:rsidRDefault="00894C23" w:rsidP="008738F9">
    <w:pPr>
      <w:pStyle w:val="Header"/>
    </w:pPr>
    <w:r>
      <w:t>[Type text]</w:t>
    </w:r>
    <w:r>
      <w:rPr>
        <w:color w:val="auto"/>
      </w:rPr>
      <w:tab/>
    </w:r>
    <w:r>
      <w:t>[Type text]</w:t>
    </w:r>
    <w:r>
      <w:rPr>
        <w:color w:val="auto"/>
      </w:rPr>
      <w:tab/>
    </w:r>
    <w:r>
      <w:t>[Type text]</w:t>
    </w:r>
  </w:p>
  <w:p w14:paraId="240AFDFC" w14:textId="77777777" w:rsidR="00894C23" w:rsidRDefault="00894C23" w:rsidP="008738F9">
    <w:pPr>
      <w:pStyle w:val="Header"/>
    </w:pPr>
    <w:r>
      <w:t>[Type text]</w:t>
    </w:r>
    <w:r>
      <w:tab/>
      <w:t>[Type text]</w:t>
    </w:r>
    <w:r>
      <w:tab/>
      <w:t>[Type text]</w:t>
    </w:r>
  </w:p>
  <w:p w14:paraId="54BE6E1C" w14:textId="77777777" w:rsidR="00894C23" w:rsidRDefault="00894C23"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2308" w14:textId="3CA597FB" w:rsidR="00894C23" w:rsidRPr="008738F9" w:rsidRDefault="00894C23" w:rsidP="008738F9">
    <w:pPr>
      <w:pStyle w:val="Header"/>
    </w:pPr>
    <w:r w:rsidRPr="008738F9">
      <w:rPr>
        <w:noProof/>
      </w:rPr>
      <w:drawing>
        <wp:anchor distT="0" distB="0" distL="114300" distR="114300" simplePos="0" relativeHeight="251658240"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8C4">
      <w:fldChar w:fldCharType="begin"/>
    </w:r>
    <w:r w:rsidR="006018C4">
      <w:instrText xml:space="preserve"> DOCPROPERTY  Project  \* MERGEFORMAT </w:instrText>
    </w:r>
    <w:r w:rsidR="006018C4">
      <w:fldChar w:fldCharType="separate"/>
    </w:r>
    <w:r>
      <w:t>PIP-II</w:t>
    </w:r>
    <w:r w:rsidR="006018C4">
      <w:fldChar w:fldCharType="end"/>
    </w:r>
    <w:r w:rsidRPr="008738F9">
      <w:t xml:space="preserve"> </w:t>
    </w:r>
    <w:fldSimple w:instr=" SUBJECT  \* FirstCap  \* MERGEFORMAT ">
      <w:r>
        <w:t>Linac RF System PRD</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F0FB" w14:textId="77777777" w:rsidR="00894C23" w:rsidRDefault="00894C23" w:rsidP="008738F9">
    <w:pPr>
      <w:pStyle w:val="Header"/>
    </w:pPr>
    <w:r>
      <w:rPr>
        <w:noProof/>
      </w:rPr>
      <w:drawing>
        <wp:anchor distT="0" distB="0" distL="114300" distR="114300" simplePos="0" relativeHeight="251658241"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F319F"/>
    <w:multiLevelType w:val="hybridMultilevel"/>
    <w:tmpl w:val="A0F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78B0076"/>
    <w:multiLevelType w:val="hybridMultilevel"/>
    <w:tmpl w:val="C852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94091"/>
    <w:multiLevelType w:val="hybridMultilevel"/>
    <w:tmpl w:val="844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C529C"/>
    <w:multiLevelType w:val="hybridMultilevel"/>
    <w:tmpl w:val="055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8" w15:restartNumberingAfterBreak="0">
    <w:nsid w:val="152B3E4B"/>
    <w:multiLevelType w:val="hybridMultilevel"/>
    <w:tmpl w:val="3252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6F18"/>
    <w:multiLevelType w:val="hybridMultilevel"/>
    <w:tmpl w:val="7B0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C4B0DB4"/>
    <w:multiLevelType w:val="hybridMultilevel"/>
    <w:tmpl w:val="3252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14D3A"/>
    <w:multiLevelType w:val="hybridMultilevel"/>
    <w:tmpl w:val="CB2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D3A85"/>
    <w:multiLevelType w:val="hybridMultilevel"/>
    <w:tmpl w:val="283A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636B2"/>
    <w:multiLevelType w:val="hybridMultilevel"/>
    <w:tmpl w:val="D058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DE6FDA"/>
    <w:multiLevelType w:val="hybridMultilevel"/>
    <w:tmpl w:val="9A5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8DA3713"/>
    <w:multiLevelType w:val="hybridMultilevel"/>
    <w:tmpl w:val="30E0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F21CF"/>
    <w:multiLevelType w:val="hybridMultilevel"/>
    <w:tmpl w:val="3B0E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21351"/>
    <w:multiLevelType w:val="multilevel"/>
    <w:tmpl w:val="581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62EB9"/>
    <w:multiLevelType w:val="hybridMultilevel"/>
    <w:tmpl w:val="60A4DBBE"/>
    <w:lvl w:ilvl="0" w:tplc="85941202">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B0FC9"/>
    <w:multiLevelType w:val="hybridMultilevel"/>
    <w:tmpl w:val="D89E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F1BE7"/>
    <w:multiLevelType w:val="hybridMultilevel"/>
    <w:tmpl w:val="637A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6225C"/>
    <w:multiLevelType w:val="hybridMultilevel"/>
    <w:tmpl w:val="D20A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F15F4"/>
    <w:multiLevelType w:val="hybridMultilevel"/>
    <w:tmpl w:val="A9A6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CB2121"/>
    <w:multiLevelType w:val="multilevel"/>
    <w:tmpl w:val="5FFE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F92336"/>
    <w:multiLevelType w:val="hybridMultilevel"/>
    <w:tmpl w:val="168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B5135"/>
    <w:multiLevelType w:val="hybridMultilevel"/>
    <w:tmpl w:val="48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05B0A"/>
    <w:multiLevelType w:val="hybridMultilevel"/>
    <w:tmpl w:val="E62E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8"/>
  </w:num>
  <w:num w:numId="4">
    <w:abstractNumId w:val="7"/>
  </w:num>
  <w:num w:numId="5">
    <w:abstractNumId w:val="17"/>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0"/>
  </w:num>
  <w:num w:numId="11">
    <w:abstractNumId w:val="25"/>
  </w:num>
  <w:num w:numId="12">
    <w:abstractNumId w:val="26"/>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0"/>
  </w:num>
  <w:num w:numId="18">
    <w:abstractNumId w:val="29"/>
  </w:num>
  <w:num w:numId="19">
    <w:abstractNumId w:val="1"/>
  </w:num>
  <w:num w:numId="20">
    <w:abstractNumId w:val="31"/>
  </w:num>
  <w:num w:numId="21">
    <w:abstractNumId w:val="3"/>
  </w:num>
  <w:num w:numId="22">
    <w:abstractNumId w:val="11"/>
  </w:num>
  <w:num w:numId="23">
    <w:abstractNumId w:val="8"/>
  </w:num>
  <w:num w:numId="24">
    <w:abstractNumId w:val="14"/>
  </w:num>
  <w:num w:numId="25">
    <w:abstractNumId w:val="13"/>
  </w:num>
  <w:num w:numId="26">
    <w:abstractNumId w:val="19"/>
  </w:num>
  <w:num w:numId="27">
    <w:abstractNumId w:val="22"/>
  </w:num>
  <w:num w:numId="28">
    <w:abstractNumId w:val="16"/>
  </w:num>
  <w:num w:numId="29">
    <w:abstractNumId w:val="18"/>
  </w:num>
  <w:num w:numId="30">
    <w:abstractNumId w:val="6"/>
  </w:num>
  <w:num w:numId="31">
    <w:abstractNumId w:val="21"/>
  </w:num>
  <w:num w:numId="32">
    <w:abstractNumId w:val="4"/>
  </w:num>
  <w:num w:numId="33">
    <w:abstractNumId w:val="32"/>
  </w:num>
  <w:num w:numId="34">
    <w:abstractNumId w:val="12"/>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1A90"/>
    <w:rsid w:val="00002EEE"/>
    <w:rsid w:val="00003ED5"/>
    <w:rsid w:val="00003EED"/>
    <w:rsid w:val="00004CDA"/>
    <w:rsid w:val="000064A5"/>
    <w:rsid w:val="000067B0"/>
    <w:rsid w:val="0000695D"/>
    <w:rsid w:val="00007FCF"/>
    <w:rsid w:val="000119B0"/>
    <w:rsid w:val="00012041"/>
    <w:rsid w:val="0001212F"/>
    <w:rsid w:val="00013397"/>
    <w:rsid w:val="00013878"/>
    <w:rsid w:val="000140E3"/>
    <w:rsid w:val="00014194"/>
    <w:rsid w:val="00014374"/>
    <w:rsid w:val="00015C3B"/>
    <w:rsid w:val="00016A80"/>
    <w:rsid w:val="000212A0"/>
    <w:rsid w:val="00022BDE"/>
    <w:rsid w:val="0002590C"/>
    <w:rsid w:val="00025A7B"/>
    <w:rsid w:val="00026DE6"/>
    <w:rsid w:val="00027B21"/>
    <w:rsid w:val="00027F12"/>
    <w:rsid w:val="000303D4"/>
    <w:rsid w:val="0003244F"/>
    <w:rsid w:val="0003323E"/>
    <w:rsid w:val="00034FCA"/>
    <w:rsid w:val="000353D9"/>
    <w:rsid w:val="00035C9F"/>
    <w:rsid w:val="00037C99"/>
    <w:rsid w:val="000414EB"/>
    <w:rsid w:val="000422BF"/>
    <w:rsid w:val="00043167"/>
    <w:rsid w:val="00043F97"/>
    <w:rsid w:val="00044B8C"/>
    <w:rsid w:val="000452BA"/>
    <w:rsid w:val="000463EE"/>
    <w:rsid w:val="00046606"/>
    <w:rsid w:val="0004685C"/>
    <w:rsid w:val="00046A3C"/>
    <w:rsid w:val="000477BE"/>
    <w:rsid w:val="00050A5A"/>
    <w:rsid w:val="00051C04"/>
    <w:rsid w:val="00053B54"/>
    <w:rsid w:val="00055773"/>
    <w:rsid w:val="00055ABF"/>
    <w:rsid w:val="00056DEF"/>
    <w:rsid w:val="000620A2"/>
    <w:rsid w:val="00062F13"/>
    <w:rsid w:val="00063250"/>
    <w:rsid w:val="00063CFB"/>
    <w:rsid w:val="0006479B"/>
    <w:rsid w:val="000669AC"/>
    <w:rsid w:val="000679CE"/>
    <w:rsid w:val="00067F4F"/>
    <w:rsid w:val="0007023A"/>
    <w:rsid w:val="000703C1"/>
    <w:rsid w:val="000707B4"/>
    <w:rsid w:val="000716B4"/>
    <w:rsid w:val="00071BDB"/>
    <w:rsid w:val="00072121"/>
    <w:rsid w:val="0007218D"/>
    <w:rsid w:val="000732C6"/>
    <w:rsid w:val="00073C16"/>
    <w:rsid w:val="00074713"/>
    <w:rsid w:val="00076B8B"/>
    <w:rsid w:val="00076FBE"/>
    <w:rsid w:val="00077A08"/>
    <w:rsid w:val="00077E4F"/>
    <w:rsid w:val="0008072A"/>
    <w:rsid w:val="00081DBB"/>
    <w:rsid w:val="000821A9"/>
    <w:rsid w:val="00083632"/>
    <w:rsid w:val="00083742"/>
    <w:rsid w:val="00084F5E"/>
    <w:rsid w:val="00085A4E"/>
    <w:rsid w:val="00085DDC"/>
    <w:rsid w:val="000860B7"/>
    <w:rsid w:val="00086919"/>
    <w:rsid w:val="000879A7"/>
    <w:rsid w:val="00090154"/>
    <w:rsid w:val="00090392"/>
    <w:rsid w:val="00091840"/>
    <w:rsid w:val="00093469"/>
    <w:rsid w:val="00093C51"/>
    <w:rsid w:val="00093DFE"/>
    <w:rsid w:val="0009462C"/>
    <w:rsid w:val="00095418"/>
    <w:rsid w:val="0009570B"/>
    <w:rsid w:val="00095A83"/>
    <w:rsid w:val="00097080"/>
    <w:rsid w:val="000A0193"/>
    <w:rsid w:val="000A0825"/>
    <w:rsid w:val="000A1110"/>
    <w:rsid w:val="000A13D2"/>
    <w:rsid w:val="000A1C81"/>
    <w:rsid w:val="000A2702"/>
    <w:rsid w:val="000A318E"/>
    <w:rsid w:val="000A326B"/>
    <w:rsid w:val="000A44F9"/>
    <w:rsid w:val="000A74A7"/>
    <w:rsid w:val="000B0269"/>
    <w:rsid w:val="000B0445"/>
    <w:rsid w:val="000B1BA7"/>
    <w:rsid w:val="000B24AA"/>
    <w:rsid w:val="000B2543"/>
    <w:rsid w:val="000B2B99"/>
    <w:rsid w:val="000B3500"/>
    <w:rsid w:val="000B3EEB"/>
    <w:rsid w:val="000B40F6"/>
    <w:rsid w:val="000B4291"/>
    <w:rsid w:val="000B482B"/>
    <w:rsid w:val="000B529B"/>
    <w:rsid w:val="000B5DC4"/>
    <w:rsid w:val="000B6145"/>
    <w:rsid w:val="000C26E0"/>
    <w:rsid w:val="000C5271"/>
    <w:rsid w:val="000C619D"/>
    <w:rsid w:val="000C7031"/>
    <w:rsid w:val="000D1025"/>
    <w:rsid w:val="000D121A"/>
    <w:rsid w:val="000D23B5"/>
    <w:rsid w:val="000D515B"/>
    <w:rsid w:val="000D57D1"/>
    <w:rsid w:val="000D621D"/>
    <w:rsid w:val="000D622E"/>
    <w:rsid w:val="000D6589"/>
    <w:rsid w:val="000D6B9A"/>
    <w:rsid w:val="000D7090"/>
    <w:rsid w:val="000D7680"/>
    <w:rsid w:val="000E0286"/>
    <w:rsid w:val="000E0824"/>
    <w:rsid w:val="000E0B4E"/>
    <w:rsid w:val="000E1E78"/>
    <w:rsid w:val="000E212F"/>
    <w:rsid w:val="000E2C25"/>
    <w:rsid w:val="000E2CC8"/>
    <w:rsid w:val="000E380B"/>
    <w:rsid w:val="000E45FB"/>
    <w:rsid w:val="000E4EC3"/>
    <w:rsid w:val="000E696B"/>
    <w:rsid w:val="000E6AAD"/>
    <w:rsid w:val="000E6F03"/>
    <w:rsid w:val="000F002C"/>
    <w:rsid w:val="000F0E46"/>
    <w:rsid w:val="000F1653"/>
    <w:rsid w:val="000F1EE8"/>
    <w:rsid w:val="000F596E"/>
    <w:rsid w:val="000F6F49"/>
    <w:rsid w:val="000F6FED"/>
    <w:rsid w:val="00100AFE"/>
    <w:rsid w:val="0010186E"/>
    <w:rsid w:val="00101AA4"/>
    <w:rsid w:val="00103CAD"/>
    <w:rsid w:val="00104049"/>
    <w:rsid w:val="00105DC5"/>
    <w:rsid w:val="00106F54"/>
    <w:rsid w:val="0011063A"/>
    <w:rsid w:val="001107F7"/>
    <w:rsid w:val="00110A9C"/>
    <w:rsid w:val="00110CDB"/>
    <w:rsid w:val="00110DA8"/>
    <w:rsid w:val="00110ED9"/>
    <w:rsid w:val="001110A8"/>
    <w:rsid w:val="00111294"/>
    <w:rsid w:val="00112694"/>
    <w:rsid w:val="00116908"/>
    <w:rsid w:val="00117AE5"/>
    <w:rsid w:val="0012202B"/>
    <w:rsid w:val="0012353F"/>
    <w:rsid w:val="0012396E"/>
    <w:rsid w:val="00125ADA"/>
    <w:rsid w:val="00126AF0"/>
    <w:rsid w:val="00126F10"/>
    <w:rsid w:val="001272D9"/>
    <w:rsid w:val="00130B0F"/>
    <w:rsid w:val="00131231"/>
    <w:rsid w:val="001314BE"/>
    <w:rsid w:val="00132362"/>
    <w:rsid w:val="00132AA5"/>
    <w:rsid w:val="00134477"/>
    <w:rsid w:val="00134954"/>
    <w:rsid w:val="0013643C"/>
    <w:rsid w:val="0013785D"/>
    <w:rsid w:val="00140851"/>
    <w:rsid w:val="00140B57"/>
    <w:rsid w:val="00141111"/>
    <w:rsid w:val="001416F9"/>
    <w:rsid w:val="00141C67"/>
    <w:rsid w:val="0014246E"/>
    <w:rsid w:val="00142541"/>
    <w:rsid w:val="0014284D"/>
    <w:rsid w:val="00142DF9"/>
    <w:rsid w:val="00143D79"/>
    <w:rsid w:val="001443B9"/>
    <w:rsid w:val="00145747"/>
    <w:rsid w:val="00145A47"/>
    <w:rsid w:val="001460C4"/>
    <w:rsid w:val="00147C42"/>
    <w:rsid w:val="001517D5"/>
    <w:rsid w:val="00152E06"/>
    <w:rsid w:val="0015577F"/>
    <w:rsid w:val="00155F78"/>
    <w:rsid w:val="00156168"/>
    <w:rsid w:val="00156A7C"/>
    <w:rsid w:val="00156B05"/>
    <w:rsid w:val="00156CFB"/>
    <w:rsid w:val="001602A7"/>
    <w:rsid w:val="00161865"/>
    <w:rsid w:val="00162320"/>
    <w:rsid w:val="00162698"/>
    <w:rsid w:val="00162BC5"/>
    <w:rsid w:val="001632D5"/>
    <w:rsid w:val="001636D5"/>
    <w:rsid w:val="00164B66"/>
    <w:rsid w:val="00165D2D"/>
    <w:rsid w:val="001669D5"/>
    <w:rsid w:val="00166DBE"/>
    <w:rsid w:val="001703AE"/>
    <w:rsid w:val="001707F2"/>
    <w:rsid w:val="00170C35"/>
    <w:rsid w:val="0017160A"/>
    <w:rsid w:val="001723F2"/>
    <w:rsid w:val="0017262A"/>
    <w:rsid w:val="00172F94"/>
    <w:rsid w:val="001747CF"/>
    <w:rsid w:val="00174C3B"/>
    <w:rsid w:val="0017570F"/>
    <w:rsid w:val="00175BB0"/>
    <w:rsid w:val="00176428"/>
    <w:rsid w:val="001770A1"/>
    <w:rsid w:val="00177150"/>
    <w:rsid w:val="001774E6"/>
    <w:rsid w:val="0018007F"/>
    <w:rsid w:val="00180095"/>
    <w:rsid w:val="001804BA"/>
    <w:rsid w:val="001810B7"/>
    <w:rsid w:val="00181E0B"/>
    <w:rsid w:val="001828B6"/>
    <w:rsid w:val="00183075"/>
    <w:rsid w:val="00183725"/>
    <w:rsid w:val="001844AD"/>
    <w:rsid w:val="00187244"/>
    <w:rsid w:val="001876B7"/>
    <w:rsid w:val="00187D0E"/>
    <w:rsid w:val="00187E46"/>
    <w:rsid w:val="00190363"/>
    <w:rsid w:val="00190770"/>
    <w:rsid w:val="00190BB9"/>
    <w:rsid w:val="001928D8"/>
    <w:rsid w:val="00193770"/>
    <w:rsid w:val="001937B1"/>
    <w:rsid w:val="0019488C"/>
    <w:rsid w:val="00195017"/>
    <w:rsid w:val="001960C4"/>
    <w:rsid w:val="001975FA"/>
    <w:rsid w:val="00197B4C"/>
    <w:rsid w:val="001A1871"/>
    <w:rsid w:val="001A286D"/>
    <w:rsid w:val="001A495D"/>
    <w:rsid w:val="001A4A39"/>
    <w:rsid w:val="001A51A7"/>
    <w:rsid w:val="001A52F7"/>
    <w:rsid w:val="001A5365"/>
    <w:rsid w:val="001B07D9"/>
    <w:rsid w:val="001B1018"/>
    <w:rsid w:val="001B1B21"/>
    <w:rsid w:val="001B22D1"/>
    <w:rsid w:val="001B2AD1"/>
    <w:rsid w:val="001B3A34"/>
    <w:rsid w:val="001B3B4A"/>
    <w:rsid w:val="001B455B"/>
    <w:rsid w:val="001B4787"/>
    <w:rsid w:val="001B7FA1"/>
    <w:rsid w:val="001C038B"/>
    <w:rsid w:val="001C03E6"/>
    <w:rsid w:val="001C067F"/>
    <w:rsid w:val="001C0AFC"/>
    <w:rsid w:val="001C0D9F"/>
    <w:rsid w:val="001C1AFE"/>
    <w:rsid w:val="001C1FE6"/>
    <w:rsid w:val="001C3509"/>
    <w:rsid w:val="001C47B6"/>
    <w:rsid w:val="001C47DC"/>
    <w:rsid w:val="001C4FCE"/>
    <w:rsid w:val="001C6A23"/>
    <w:rsid w:val="001C6E29"/>
    <w:rsid w:val="001C6F5E"/>
    <w:rsid w:val="001C6F62"/>
    <w:rsid w:val="001C74A6"/>
    <w:rsid w:val="001C7AD5"/>
    <w:rsid w:val="001D1A1A"/>
    <w:rsid w:val="001D1BBA"/>
    <w:rsid w:val="001D2432"/>
    <w:rsid w:val="001D2D83"/>
    <w:rsid w:val="001D3070"/>
    <w:rsid w:val="001D3A84"/>
    <w:rsid w:val="001D50FF"/>
    <w:rsid w:val="001D54A1"/>
    <w:rsid w:val="001D677B"/>
    <w:rsid w:val="001E208C"/>
    <w:rsid w:val="001E2492"/>
    <w:rsid w:val="001E2F17"/>
    <w:rsid w:val="001E31DB"/>
    <w:rsid w:val="001E3F96"/>
    <w:rsid w:val="001E5DBA"/>
    <w:rsid w:val="001E6860"/>
    <w:rsid w:val="001E7BB6"/>
    <w:rsid w:val="001F0333"/>
    <w:rsid w:val="001F0BA9"/>
    <w:rsid w:val="001F0F63"/>
    <w:rsid w:val="001F2057"/>
    <w:rsid w:val="001F25F6"/>
    <w:rsid w:val="001F3E5F"/>
    <w:rsid w:val="001F6291"/>
    <w:rsid w:val="001F6D5C"/>
    <w:rsid w:val="001F7C54"/>
    <w:rsid w:val="00201408"/>
    <w:rsid w:val="00201558"/>
    <w:rsid w:val="00203734"/>
    <w:rsid w:val="002037D0"/>
    <w:rsid w:val="002040DE"/>
    <w:rsid w:val="002048C9"/>
    <w:rsid w:val="00204D70"/>
    <w:rsid w:val="00205AD8"/>
    <w:rsid w:val="00206254"/>
    <w:rsid w:val="002066F8"/>
    <w:rsid w:val="002067C9"/>
    <w:rsid w:val="002074AC"/>
    <w:rsid w:val="00207BB9"/>
    <w:rsid w:val="00210650"/>
    <w:rsid w:val="00210AAA"/>
    <w:rsid w:val="00212444"/>
    <w:rsid w:val="002128AB"/>
    <w:rsid w:val="00213650"/>
    <w:rsid w:val="00214330"/>
    <w:rsid w:val="0021599A"/>
    <w:rsid w:val="00216246"/>
    <w:rsid w:val="0021627F"/>
    <w:rsid w:val="00216CE9"/>
    <w:rsid w:val="00216F3F"/>
    <w:rsid w:val="002172E9"/>
    <w:rsid w:val="00217CC5"/>
    <w:rsid w:val="0022087B"/>
    <w:rsid w:val="002212D4"/>
    <w:rsid w:val="002225D3"/>
    <w:rsid w:val="0022291B"/>
    <w:rsid w:val="002234AA"/>
    <w:rsid w:val="0022405B"/>
    <w:rsid w:val="002248B0"/>
    <w:rsid w:val="002248C8"/>
    <w:rsid w:val="002252A1"/>
    <w:rsid w:val="0022600F"/>
    <w:rsid w:val="00226373"/>
    <w:rsid w:val="002266E6"/>
    <w:rsid w:val="002267F6"/>
    <w:rsid w:val="00226AA8"/>
    <w:rsid w:val="0022741D"/>
    <w:rsid w:val="00227FA6"/>
    <w:rsid w:val="00227FD5"/>
    <w:rsid w:val="002305EB"/>
    <w:rsid w:val="00230949"/>
    <w:rsid w:val="00231727"/>
    <w:rsid w:val="00231B0C"/>
    <w:rsid w:val="00231D54"/>
    <w:rsid w:val="00231D9D"/>
    <w:rsid w:val="00232D46"/>
    <w:rsid w:val="002330D7"/>
    <w:rsid w:val="00234DDA"/>
    <w:rsid w:val="00234E91"/>
    <w:rsid w:val="002355B1"/>
    <w:rsid w:val="00235AB7"/>
    <w:rsid w:val="0023668E"/>
    <w:rsid w:val="002373EF"/>
    <w:rsid w:val="002408F5"/>
    <w:rsid w:val="00243D22"/>
    <w:rsid w:val="00244823"/>
    <w:rsid w:val="00245C6F"/>
    <w:rsid w:val="00246393"/>
    <w:rsid w:val="00246437"/>
    <w:rsid w:val="00246688"/>
    <w:rsid w:val="00246F47"/>
    <w:rsid w:val="002470D2"/>
    <w:rsid w:val="0024751E"/>
    <w:rsid w:val="00247F16"/>
    <w:rsid w:val="0025047C"/>
    <w:rsid w:val="00251165"/>
    <w:rsid w:val="002518A1"/>
    <w:rsid w:val="00252ABE"/>
    <w:rsid w:val="002534A7"/>
    <w:rsid w:val="00253B05"/>
    <w:rsid w:val="00254796"/>
    <w:rsid w:val="00254955"/>
    <w:rsid w:val="00256DAD"/>
    <w:rsid w:val="0025745C"/>
    <w:rsid w:val="002603AF"/>
    <w:rsid w:val="0026047E"/>
    <w:rsid w:val="0026059E"/>
    <w:rsid w:val="00260F82"/>
    <w:rsid w:val="0026461B"/>
    <w:rsid w:val="00267C8E"/>
    <w:rsid w:val="002706DD"/>
    <w:rsid w:val="00273720"/>
    <w:rsid w:val="002737D9"/>
    <w:rsid w:val="00274312"/>
    <w:rsid w:val="0027489F"/>
    <w:rsid w:val="00274AE2"/>
    <w:rsid w:val="0027605B"/>
    <w:rsid w:val="00276E08"/>
    <w:rsid w:val="00280167"/>
    <w:rsid w:val="002810D7"/>
    <w:rsid w:val="002818EC"/>
    <w:rsid w:val="00281AD5"/>
    <w:rsid w:val="00282434"/>
    <w:rsid w:val="00282F9B"/>
    <w:rsid w:val="002834B4"/>
    <w:rsid w:val="00283A21"/>
    <w:rsid w:val="00285307"/>
    <w:rsid w:val="002869CB"/>
    <w:rsid w:val="0028777B"/>
    <w:rsid w:val="00287C3D"/>
    <w:rsid w:val="00291D53"/>
    <w:rsid w:val="0029299C"/>
    <w:rsid w:val="0029399D"/>
    <w:rsid w:val="0029574D"/>
    <w:rsid w:val="00295CDE"/>
    <w:rsid w:val="00295E3D"/>
    <w:rsid w:val="00296141"/>
    <w:rsid w:val="0029692C"/>
    <w:rsid w:val="00296D3B"/>
    <w:rsid w:val="00297733"/>
    <w:rsid w:val="00297CC8"/>
    <w:rsid w:val="002A128A"/>
    <w:rsid w:val="002A1882"/>
    <w:rsid w:val="002A361F"/>
    <w:rsid w:val="002A3EA4"/>
    <w:rsid w:val="002A4F59"/>
    <w:rsid w:val="002A52B1"/>
    <w:rsid w:val="002A5CCF"/>
    <w:rsid w:val="002A7F5C"/>
    <w:rsid w:val="002B1998"/>
    <w:rsid w:val="002B22FA"/>
    <w:rsid w:val="002B47D4"/>
    <w:rsid w:val="002B6A42"/>
    <w:rsid w:val="002B7729"/>
    <w:rsid w:val="002C0AE7"/>
    <w:rsid w:val="002C12A1"/>
    <w:rsid w:val="002C1BB5"/>
    <w:rsid w:val="002C1D11"/>
    <w:rsid w:val="002C3108"/>
    <w:rsid w:val="002C417B"/>
    <w:rsid w:val="002C62C9"/>
    <w:rsid w:val="002C69C3"/>
    <w:rsid w:val="002C7819"/>
    <w:rsid w:val="002D0080"/>
    <w:rsid w:val="002D0252"/>
    <w:rsid w:val="002D0732"/>
    <w:rsid w:val="002D1783"/>
    <w:rsid w:val="002D1FF8"/>
    <w:rsid w:val="002D30A0"/>
    <w:rsid w:val="002D3201"/>
    <w:rsid w:val="002D343B"/>
    <w:rsid w:val="002D4B68"/>
    <w:rsid w:val="002D6B16"/>
    <w:rsid w:val="002D6B33"/>
    <w:rsid w:val="002D6F65"/>
    <w:rsid w:val="002D72C2"/>
    <w:rsid w:val="002D73F2"/>
    <w:rsid w:val="002D7D2C"/>
    <w:rsid w:val="002E0040"/>
    <w:rsid w:val="002E11BE"/>
    <w:rsid w:val="002E1596"/>
    <w:rsid w:val="002E1D1C"/>
    <w:rsid w:val="002E3118"/>
    <w:rsid w:val="002E385F"/>
    <w:rsid w:val="002E4294"/>
    <w:rsid w:val="002E5ACB"/>
    <w:rsid w:val="002E6084"/>
    <w:rsid w:val="002F30DF"/>
    <w:rsid w:val="002F3A1C"/>
    <w:rsid w:val="002F41AC"/>
    <w:rsid w:val="002F5E7E"/>
    <w:rsid w:val="002F7BC5"/>
    <w:rsid w:val="003002EB"/>
    <w:rsid w:val="0030156D"/>
    <w:rsid w:val="003027A4"/>
    <w:rsid w:val="00302CFD"/>
    <w:rsid w:val="00303209"/>
    <w:rsid w:val="003049A5"/>
    <w:rsid w:val="00304B40"/>
    <w:rsid w:val="00305BC1"/>
    <w:rsid w:val="00306096"/>
    <w:rsid w:val="003069F6"/>
    <w:rsid w:val="00307DBB"/>
    <w:rsid w:val="00310F57"/>
    <w:rsid w:val="00311557"/>
    <w:rsid w:val="00311650"/>
    <w:rsid w:val="003120E3"/>
    <w:rsid w:val="00313CDF"/>
    <w:rsid w:val="003143CA"/>
    <w:rsid w:val="00314EB4"/>
    <w:rsid w:val="00315482"/>
    <w:rsid w:val="0031564F"/>
    <w:rsid w:val="0031770E"/>
    <w:rsid w:val="00317CA3"/>
    <w:rsid w:val="00317D6D"/>
    <w:rsid w:val="00320A96"/>
    <w:rsid w:val="00321729"/>
    <w:rsid w:val="0032412A"/>
    <w:rsid w:val="003266A7"/>
    <w:rsid w:val="00326E74"/>
    <w:rsid w:val="00331B0E"/>
    <w:rsid w:val="00331DED"/>
    <w:rsid w:val="0033202B"/>
    <w:rsid w:val="0033313A"/>
    <w:rsid w:val="00334AFB"/>
    <w:rsid w:val="00335673"/>
    <w:rsid w:val="00336701"/>
    <w:rsid w:val="0034053E"/>
    <w:rsid w:val="003428A3"/>
    <w:rsid w:val="00342BD6"/>
    <w:rsid w:val="0034319F"/>
    <w:rsid w:val="0034367D"/>
    <w:rsid w:val="003466F7"/>
    <w:rsid w:val="003470CD"/>
    <w:rsid w:val="0035063A"/>
    <w:rsid w:val="00350EA5"/>
    <w:rsid w:val="00351CE9"/>
    <w:rsid w:val="00351F99"/>
    <w:rsid w:val="00352008"/>
    <w:rsid w:val="00353372"/>
    <w:rsid w:val="003540E5"/>
    <w:rsid w:val="00354715"/>
    <w:rsid w:val="003562D1"/>
    <w:rsid w:val="00356B40"/>
    <w:rsid w:val="00357034"/>
    <w:rsid w:val="00357254"/>
    <w:rsid w:val="0036033A"/>
    <w:rsid w:val="003610FF"/>
    <w:rsid w:val="00362193"/>
    <w:rsid w:val="00362CD0"/>
    <w:rsid w:val="003637ED"/>
    <w:rsid w:val="00364429"/>
    <w:rsid w:val="00364757"/>
    <w:rsid w:val="00365CBA"/>
    <w:rsid w:val="00365D98"/>
    <w:rsid w:val="0036657D"/>
    <w:rsid w:val="00366CFC"/>
    <w:rsid w:val="00366DD2"/>
    <w:rsid w:val="0036728A"/>
    <w:rsid w:val="003674DA"/>
    <w:rsid w:val="00367DF4"/>
    <w:rsid w:val="00370FE4"/>
    <w:rsid w:val="00371237"/>
    <w:rsid w:val="0037263B"/>
    <w:rsid w:val="003736FE"/>
    <w:rsid w:val="003753E6"/>
    <w:rsid w:val="00377C95"/>
    <w:rsid w:val="00380E4B"/>
    <w:rsid w:val="00381F32"/>
    <w:rsid w:val="00382C58"/>
    <w:rsid w:val="0038319B"/>
    <w:rsid w:val="003833B0"/>
    <w:rsid w:val="003836D4"/>
    <w:rsid w:val="00383A77"/>
    <w:rsid w:val="00385270"/>
    <w:rsid w:val="00385701"/>
    <w:rsid w:val="003865B1"/>
    <w:rsid w:val="00386E39"/>
    <w:rsid w:val="00387DD7"/>
    <w:rsid w:val="00390016"/>
    <w:rsid w:val="00390AD6"/>
    <w:rsid w:val="0039286E"/>
    <w:rsid w:val="0039290B"/>
    <w:rsid w:val="00392C33"/>
    <w:rsid w:val="00394725"/>
    <w:rsid w:val="00394B94"/>
    <w:rsid w:val="00395383"/>
    <w:rsid w:val="00395570"/>
    <w:rsid w:val="00396753"/>
    <w:rsid w:val="00396B34"/>
    <w:rsid w:val="00396B63"/>
    <w:rsid w:val="00396CD8"/>
    <w:rsid w:val="003A0014"/>
    <w:rsid w:val="003A0651"/>
    <w:rsid w:val="003A1010"/>
    <w:rsid w:val="003A1019"/>
    <w:rsid w:val="003A14B7"/>
    <w:rsid w:val="003A16CF"/>
    <w:rsid w:val="003A172D"/>
    <w:rsid w:val="003A22F2"/>
    <w:rsid w:val="003A2627"/>
    <w:rsid w:val="003A289D"/>
    <w:rsid w:val="003A3064"/>
    <w:rsid w:val="003A32C3"/>
    <w:rsid w:val="003A347A"/>
    <w:rsid w:val="003A4D85"/>
    <w:rsid w:val="003A556C"/>
    <w:rsid w:val="003A5C44"/>
    <w:rsid w:val="003A6D9C"/>
    <w:rsid w:val="003B0440"/>
    <w:rsid w:val="003B0980"/>
    <w:rsid w:val="003B142F"/>
    <w:rsid w:val="003B22E3"/>
    <w:rsid w:val="003B2D5E"/>
    <w:rsid w:val="003B322E"/>
    <w:rsid w:val="003B3FB6"/>
    <w:rsid w:val="003B49DF"/>
    <w:rsid w:val="003B4B14"/>
    <w:rsid w:val="003B55EB"/>
    <w:rsid w:val="003B572E"/>
    <w:rsid w:val="003B6271"/>
    <w:rsid w:val="003B73FC"/>
    <w:rsid w:val="003B744E"/>
    <w:rsid w:val="003B746F"/>
    <w:rsid w:val="003B7A33"/>
    <w:rsid w:val="003B7B6B"/>
    <w:rsid w:val="003C09DD"/>
    <w:rsid w:val="003C0B44"/>
    <w:rsid w:val="003C19D6"/>
    <w:rsid w:val="003C1F7F"/>
    <w:rsid w:val="003C2AF5"/>
    <w:rsid w:val="003C2BED"/>
    <w:rsid w:val="003C3127"/>
    <w:rsid w:val="003C5439"/>
    <w:rsid w:val="003C5A3A"/>
    <w:rsid w:val="003C5E34"/>
    <w:rsid w:val="003C5EAB"/>
    <w:rsid w:val="003C5F1C"/>
    <w:rsid w:val="003C6378"/>
    <w:rsid w:val="003C72B8"/>
    <w:rsid w:val="003C7674"/>
    <w:rsid w:val="003D2C3D"/>
    <w:rsid w:val="003D3B27"/>
    <w:rsid w:val="003D5C83"/>
    <w:rsid w:val="003D66E3"/>
    <w:rsid w:val="003D7BE9"/>
    <w:rsid w:val="003E0621"/>
    <w:rsid w:val="003E0B7A"/>
    <w:rsid w:val="003E1EA5"/>
    <w:rsid w:val="003E283F"/>
    <w:rsid w:val="003E3C7F"/>
    <w:rsid w:val="003E50B6"/>
    <w:rsid w:val="003E5254"/>
    <w:rsid w:val="003E5D82"/>
    <w:rsid w:val="003E6EAF"/>
    <w:rsid w:val="003F0EA1"/>
    <w:rsid w:val="003F2AFF"/>
    <w:rsid w:val="003F2ED1"/>
    <w:rsid w:val="003F3C4A"/>
    <w:rsid w:val="003F3DA7"/>
    <w:rsid w:val="003F47D8"/>
    <w:rsid w:val="003F5523"/>
    <w:rsid w:val="003F55EA"/>
    <w:rsid w:val="003F5A75"/>
    <w:rsid w:val="003F5EE5"/>
    <w:rsid w:val="003F63B6"/>
    <w:rsid w:val="003F6C8C"/>
    <w:rsid w:val="0040039C"/>
    <w:rsid w:val="00400844"/>
    <w:rsid w:val="00401041"/>
    <w:rsid w:val="004012F6"/>
    <w:rsid w:val="00401881"/>
    <w:rsid w:val="00402A1D"/>
    <w:rsid w:val="00402C99"/>
    <w:rsid w:val="00402E14"/>
    <w:rsid w:val="0040488E"/>
    <w:rsid w:val="00404ACB"/>
    <w:rsid w:val="00404DF6"/>
    <w:rsid w:val="0040516A"/>
    <w:rsid w:val="00405BC1"/>
    <w:rsid w:val="004119D6"/>
    <w:rsid w:val="00412490"/>
    <w:rsid w:val="00412E45"/>
    <w:rsid w:val="0041334D"/>
    <w:rsid w:val="0042074A"/>
    <w:rsid w:val="0042389B"/>
    <w:rsid w:val="0042514C"/>
    <w:rsid w:val="004260D5"/>
    <w:rsid w:val="00431FBB"/>
    <w:rsid w:val="00433AD1"/>
    <w:rsid w:val="00433C97"/>
    <w:rsid w:val="00434E27"/>
    <w:rsid w:val="0043569E"/>
    <w:rsid w:val="00436EE8"/>
    <w:rsid w:val="00437A2C"/>
    <w:rsid w:val="00440C71"/>
    <w:rsid w:val="004412FA"/>
    <w:rsid w:val="00441A62"/>
    <w:rsid w:val="00442598"/>
    <w:rsid w:val="00442D5A"/>
    <w:rsid w:val="00444609"/>
    <w:rsid w:val="00444EF2"/>
    <w:rsid w:val="00447603"/>
    <w:rsid w:val="00447918"/>
    <w:rsid w:val="004522B0"/>
    <w:rsid w:val="004539CF"/>
    <w:rsid w:val="00453FDF"/>
    <w:rsid w:val="00454FF2"/>
    <w:rsid w:val="00455DFA"/>
    <w:rsid w:val="00456DDA"/>
    <w:rsid w:val="0045717D"/>
    <w:rsid w:val="004622D1"/>
    <w:rsid w:val="0046291D"/>
    <w:rsid w:val="00463151"/>
    <w:rsid w:val="0046336F"/>
    <w:rsid w:val="00463B15"/>
    <w:rsid w:val="00465865"/>
    <w:rsid w:val="00466DF8"/>
    <w:rsid w:val="00470E7F"/>
    <w:rsid w:val="00471DE4"/>
    <w:rsid w:val="00472FA3"/>
    <w:rsid w:val="00473470"/>
    <w:rsid w:val="004737E1"/>
    <w:rsid w:val="00473888"/>
    <w:rsid w:val="004742BA"/>
    <w:rsid w:val="00474E42"/>
    <w:rsid w:val="00474FE9"/>
    <w:rsid w:val="0047762D"/>
    <w:rsid w:val="00477FA1"/>
    <w:rsid w:val="00480C01"/>
    <w:rsid w:val="00481312"/>
    <w:rsid w:val="00481503"/>
    <w:rsid w:val="00481A52"/>
    <w:rsid w:val="004829DB"/>
    <w:rsid w:val="004837DF"/>
    <w:rsid w:val="00484D36"/>
    <w:rsid w:val="00485D08"/>
    <w:rsid w:val="00486195"/>
    <w:rsid w:val="004864B9"/>
    <w:rsid w:val="00486759"/>
    <w:rsid w:val="0048731D"/>
    <w:rsid w:val="00487F49"/>
    <w:rsid w:val="004908A3"/>
    <w:rsid w:val="00490F18"/>
    <w:rsid w:val="004914FC"/>
    <w:rsid w:val="004931EF"/>
    <w:rsid w:val="00493391"/>
    <w:rsid w:val="00493D40"/>
    <w:rsid w:val="004959F6"/>
    <w:rsid w:val="00496872"/>
    <w:rsid w:val="00496DA5"/>
    <w:rsid w:val="004A0724"/>
    <w:rsid w:val="004A0C58"/>
    <w:rsid w:val="004A1E13"/>
    <w:rsid w:val="004A2DBA"/>
    <w:rsid w:val="004A660B"/>
    <w:rsid w:val="004A6BEB"/>
    <w:rsid w:val="004A6E6A"/>
    <w:rsid w:val="004A7B7F"/>
    <w:rsid w:val="004B0442"/>
    <w:rsid w:val="004B1365"/>
    <w:rsid w:val="004B1A9F"/>
    <w:rsid w:val="004B211F"/>
    <w:rsid w:val="004C00B3"/>
    <w:rsid w:val="004C02AB"/>
    <w:rsid w:val="004C0C2C"/>
    <w:rsid w:val="004C10D4"/>
    <w:rsid w:val="004C1412"/>
    <w:rsid w:val="004C15CA"/>
    <w:rsid w:val="004C1B08"/>
    <w:rsid w:val="004C1BAE"/>
    <w:rsid w:val="004C1C23"/>
    <w:rsid w:val="004C3D91"/>
    <w:rsid w:val="004C4255"/>
    <w:rsid w:val="004C4EED"/>
    <w:rsid w:val="004C595C"/>
    <w:rsid w:val="004C671C"/>
    <w:rsid w:val="004D0110"/>
    <w:rsid w:val="004D2666"/>
    <w:rsid w:val="004D38FD"/>
    <w:rsid w:val="004D3ED7"/>
    <w:rsid w:val="004D565B"/>
    <w:rsid w:val="004D707B"/>
    <w:rsid w:val="004D7764"/>
    <w:rsid w:val="004D78D0"/>
    <w:rsid w:val="004E029E"/>
    <w:rsid w:val="004E0AFC"/>
    <w:rsid w:val="004E1584"/>
    <w:rsid w:val="004E22A7"/>
    <w:rsid w:val="004E30CD"/>
    <w:rsid w:val="004E475E"/>
    <w:rsid w:val="004E5E98"/>
    <w:rsid w:val="004E5ED7"/>
    <w:rsid w:val="004E7313"/>
    <w:rsid w:val="004F0CFB"/>
    <w:rsid w:val="004F1BE9"/>
    <w:rsid w:val="004F4722"/>
    <w:rsid w:val="004F4937"/>
    <w:rsid w:val="004F5261"/>
    <w:rsid w:val="004F6136"/>
    <w:rsid w:val="004F6768"/>
    <w:rsid w:val="004F692B"/>
    <w:rsid w:val="004F73AA"/>
    <w:rsid w:val="004F7691"/>
    <w:rsid w:val="004F7B67"/>
    <w:rsid w:val="005000C7"/>
    <w:rsid w:val="00501B06"/>
    <w:rsid w:val="00501F50"/>
    <w:rsid w:val="00502109"/>
    <w:rsid w:val="0050729A"/>
    <w:rsid w:val="00507C9D"/>
    <w:rsid w:val="00510139"/>
    <w:rsid w:val="005143EC"/>
    <w:rsid w:val="0051461F"/>
    <w:rsid w:val="00514F31"/>
    <w:rsid w:val="005150CE"/>
    <w:rsid w:val="00516D7E"/>
    <w:rsid w:val="005172EF"/>
    <w:rsid w:val="005226E9"/>
    <w:rsid w:val="00522A8A"/>
    <w:rsid w:val="00524CC0"/>
    <w:rsid w:val="0052521C"/>
    <w:rsid w:val="005255DD"/>
    <w:rsid w:val="005263F2"/>
    <w:rsid w:val="00527E9D"/>
    <w:rsid w:val="00527F02"/>
    <w:rsid w:val="00530428"/>
    <w:rsid w:val="0053045C"/>
    <w:rsid w:val="00530B88"/>
    <w:rsid w:val="005312AB"/>
    <w:rsid w:val="005323F8"/>
    <w:rsid w:val="005329E7"/>
    <w:rsid w:val="00533350"/>
    <w:rsid w:val="00534410"/>
    <w:rsid w:val="00534601"/>
    <w:rsid w:val="005347BC"/>
    <w:rsid w:val="005365B0"/>
    <w:rsid w:val="00537054"/>
    <w:rsid w:val="00537220"/>
    <w:rsid w:val="0054001C"/>
    <w:rsid w:val="005405A7"/>
    <w:rsid w:val="00540686"/>
    <w:rsid w:val="00540A46"/>
    <w:rsid w:val="00541AF2"/>
    <w:rsid w:val="00542A6E"/>
    <w:rsid w:val="005443BC"/>
    <w:rsid w:val="00544457"/>
    <w:rsid w:val="005454C8"/>
    <w:rsid w:val="00545914"/>
    <w:rsid w:val="00546236"/>
    <w:rsid w:val="00547ACE"/>
    <w:rsid w:val="00547BC9"/>
    <w:rsid w:val="00547E9B"/>
    <w:rsid w:val="0055003A"/>
    <w:rsid w:val="00550602"/>
    <w:rsid w:val="0055081F"/>
    <w:rsid w:val="00551862"/>
    <w:rsid w:val="005534DB"/>
    <w:rsid w:val="00553C99"/>
    <w:rsid w:val="00557B1D"/>
    <w:rsid w:val="00557CF6"/>
    <w:rsid w:val="00557E0A"/>
    <w:rsid w:val="00560E1B"/>
    <w:rsid w:val="005621D9"/>
    <w:rsid w:val="00563B64"/>
    <w:rsid w:val="00564906"/>
    <w:rsid w:val="00564ED9"/>
    <w:rsid w:val="00565602"/>
    <w:rsid w:val="005669E2"/>
    <w:rsid w:val="0056753A"/>
    <w:rsid w:val="005718DC"/>
    <w:rsid w:val="00571FD1"/>
    <w:rsid w:val="0057346A"/>
    <w:rsid w:val="00573E67"/>
    <w:rsid w:val="005746A6"/>
    <w:rsid w:val="005766AE"/>
    <w:rsid w:val="005772E8"/>
    <w:rsid w:val="0057732E"/>
    <w:rsid w:val="00580876"/>
    <w:rsid w:val="00581327"/>
    <w:rsid w:val="005817F3"/>
    <w:rsid w:val="00582C67"/>
    <w:rsid w:val="005845F7"/>
    <w:rsid w:val="005850B0"/>
    <w:rsid w:val="005858E8"/>
    <w:rsid w:val="005879A1"/>
    <w:rsid w:val="005903F8"/>
    <w:rsid w:val="0059235B"/>
    <w:rsid w:val="0059364A"/>
    <w:rsid w:val="005936E7"/>
    <w:rsid w:val="005956FF"/>
    <w:rsid w:val="00596237"/>
    <w:rsid w:val="00597A68"/>
    <w:rsid w:val="00597B0C"/>
    <w:rsid w:val="00597C5C"/>
    <w:rsid w:val="005A0962"/>
    <w:rsid w:val="005A20C2"/>
    <w:rsid w:val="005A335D"/>
    <w:rsid w:val="005A4012"/>
    <w:rsid w:val="005A5163"/>
    <w:rsid w:val="005A536A"/>
    <w:rsid w:val="005A6215"/>
    <w:rsid w:val="005A6BC8"/>
    <w:rsid w:val="005B0019"/>
    <w:rsid w:val="005B0339"/>
    <w:rsid w:val="005B03DB"/>
    <w:rsid w:val="005B0CED"/>
    <w:rsid w:val="005B0D88"/>
    <w:rsid w:val="005B1C2F"/>
    <w:rsid w:val="005B34E1"/>
    <w:rsid w:val="005B4499"/>
    <w:rsid w:val="005B574B"/>
    <w:rsid w:val="005B5B8D"/>
    <w:rsid w:val="005B5CCA"/>
    <w:rsid w:val="005B7AA5"/>
    <w:rsid w:val="005B7DCB"/>
    <w:rsid w:val="005C0710"/>
    <w:rsid w:val="005C1256"/>
    <w:rsid w:val="005C1AC7"/>
    <w:rsid w:val="005C3A34"/>
    <w:rsid w:val="005C3DAF"/>
    <w:rsid w:val="005C424D"/>
    <w:rsid w:val="005C4B11"/>
    <w:rsid w:val="005C6B63"/>
    <w:rsid w:val="005C74A5"/>
    <w:rsid w:val="005C7B2E"/>
    <w:rsid w:val="005D0071"/>
    <w:rsid w:val="005D1F81"/>
    <w:rsid w:val="005D2C94"/>
    <w:rsid w:val="005D2F6C"/>
    <w:rsid w:val="005D3656"/>
    <w:rsid w:val="005D4DD6"/>
    <w:rsid w:val="005D5792"/>
    <w:rsid w:val="005D6458"/>
    <w:rsid w:val="005D730C"/>
    <w:rsid w:val="005D7E07"/>
    <w:rsid w:val="005E0F31"/>
    <w:rsid w:val="005E18DA"/>
    <w:rsid w:val="005E18FD"/>
    <w:rsid w:val="005E23B2"/>
    <w:rsid w:val="005E31B3"/>
    <w:rsid w:val="005E38DE"/>
    <w:rsid w:val="005E4A8D"/>
    <w:rsid w:val="005E6307"/>
    <w:rsid w:val="005E64BA"/>
    <w:rsid w:val="005F0E00"/>
    <w:rsid w:val="005F0F99"/>
    <w:rsid w:val="005F25A8"/>
    <w:rsid w:val="005F296F"/>
    <w:rsid w:val="005F392F"/>
    <w:rsid w:val="005F4965"/>
    <w:rsid w:val="005F5645"/>
    <w:rsid w:val="005F5C79"/>
    <w:rsid w:val="005F643E"/>
    <w:rsid w:val="005F6FFF"/>
    <w:rsid w:val="005F76BD"/>
    <w:rsid w:val="00600773"/>
    <w:rsid w:val="006013DE"/>
    <w:rsid w:val="006018C4"/>
    <w:rsid w:val="00601A12"/>
    <w:rsid w:val="00602B08"/>
    <w:rsid w:val="00603859"/>
    <w:rsid w:val="0060397A"/>
    <w:rsid w:val="00604383"/>
    <w:rsid w:val="00604AA2"/>
    <w:rsid w:val="006053B0"/>
    <w:rsid w:val="006069BD"/>
    <w:rsid w:val="00611966"/>
    <w:rsid w:val="00611DD3"/>
    <w:rsid w:val="00612B21"/>
    <w:rsid w:val="006144D8"/>
    <w:rsid w:val="00615425"/>
    <w:rsid w:val="0061599B"/>
    <w:rsid w:val="0061665B"/>
    <w:rsid w:val="006178F5"/>
    <w:rsid w:val="00620967"/>
    <w:rsid w:val="00620E3C"/>
    <w:rsid w:val="00620F4C"/>
    <w:rsid w:val="00621B08"/>
    <w:rsid w:val="00621DA4"/>
    <w:rsid w:val="00623AD2"/>
    <w:rsid w:val="0062413E"/>
    <w:rsid w:val="0062480F"/>
    <w:rsid w:val="006248E3"/>
    <w:rsid w:val="006259F7"/>
    <w:rsid w:val="00626090"/>
    <w:rsid w:val="006274B3"/>
    <w:rsid w:val="0063065E"/>
    <w:rsid w:val="00631B69"/>
    <w:rsid w:val="00632C4A"/>
    <w:rsid w:val="006332F4"/>
    <w:rsid w:val="006334F1"/>
    <w:rsid w:val="006335BE"/>
    <w:rsid w:val="006335DC"/>
    <w:rsid w:val="006336A5"/>
    <w:rsid w:val="0063371C"/>
    <w:rsid w:val="00634CD6"/>
    <w:rsid w:val="00636B1C"/>
    <w:rsid w:val="00636EDE"/>
    <w:rsid w:val="00637444"/>
    <w:rsid w:val="0064087B"/>
    <w:rsid w:val="00640B52"/>
    <w:rsid w:val="00640F2F"/>
    <w:rsid w:val="0064117C"/>
    <w:rsid w:val="006421BF"/>
    <w:rsid w:val="00642E55"/>
    <w:rsid w:val="00643B3B"/>
    <w:rsid w:val="00645DBD"/>
    <w:rsid w:val="0064657C"/>
    <w:rsid w:val="00646D88"/>
    <w:rsid w:val="00646FD6"/>
    <w:rsid w:val="00647383"/>
    <w:rsid w:val="00647A9E"/>
    <w:rsid w:val="00650769"/>
    <w:rsid w:val="00650EF5"/>
    <w:rsid w:val="0065129B"/>
    <w:rsid w:val="00652C69"/>
    <w:rsid w:val="00653C48"/>
    <w:rsid w:val="006542D6"/>
    <w:rsid w:val="00654392"/>
    <w:rsid w:val="00656433"/>
    <w:rsid w:val="006564D4"/>
    <w:rsid w:val="006571EE"/>
    <w:rsid w:val="0065726C"/>
    <w:rsid w:val="00660236"/>
    <w:rsid w:val="0066168E"/>
    <w:rsid w:val="006618AE"/>
    <w:rsid w:val="006633B2"/>
    <w:rsid w:val="006650C4"/>
    <w:rsid w:val="00666322"/>
    <w:rsid w:val="00666E66"/>
    <w:rsid w:val="00667624"/>
    <w:rsid w:val="006715E9"/>
    <w:rsid w:val="0067262D"/>
    <w:rsid w:val="006739AD"/>
    <w:rsid w:val="00673A1E"/>
    <w:rsid w:val="00673D5E"/>
    <w:rsid w:val="00674578"/>
    <w:rsid w:val="00675521"/>
    <w:rsid w:val="0067567C"/>
    <w:rsid w:val="00677435"/>
    <w:rsid w:val="00677656"/>
    <w:rsid w:val="00677BCB"/>
    <w:rsid w:val="00677D45"/>
    <w:rsid w:val="006802B9"/>
    <w:rsid w:val="00680696"/>
    <w:rsid w:val="0068234D"/>
    <w:rsid w:val="00682383"/>
    <w:rsid w:val="00683ADB"/>
    <w:rsid w:val="00684A6B"/>
    <w:rsid w:val="00684C9A"/>
    <w:rsid w:val="00686F8F"/>
    <w:rsid w:val="0068717B"/>
    <w:rsid w:val="006875DE"/>
    <w:rsid w:val="00690F1C"/>
    <w:rsid w:val="00693F88"/>
    <w:rsid w:val="00695E3C"/>
    <w:rsid w:val="00696033"/>
    <w:rsid w:val="00696178"/>
    <w:rsid w:val="00696FDB"/>
    <w:rsid w:val="006A09AA"/>
    <w:rsid w:val="006A2AA5"/>
    <w:rsid w:val="006A50E9"/>
    <w:rsid w:val="006A510B"/>
    <w:rsid w:val="006A5232"/>
    <w:rsid w:val="006A55D5"/>
    <w:rsid w:val="006A5C8A"/>
    <w:rsid w:val="006A688D"/>
    <w:rsid w:val="006A78D1"/>
    <w:rsid w:val="006A7F3B"/>
    <w:rsid w:val="006B04CC"/>
    <w:rsid w:val="006B06C5"/>
    <w:rsid w:val="006B1AFC"/>
    <w:rsid w:val="006B4405"/>
    <w:rsid w:val="006B4896"/>
    <w:rsid w:val="006B5E16"/>
    <w:rsid w:val="006B609C"/>
    <w:rsid w:val="006B76DF"/>
    <w:rsid w:val="006C3185"/>
    <w:rsid w:val="006C54F0"/>
    <w:rsid w:val="006C5E8E"/>
    <w:rsid w:val="006C6A24"/>
    <w:rsid w:val="006C790D"/>
    <w:rsid w:val="006D1E8A"/>
    <w:rsid w:val="006D2EBE"/>
    <w:rsid w:val="006D407D"/>
    <w:rsid w:val="006D4B90"/>
    <w:rsid w:val="006D4BD1"/>
    <w:rsid w:val="006D503E"/>
    <w:rsid w:val="006D5639"/>
    <w:rsid w:val="006D5801"/>
    <w:rsid w:val="006D690B"/>
    <w:rsid w:val="006D6B61"/>
    <w:rsid w:val="006E055B"/>
    <w:rsid w:val="006E0AE7"/>
    <w:rsid w:val="006E0DA4"/>
    <w:rsid w:val="006E0F51"/>
    <w:rsid w:val="006E2F3F"/>
    <w:rsid w:val="006E5B2C"/>
    <w:rsid w:val="006E5C2C"/>
    <w:rsid w:val="006E66BE"/>
    <w:rsid w:val="006E7A60"/>
    <w:rsid w:val="006E7B7D"/>
    <w:rsid w:val="006E7CAC"/>
    <w:rsid w:val="006F0B06"/>
    <w:rsid w:val="006F0D84"/>
    <w:rsid w:val="006F0E42"/>
    <w:rsid w:val="006F10CE"/>
    <w:rsid w:val="006F2319"/>
    <w:rsid w:val="006F28B6"/>
    <w:rsid w:val="006F375C"/>
    <w:rsid w:val="006F3823"/>
    <w:rsid w:val="006F55BB"/>
    <w:rsid w:val="007001E8"/>
    <w:rsid w:val="007006A5"/>
    <w:rsid w:val="00700747"/>
    <w:rsid w:val="00700894"/>
    <w:rsid w:val="00701F2D"/>
    <w:rsid w:val="00702AE0"/>
    <w:rsid w:val="00702E52"/>
    <w:rsid w:val="007066D9"/>
    <w:rsid w:val="00710268"/>
    <w:rsid w:val="00710417"/>
    <w:rsid w:val="00711E2C"/>
    <w:rsid w:val="007126EC"/>
    <w:rsid w:val="00712F7E"/>
    <w:rsid w:val="0071308E"/>
    <w:rsid w:val="007149A1"/>
    <w:rsid w:val="00714ED1"/>
    <w:rsid w:val="007152F6"/>
    <w:rsid w:val="00715BD5"/>
    <w:rsid w:val="007164E1"/>
    <w:rsid w:val="0071725F"/>
    <w:rsid w:val="00717923"/>
    <w:rsid w:val="00720EA2"/>
    <w:rsid w:val="007222F5"/>
    <w:rsid w:val="00722927"/>
    <w:rsid w:val="007240CC"/>
    <w:rsid w:val="007243C4"/>
    <w:rsid w:val="00724933"/>
    <w:rsid w:val="00725838"/>
    <w:rsid w:val="0072597C"/>
    <w:rsid w:val="00725994"/>
    <w:rsid w:val="007261C0"/>
    <w:rsid w:val="00726407"/>
    <w:rsid w:val="0072659D"/>
    <w:rsid w:val="00727EC8"/>
    <w:rsid w:val="007309F0"/>
    <w:rsid w:val="00732991"/>
    <w:rsid w:val="0073303B"/>
    <w:rsid w:val="0073457B"/>
    <w:rsid w:val="00735362"/>
    <w:rsid w:val="00735AC2"/>
    <w:rsid w:val="00736C95"/>
    <w:rsid w:val="00737F43"/>
    <w:rsid w:val="007400E3"/>
    <w:rsid w:val="0074010E"/>
    <w:rsid w:val="00741BE5"/>
    <w:rsid w:val="00742084"/>
    <w:rsid w:val="0074237E"/>
    <w:rsid w:val="007425E6"/>
    <w:rsid w:val="007437CF"/>
    <w:rsid w:val="007437DB"/>
    <w:rsid w:val="00743FF3"/>
    <w:rsid w:val="00745240"/>
    <w:rsid w:val="00746564"/>
    <w:rsid w:val="00747577"/>
    <w:rsid w:val="00747DC2"/>
    <w:rsid w:val="0075060F"/>
    <w:rsid w:val="00751776"/>
    <w:rsid w:val="00751EA3"/>
    <w:rsid w:val="00753ACA"/>
    <w:rsid w:val="0075402E"/>
    <w:rsid w:val="00756AEC"/>
    <w:rsid w:val="00756C7F"/>
    <w:rsid w:val="00757665"/>
    <w:rsid w:val="00757AD4"/>
    <w:rsid w:val="00757ECB"/>
    <w:rsid w:val="00760638"/>
    <w:rsid w:val="007616B5"/>
    <w:rsid w:val="007626FC"/>
    <w:rsid w:val="007629ED"/>
    <w:rsid w:val="00762D23"/>
    <w:rsid w:val="00762D2D"/>
    <w:rsid w:val="007630F7"/>
    <w:rsid w:val="00763C07"/>
    <w:rsid w:val="00764BAE"/>
    <w:rsid w:val="00765EFD"/>
    <w:rsid w:val="007660A6"/>
    <w:rsid w:val="00766330"/>
    <w:rsid w:val="0076651E"/>
    <w:rsid w:val="00767F26"/>
    <w:rsid w:val="00770CDD"/>
    <w:rsid w:val="00770DB0"/>
    <w:rsid w:val="007722EB"/>
    <w:rsid w:val="007723BB"/>
    <w:rsid w:val="007727AA"/>
    <w:rsid w:val="007739B9"/>
    <w:rsid w:val="00774313"/>
    <w:rsid w:val="00774D3B"/>
    <w:rsid w:val="007768FA"/>
    <w:rsid w:val="00783046"/>
    <w:rsid w:val="00784359"/>
    <w:rsid w:val="0078448D"/>
    <w:rsid w:val="00787547"/>
    <w:rsid w:val="007876A0"/>
    <w:rsid w:val="0079118B"/>
    <w:rsid w:val="0079509A"/>
    <w:rsid w:val="00795512"/>
    <w:rsid w:val="00797A6E"/>
    <w:rsid w:val="00797A98"/>
    <w:rsid w:val="007A1D53"/>
    <w:rsid w:val="007A30FC"/>
    <w:rsid w:val="007A33EB"/>
    <w:rsid w:val="007A42F8"/>
    <w:rsid w:val="007A4A95"/>
    <w:rsid w:val="007A4C51"/>
    <w:rsid w:val="007A5959"/>
    <w:rsid w:val="007A619A"/>
    <w:rsid w:val="007A7991"/>
    <w:rsid w:val="007B085E"/>
    <w:rsid w:val="007B0D6C"/>
    <w:rsid w:val="007B2E8F"/>
    <w:rsid w:val="007B4361"/>
    <w:rsid w:val="007B6AD6"/>
    <w:rsid w:val="007B6E3E"/>
    <w:rsid w:val="007B6FE5"/>
    <w:rsid w:val="007B7086"/>
    <w:rsid w:val="007B75CC"/>
    <w:rsid w:val="007C195D"/>
    <w:rsid w:val="007C2CFC"/>
    <w:rsid w:val="007C2E1F"/>
    <w:rsid w:val="007C3773"/>
    <w:rsid w:val="007C3B26"/>
    <w:rsid w:val="007C44C7"/>
    <w:rsid w:val="007C4B53"/>
    <w:rsid w:val="007C76B6"/>
    <w:rsid w:val="007D183F"/>
    <w:rsid w:val="007D291A"/>
    <w:rsid w:val="007D2932"/>
    <w:rsid w:val="007D385B"/>
    <w:rsid w:val="007D418C"/>
    <w:rsid w:val="007D48A7"/>
    <w:rsid w:val="007D4C35"/>
    <w:rsid w:val="007D540F"/>
    <w:rsid w:val="007D5AE8"/>
    <w:rsid w:val="007D5B96"/>
    <w:rsid w:val="007D60D4"/>
    <w:rsid w:val="007D7010"/>
    <w:rsid w:val="007D7391"/>
    <w:rsid w:val="007D73F9"/>
    <w:rsid w:val="007D753F"/>
    <w:rsid w:val="007D7DC3"/>
    <w:rsid w:val="007D7EDE"/>
    <w:rsid w:val="007E00B8"/>
    <w:rsid w:val="007E0B5D"/>
    <w:rsid w:val="007E2BD3"/>
    <w:rsid w:val="007E307C"/>
    <w:rsid w:val="007E3DD7"/>
    <w:rsid w:val="007E41A2"/>
    <w:rsid w:val="007E5AFC"/>
    <w:rsid w:val="007E69EF"/>
    <w:rsid w:val="007E6E1F"/>
    <w:rsid w:val="007E6FD8"/>
    <w:rsid w:val="007F1DAF"/>
    <w:rsid w:val="007F442C"/>
    <w:rsid w:val="007F51F0"/>
    <w:rsid w:val="007F565A"/>
    <w:rsid w:val="007F69B3"/>
    <w:rsid w:val="007F7965"/>
    <w:rsid w:val="008008F8"/>
    <w:rsid w:val="00800BA2"/>
    <w:rsid w:val="0080124C"/>
    <w:rsid w:val="00802520"/>
    <w:rsid w:val="0080271D"/>
    <w:rsid w:val="0080298E"/>
    <w:rsid w:val="008029A0"/>
    <w:rsid w:val="00803012"/>
    <w:rsid w:val="00803149"/>
    <w:rsid w:val="00803FE7"/>
    <w:rsid w:val="008050B0"/>
    <w:rsid w:val="00806740"/>
    <w:rsid w:val="008068AA"/>
    <w:rsid w:val="0080771D"/>
    <w:rsid w:val="00810747"/>
    <w:rsid w:val="00810CF0"/>
    <w:rsid w:val="008127C1"/>
    <w:rsid w:val="0081341C"/>
    <w:rsid w:val="0081370E"/>
    <w:rsid w:val="008152AE"/>
    <w:rsid w:val="00815889"/>
    <w:rsid w:val="008173CC"/>
    <w:rsid w:val="0081744D"/>
    <w:rsid w:val="00817DFD"/>
    <w:rsid w:val="0082002B"/>
    <w:rsid w:val="008204BA"/>
    <w:rsid w:val="00820AC1"/>
    <w:rsid w:val="00820E6B"/>
    <w:rsid w:val="00821A60"/>
    <w:rsid w:val="00822084"/>
    <w:rsid w:val="0082366E"/>
    <w:rsid w:val="008247C7"/>
    <w:rsid w:val="00824E5F"/>
    <w:rsid w:val="0082544A"/>
    <w:rsid w:val="00825A50"/>
    <w:rsid w:val="00825DE7"/>
    <w:rsid w:val="00827FC0"/>
    <w:rsid w:val="008303D4"/>
    <w:rsid w:val="00830CA0"/>
    <w:rsid w:val="00830F9F"/>
    <w:rsid w:val="00831EEC"/>
    <w:rsid w:val="00832F91"/>
    <w:rsid w:val="008332E2"/>
    <w:rsid w:val="008341DD"/>
    <w:rsid w:val="008341F6"/>
    <w:rsid w:val="00834D4B"/>
    <w:rsid w:val="00834DC2"/>
    <w:rsid w:val="00835B8F"/>
    <w:rsid w:val="00835D4A"/>
    <w:rsid w:val="00835E14"/>
    <w:rsid w:val="00836862"/>
    <w:rsid w:val="00836ADD"/>
    <w:rsid w:val="00836B90"/>
    <w:rsid w:val="0083706B"/>
    <w:rsid w:val="00840617"/>
    <w:rsid w:val="008407A3"/>
    <w:rsid w:val="00840BBF"/>
    <w:rsid w:val="00841918"/>
    <w:rsid w:val="00842D4F"/>
    <w:rsid w:val="00844655"/>
    <w:rsid w:val="008455C1"/>
    <w:rsid w:val="00847B09"/>
    <w:rsid w:val="00851D7C"/>
    <w:rsid w:val="00852336"/>
    <w:rsid w:val="00852C39"/>
    <w:rsid w:val="00855B20"/>
    <w:rsid w:val="00855E67"/>
    <w:rsid w:val="0085624C"/>
    <w:rsid w:val="00857664"/>
    <w:rsid w:val="0086088A"/>
    <w:rsid w:val="00860F58"/>
    <w:rsid w:val="00861E2A"/>
    <w:rsid w:val="008629F4"/>
    <w:rsid w:val="00865652"/>
    <w:rsid w:val="008657C5"/>
    <w:rsid w:val="008660DF"/>
    <w:rsid w:val="008670B7"/>
    <w:rsid w:val="008675DC"/>
    <w:rsid w:val="00867601"/>
    <w:rsid w:val="00867A4C"/>
    <w:rsid w:val="00871778"/>
    <w:rsid w:val="00871870"/>
    <w:rsid w:val="00871AE0"/>
    <w:rsid w:val="008738F9"/>
    <w:rsid w:val="008743DC"/>
    <w:rsid w:val="00875918"/>
    <w:rsid w:val="008804F8"/>
    <w:rsid w:val="00881176"/>
    <w:rsid w:val="00881F5F"/>
    <w:rsid w:val="00882654"/>
    <w:rsid w:val="00882A8D"/>
    <w:rsid w:val="00882E8F"/>
    <w:rsid w:val="0088378A"/>
    <w:rsid w:val="008849B6"/>
    <w:rsid w:val="00885A1B"/>
    <w:rsid w:val="008868C6"/>
    <w:rsid w:val="008902E7"/>
    <w:rsid w:val="0089095C"/>
    <w:rsid w:val="00892EEB"/>
    <w:rsid w:val="0089326A"/>
    <w:rsid w:val="008942AA"/>
    <w:rsid w:val="00894C23"/>
    <w:rsid w:val="00895338"/>
    <w:rsid w:val="0089600B"/>
    <w:rsid w:val="008967D2"/>
    <w:rsid w:val="008A0065"/>
    <w:rsid w:val="008A07E1"/>
    <w:rsid w:val="008A0F62"/>
    <w:rsid w:val="008A15A0"/>
    <w:rsid w:val="008A16EA"/>
    <w:rsid w:val="008A18F1"/>
    <w:rsid w:val="008A1ADD"/>
    <w:rsid w:val="008A210C"/>
    <w:rsid w:val="008A27AA"/>
    <w:rsid w:val="008A43B6"/>
    <w:rsid w:val="008A565D"/>
    <w:rsid w:val="008A5BBB"/>
    <w:rsid w:val="008A65EC"/>
    <w:rsid w:val="008A7CA7"/>
    <w:rsid w:val="008B011F"/>
    <w:rsid w:val="008B1172"/>
    <w:rsid w:val="008B189A"/>
    <w:rsid w:val="008B1E24"/>
    <w:rsid w:val="008B2CDC"/>
    <w:rsid w:val="008B4573"/>
    <w:rsid w:val="008B53BC"/>
    <w:rsid w:val="008B5BD6"/>
    <w:rsid w:val="008B5CE3"/>
    <w:rsid w:val="008C056C"/>
    <w:rsid w:val="008C597C"/>
    <w:rsid w:val="008C5D94"/>
    <w:rsid w:val="008C5E47"/>
    <w:rsid w:val="008C6B3A"/>
    <w:rsid w:val="008C721D"/>
    <w:rsid w:val="008D076F"/>
    <w:rsid w:val="008D08FD"/>
    <w:rsid w:val="008D1366"/>
    <w:rsid w:val="008D1AE8"/>
    <w:rsid w:val="008D2BA6"/>
    <w:rsid w:val="008D3005"/>
    <w:rsid w:val="008D44F0"/>
    <w:rsid w:val="008D5DCD"/>
    <w:rsid w:val="008D6833"/>
    <w:rsid w:val="008D6D27"/>
    <w:rsid w:val="008D75DA"/>
    <w:rsid w:val="008D762F"/>
    <w:rsid w:val="008E0F57"/>
    <w:rsid w:val="008E10DE"/>
    <w:rsid w:val="008E1296"/>
    <w:rsid w:val="008E14A3"/>
    <w:rsid w:val="008E30EB"/>
    <w:rsid w:val="008E324C"/>
    <w:rsid w:val="008E3A43"/>
    <w:rsid w:val="008E4747"/>
    <w:rsid w:val="008E5D44"/>
    <w:rsid w:val="008E60EC"/>
    <w:rsid w:val="008E6464"/>
    <w:rsid w:val="008F1760"/>
    <w:rsid w:val="008F393F"/>
    <w:rsid w:val="008F4073"/>
    <w:rsid w:val="008F4AEB"/>
    <w:rsid w:val="008F4C5F"/>
    <w:rsid w:val="008F62FD"/>
    <w:rsid w:val="00901D37"/>
    <w:rsid w:val="00901D49"/>
    <w:rsid w:val="00901D8B"/>
    <w:rsid w:val="009029F2"/>
    <w:rsid w:val="009039D0"/>
    <w:rsid w:val="009044D3"/>
    <w:rsid w:val="0090569E"/>
    <w:rsid w:val="0091020C"/>
    <w:rsid w:val="009108EF"/>
    <w:rsid w:val="00911C00"/>
    <w:rsid w:val="009127E2"/>
    <w:rsid w:val="0091296B"/>
    <w:rsid w:val="00913CEC"/>
    <w:rsid w:val="00914124"/>
    <w:rsid w:val="009152BA"/>
    <w:rsid w:val="00915E2C"/>
    <w:rsid w:val="0091685B"/>
    <w:rsid w:val="00916B3E"/>
    <w:rsid w:val="00916E95"/>
    <w:rsid w:val="009203D8"/>
    <w:rsid w:val="00921DA4"/>
    <w:rsid w:val="00925BB6"/>
    <w:rsid w:val="00925DFE"/>
    <w:rsid w:val="00925F03"/>
    <w:rsid w:val="00926036"/>
    <w:rsid w:val="00926424"/>
    <w:rsid w:val="00926B95"/>
    <w:rsid w:val="00926D5A"/>
    <w:rsid w:val="009276E3"/>
    <w:rsid w:val="00927A0D"/>
    <w:rsid w:val="00931B55"/>
    <w:rsid w:val="00932199"/>
    <w:rsid w:val="00932547"/>
    <w:rsid w:val="00933E03"/>
    <w:rsid w:val="00936D51"/>
    <w:rsid w:val="009378DE"/>
    <w:rsid w:val="00937CF7"/>
    <w:rsid w:val="009416DF"/>
    <w:rsid w:val="00941765"/>
    <w:rsid w:val="009428D8"/>
    <w:rsid w:val="00943D2B"/>
    <w:rsid w:val="00943DCD"/>
    <w:rsid w:val="0094656A"/>
    <w:rsid w:val="009466F3"/>
    <w:rsid w:val="00946AB8"/>
    <w:rsid w:val="0094710E"/>
    <w:rsid w:val="009476B2"/>
    <w:rsid w:val="00950A79"/>
    <w:rsid w:val="0095113A"/>
    <w:rsid w:val="00952C4A"/>
    <w:rsid w:val="00953744"/>
    <w:rsid w:val="0095418D"/>
    <w:rsid w:val="009553DB"/>
    <w:rsid w:val="00956A0C"/>
    <w:rsid w:val="00956CCA"/>
    <w:rsid w:val="00956F82"/>
    <w:rsid w:val="0095731C"/>
    <w:rsid w:val="009575BC"/>
    <w:rsid w:val="00960BE1"/>
    <w:rsid w:val="00960C9D"/>
    <w:rsid w:val="00961D8D"/>
    <w:rsid w:val="00962DB7"/>
    <w:rsid w:val="009631C0"/>
    <w:rsid w:val="0096338B"/>
    <w:rsid w:val="00963411"/>
    <w:rsid w:val="0096360D"/>
    <w:rsid w:val="00963619"/>
    <w:rsid w:val="00965095"/>
    <w:rsid w:val="009652C1"/>
    <w:rsid w:val="00965E04"/>
    <w:rsid w:val="0096633A"/>
    <w:rsid w:val="00970162"/>
    <w:rsid w:val="0097027A"/>
    <w:rsid w:val="00972C83"/>
    <w:rsid w:val="009739BD"/>
    <w:rsid w:val="00973FDC"/>
    <w:rsid w:val="00974C02"/>
    <w:rsid w:val="00974D3A"/>
    <w:rsid w:val="00974E7A"/>
    <w:rsid w:val="00975462"/>
    <w:rsid w:val="00975505"/>
    <w:rsid w:val="0097625E"/>
    <w:rsid w:val="00977A01"/>
    <w:rsid w:val="00980307"/>
    <w:rsid w:val="00980945"/>
    <w:rsid w:val="00980C27"/>
    <w:rsid w:val="00981EE7"/>
    <w:rsid w:val="009826E9"/>
    <w:rsid w:val="0098278C"/>
    <w:rsid w:val="00983303"/>
    <w:rsid w:val="00985B25"/>
    <w:rsid w:val="00986435"/>
    <w:rsid w:val="00990A11"/>
    <w:rsid w:val="009914FC"/>
    <w:rsid w:val="009957DD"/>
    <w:rsid w:val="00996DDF"/>
    <w:rsid w:val="00996EA5"/>
    <w:rsid w:val="009A1346"/>
    <w:rsid w:val="009A16E9"/>
    <w:rsid w:val="009A1C14"/>
    <w:rsid w:val="009A2E35"/>
    <w:rsid w:val="009A39A8"/>
    <w:rsid w:val="009A3CBA"/>
    <w:rsid w:val="009A4119"/>
    <w:rsid w:val="009A4271"/>
    <w:rsid w:val="009A553A"/>
    <w:rsid w:val="009A5DA0"/>
    <w:rsid w:val="009A6D4C"/>
    <w:rsid w:val="009B0B17"/>
    <w:rsid w:val="009B0E64"/>
    <w:rsid w:val="009B1172"/>
    <w:rsid w:val="009B2C8A"/>
    <w:rsid w:val="009B45B0"/>
    <w:rsid w:val="009B4ADE"/>
    <w:rsid w:val="009B4FCD"/>
    <w:rsid w:val="009B680B"/>
    <w:rsid w:val="009B6A74"/>
    <w:rsid w:val="009B7F55"/>
    <w:rsid w:val="009C0BA2"/>
    <w:rsid w:val="009C1A25"/>
    <w:rsid w:val="009C2224"/>
    <w:rsid w:val="009C2D7C"/>
    <w:rsid w:val="009C324C"/>
    <w:rsid w:val="009C42EF"/>
    <w:rsid w:val="009C47B7"/>
    <w:rsid w:val="009C58B1"/>
    <w:rsid w:val="009C7227"/>
    <w:rsid w:val="009C7DFD"/>
    <w:rsid w:val="009D0464"/>
    <w:rsid w:val="009D09B9"/>
    <w:rsid w:val="009D0ACF"/>
    <w:rsid w:val="009D0BC4"/>
    <w:rsid w:val="009D1292"/>
    <w:rsid w:val="009D21D9"/>
    <w:rsid w:val="009D38D2"/>
    <w:rsid w:val="009D4107"/>
    <w:rsid w:val="009D4303"/>
    <w:rsid w:val="009D4B8A"/>
    <w:rsid w:val="009D6715"/>
    <w:rsid w:val="009D6F61"/>
    <w:rsid w:val="009E0227"/>
    <w:rsid w:val="009E2B2F"/>
    <w:rsid w:val="009E2EB1"/>
    <w:rsid w:val="009E3113"/>
    <w:rsid w:val="009E32B5"/>
    <w:rsid w:val="009E3910"/>
    <w:rsid w:val="009E3EC4"/>
    <w:rsid w:val="009E414F"/>
    <w:rsid w:val="009E55D2"/>
    <w:rsid w:val="009E5925"/>
    <w:rsid w:val="009E5D5C"/>
    <w:rsid w:val="009E6145"/>
    <w:rsid w:val="009E7169"/>
    <w:rsid w:val="009E72BC"/>
    <w:rsid w:val="009F0496"/>
    <w:rsid w:val="009F247E"/>
    <w:rsid w:val="009F26DD"/>
    <w:rsid w:val="009F338B"/>
    <w:rsid w:val="009F3D2F"/>
    <w:rsid w:val="009F4008"/>
    <w:rsid w:val="009F528B"/>
    <w:rsid w:val="009F5982"/>
    <w:rsid w:val="009F5EAF"/>
    <w:rsid w:val="009F5EF7"/>
    <w:rsid w:val="009F6E73"/>
    <w:rsid w:val="009F6EC5"/>
    <w:rsid w:val="009F72B1"/>
    <w:rsid w:val="009F79C5"/>
    <w:rsid w:val="009F7C28"/>
    <w:rsid w:val="00A0042E"/>
    <w:rsid w:val="00A007EE"/>
    <w:rsid w:val="00A0207B"/>
    <w:rsid w:val="00A02230"/>
    <w:rsid w:val="00A02DE7"/>
    <w:rsid w:val="00A043D3"/>
    <w:rsid w:val="00A04457"/>
    <w:rsid w:val="00A04C46"/>
    <w:rsid w:val="00A04D96"/>
    <w:rsid w:val="00A053D6"/>
    <w:rsid w:val="00A065A6"/>
    <w:rsid w:val="00A0665F"/>
    <w:rsid w:val="00A06EFF"/>
    <w:rsid w:val="00A101F9"/>
    <w:rsid w:val="00A1084F"/>
    <w:rsid w:val="00A10877"/>
    <w:rsid w:val="00A10ABE"/>
    <w:rsid w:val="00A10C70"/>
    <w:rsid w:val="00A122FD"/>
    <w:rsid w:val="00A12E82"/>
    <w:rsid w:val="00A131A9"/>
    <w:rsid w:val="00A14470"/>
    <w:rsid w:val="00A16405"/>
    <w:rsid w:val="00A16910"/>
    <w:rsid w:val="00A1702F"/>
    <w:rsid w:val="00A17710"/>
    <w:rsid w:val="00A177A7"/>
    <w:rsid w:val="00A21256"/>
    <w:rsid w:val="00A21622"/>
    <w:rsid w:val="00A2182C"/>
    <w:rsid w:val="00A22A7A"/>
    <w:rsid w:val="00A23C39"/>
    <w:rsid w:val="00A24B9F"/>
    <w:rsid w:val="00A24CF7"/>
    <w:rsid w:val="00A251C4"/>
    <w:rsid w:val="00A26C8D"/>
    <w:rsid w:val="00A26FCC"/>
    <w:rsid w:val="00A2776D"/>
    <w:rsid w:val="00A314C3"/>
    <w:rsid w:val="00A32094"/>
    <w:rsid w:val="00A3280B"/>
    <w:rsid w:val="00A35393"/>
    <w:rsid w:val="00A35C21"/>
    <w:rsid w:val="00A36912"/>
    <w:rsid w:val="00A37474"/>
    <w:rsid w:val="00A412C2"/>
    <w:rsid w:val="00A417D2"/>
    <w:rsid w:val="00A42842"/>
    <w:rsid w:val="00A42946"/>
    <w:rsid w:val="00A42FAE"/>
    <w:rsid w:val="00A43000"/>
    <w:rsid w:val="00A439C4"/>
    <w:rsid w:val="00A43C4C"/>
    <w:rsid w:val="00A4435B"/>
    <w:rsid w:val="00A47953"/>
    <w:rsid w:val="00A512A1"/>
    <w:rsid w:val="00A5162D"/>
    <w:rsid w:val="00A53DCC"/>
    <w:rsid w:val="00A540C2"/>
    <w:rsid w:val="00A55DFF"/>
    <w:rsid w:val="00A560EC"/>
    <w:rsid w:val="00A609F0"/>
    <w:rsid w:val="00A610FA"/>
    <w:rsid w:val="00A612A2"/>
    <w:rsid w:val="00A612B6"/>
    <w:rsid w:val="00A612E8"/>
    <w:rsid w:val="00A6137F"/>
    <w:rsid w:val="00A61880"/>
    <w:rsid w:val="00A620E1"/>
    <w:rsid w:val="00A6277F"/>
    <w:rsid w:val="00A64734"/>
    <w:rsid w:val="00A64B14"/>
    <w:rsid w:val="00A64B42"/>
    <w:rsid w:val="00A64CA5"/>
    <w:rsid w:val="00A65A2A"/>
    <w:rsid w:val="00A66435"/>
    <w:rsid w:val="00A66962"/>
    <w:rsid w:val="00A71095"/>
    <w:rsid w:val="00A7176B"/>
    <w:rsid w:val="00A71A69"/>
    <w:rsid w:val="00A73A23"/>
    <w:rsid w:val="00A73D08"/>
    <w:rsid w:val="00A754D3"/>
    <w:rsid w:val="00A76336"/>
    <w:rsid w:val="00A77147"/>
    <w:rsid w:val="00A773B5"/>
    <w:rsid w:val="00A807D6"/>
    <w:rsid w:val="00A81415"/>
    <w:rsid w:val="00A830EB"/>
    <w:rsid w:val="00A84C11"/>
    <w:rsid w:val="00A84F05"/>
    <w:rsid w:val="00A852C1"/>
    <w:rsid w:val="00A85EB1"/>
    <w:rsid w:val="00A8770B"/>
    <w:rsid w:val="00A87A24"/>
    <w:rsid w:val="00A90405"/>
    <w:rsid w:val="00A90DA5"/>
    <w:rsid w:val="00A9197C"/>
    <w:rsid w:val="00A928A0"/>
    <w:rsid w:val="00A92D1D"/>
    <w:rsid w:val="00A93A00"/>
    <w:rsid w:val="00A93D93"/>
    <w:rsid w:val="00A93E9D"/>
    <w:rsid w:val="00A95CC6"/>
    <w:rsid w:val="00A96D78"/>
    <w:rsid w:val="00A97999"/>
    <w:rsid w:val="00A97D66"/>
    <w:rsid w:val="00AA101B"/>
    <w:rsid w:val="00AA1574"/>
    <w:rsid w:val="00AA34C3"/>
    <w:rsid w:val="00AA5658"/>
    <w:rsid w:val="00AB0233"/>
    <w:rsid w:val="00AB1230"/>
    <w:rsid w:val="00AB3151"/>
    <w:rsid w:val="00AB3569"/>
    <w:rsid w:val="00AB3FF8"/>
    <w:rsid w:val="00AB414B"/>
    <w:rsid w:val="00AB4311"/>
    <w:rsid w:val="00AB535E"/>
    <w:rsid w:val="00AB5687"/>
    <w:rsid w:val="00AB58B1"/>
    <w:rsid w:val="00AB6400"/>
    <w:rsid w:val="00AC085D"/>
    <w:rsid w:val="00AC0BA1"/>
    <w:rsid w:val="00AC20A5"/>
    <w:rsid w:val="00AC28B9"/>
    <w:rsid w:val="00AC291B"/>
    <w:rsid w:val="00AC35ED"/>
    <w:rsid w:val="00AC4433"/>
    <w:rsid w:val="00AC4D61"/>
    <w:rsid w:val="00AD17AC"/>
    <w:rsid w:val="00AD1CEE"/>
    <w:rsid w:val="00AD27D1"/>
    <w:rsid w:val="00AD2B1D"/>
    <w:rsid w:val="00AD3499"/>
    <w:rsid w:val="00AD39A2"/>
    <w:rsid w:val="00AD5146"/>
    <w:rsid w:val="00AD5FAD"/>
    <w:rsid w:val="00AD6E33"/>
    <w:rsid w:val="00AD7112"/>
    <w:rsid w:val="00AE0CA3"/>
    <w:rsid w:val="00AE0DD1"/>
    <w:rsid w:val="00AE0E76"/>
    <w:rsid w:val="00AE0FEC"/>
    <w:rsid w:val="00AE17DE"/>
    <w:rsid w:val="00AE2CE9"/>
    <w:rsid w:val="00AE3036"/>
    <w:rsid w:val="00AE3603"/>
    <w:rsid w:val="00AE397B"/>
    <w:rsid w:val="00AE4632"/>
    <w:rsid w:val="00AE499D"/>
    <w:rsid w:val="00AE7E63"/>
    <w:rsid w:val="00AE7F3D"/>
    <w:rsid w:val="00AF24F2"/>
    <w:rsid w:val="00AF26E9"/>
    <w:rsid w:val="00AF316E"/>
    <w:rsid w:val="00AF339A"/>
    <w:rsid w:val="00AF3DE1"/>
    <w:rsid w:val="00AF3E4B"/>
    <w:rsid w:val="00AF3E60"/>
    <w:rsid w:val="00AF416B"/>
    <w:rsid w:val="00AF500A"/>
    <w:rsid w:val="00AF55BD"/>
    <w:rsid w:val="00AF5B38"/>
    <w:rsid w:val="00AF64F1"/>
    <w:rsid w:val="00AF6E9F"/>
    <w:rsid w:val="00AF7531"/>
    <w:rsid w:val="00B0079A"/>
    <w:rsid w:val="00B02433"/>
    <w:rsid w:val="00B02CF6"/>
    <w:rsid w:val="00B03D91"/>
    <w:rsid w:val="00B048B4"/>
    <w:rsid w:val="00B04C78"/>
    <w:rsid w:val="00B04FED"/>
    <w:rsid w:val="00B0586A"/>
    <w:rsid w:val="00B0761C"/>
    <w:rsid w:val="00B078CF"/>
    <w:rsid w:val="00B10A13"/>
    <w:rsid w:val="00B10AC0"/>
    <w:rsid w:val="00B10BB0"/>
    <w:rsid w:val="00B10E94"/>
    <w:rsid w:val="00B10F69"/>
    <w:rsid w:val="00B10FD2"/>
    <w:rsid w:val="00B12692"/>
    <w:rsid w:val="00B14684"/>
    <w:rsid w:val="00B158FD"/>
    <w:rsid w:val="00B16616"/>
    <w:rsid w:val="00B16828"/>
    <w:rsid w:val="00B1702C"/>
    <w:rsid w:val="00B17313"/>
    <w:rsid w:val="00B17D51"/>
    <w:rsid w:val="00B201BE"/>
    <w:rsid w:val="00B2082A"/>
    <w:rsid w:val="00B20D61"/>
    <w:rsid w:val="00B22DED"/>
    <w:rsid w:val="00B2383D"/>
    <w:rsid w:val="00B2419F"/>
    <w:rsid w:val="00B24EC0"/>
    <w:rsid w:val="00B24F16"/>
    <w:rsid w:val="00B25406"/>
    <w:rsid w:val="00B25625"/>
    <w:rsid w:val="00B256FD"/>
    <w:rsid w:val="00B25C4B"/>
    <w:rsid w:val="00B26293"/>
    <w:rsid w:val="00B26C33"/>
    <w:rsid w:val="00B2722B"/>
    <w:rsid w:val="00B27DED"/>
    <w:rsid w:val="00B307D2"/>
    <w:rsid w:val="00B30FE9"/>
    <w:rsid w:val="00B31351"/>
    <w:rsid w:val="00B3170C"/>
    <w:rsid w:val="00B31794"/>
    <w:rsid w:val="00B31C01"/>
    <w:rsid w:val="00B31D0C"/>
    <w:rsid w:val="00B32C4A"/>
    <w:rsid w:val="00B33B89"/>
    <w:rsid w:val="00B33E54"/>
    <w:rsid w:val="00B35ED2"/>
    <w:rsid w:val="00B369A9"/>
    <w:rsid w:val="00B37EAD"/>
    <w:rsid w:val="00B40116"/>
    <w:rsid w:val="00B4053C"/>
    <w:rsid w:val="00B40ADB"/>
    <w:rsid w:val="00B40FA2"/>
    <w:rsid w:val="00B41AE9"/>
    <w:rsid w:val="00B4214C"/>
    <w:rsid w:val="00B4298F"/>
    <w:rsid w:val="00B45657"/>
    <w:rsid w:val="00B461DB"/>
    <w:rsid w:val="00B46D61"/>
    <w:rsid w:val="00B47C3F"/>
    <w:rsid w:val="00B47F54"/>
    <w:rsid w:val="00B50028"/>
    <w:rsid w:val="00B51E8F"/>
    <w:rsid w:val="00B52217"/>
    <w:rsid w:val="00B524E9"/>
    <w:rsid w:val="00B52BDE"/>
    <w:rsid w:val="00B53115"/>
    <w:rsid w:val="00B55C46"/>
    <w:rsid w:val="00B55C69"/>
    <w:rsid w:val="00B562F3"/>
    <w:rsid w:val="00B56F33"/>
    <w:rsid w:val="00B57282"/>
    <w:rsid w:val="00B57338"/>
    <w:rsid w:val="00B573E1"/>
    <w:rsid w:val="00B578DA"/>
    <w:rsid w:val="00B60A08"/>
    <w:rsid w:val="00B614FB"/>
    <w:rsid w:val="00B626DC"/>
    <w:rsid w:val="00B62CE5"/>
    <w:rsid w:val="00B633A5"/>
    <w:rsid w:val="00B63A9B"/>
    <w:rsid w:val="00B63DBD"/>
    <w:rsid w:val="00B6495B"/>
    <w:rsid w:val="00B64E1B"/>
    <w:rsid w:val="00B64F9F"/>
    <w:rsid w:val="00B67619"/>
    <w:rsid w:val="00B678AC"/>
    <w:rsid w:val="00B67A67"/>
    <w:rsid w:val="00B730E9"/>
    <w:rsid w:val="00B7317F"/>
    <w:rsid w:val="00B74514"/>
    <w:rsid w:val="00B75161"/>
    <w:rsid w:val="00B75612"/>
    <w:rsid w:val="00B75883"/>
    <w:rsid w:val="00B75B7C"/>
    <w:rsid w:val="00B75E0F"/>
    <w:rsid w:val="00B762D0"/>
    <w:rsid w:val="00B76B06"/>
    <w:rsid w:val="00B76C19"/>
    <w:rsid w:val="00B77B8F"/>
    <w:rsid w:val="00B83AB3"/>
    <w:rsid w:val="00B84292"/>
    <w:rsid w:val="00B85395"/>
    <w:rsid w:val="00B8602D"/>
    <w:rsid w:val="00B864E9"/>
    <w:rsid w:val="00B87641"/>
    <w:rsid w:val="00B879EA"/>
    <w:rsid w:val="00B9083B"/>
    <w:rsid w:val="00B90CA5"/>
    <w:rsid w:val="00B912B0"/>
    <w:rsid w:val="00B94F90"/>
    <w:rsid w:val="00B950FA"/>
    <w:rsid w:val="00B9517F"/>
    <w:rsid w:val="00B95548"/>
    <w:rsid w:val="00B95FB3"/>
    <w:rsid w:val="00B9644F"/>
    <w:rsid w:val="00B976CB"/>
    <w:rsid w:val="00B9785E"/>
    <w:rsid w:val="00BA2395"/>
    <w:rsid w:val="00BA2F33"/>
    <w:rsid w:val="00BA6866"/>
    <w:rsid w:val="00BA6A62"/>
    <w:rsid w:val="00BA6C60"/>
    <w:rsid w:val="00BA79C2"/>
    <w:rsid w:val="00BB0929"/>
    <w:rsid w:val="00BB0A47"/>
    <w:rsid w:val="00BB1998"/>
    <w:rsid w:val="00BB25D4"/>
    <w:rsid w:val="00BB315E"/>
    <w:rsid w:val="00BB3214"/>
    <w:rsid w:val="00BB39C2"/>
    <w:rsid w:val="00BB3B66"/>
    <w:rsid w:val="00BC03C6"/>
    <w:rsid w:val="00BC2185"/>
    <w:rsid w:val="00BC3B4E"/>
    <w:rsid w:val="00BC3F96"/>
    <w:rsid w:val="00BC4246"/>
    <w:rsid w:val="00BC4468"/>
    <w:rsid w:val="00BC5075"/>
    <w:rsid w:val="00BC526A"/>
    <w:rsid w:val="00BC6FD1"/>
    <w:rsid w:val="00BD1B85"/>
    <w:rsid w:val="00BD1F17"/>
    <w:rsid w:val="00BD25DF"/>
    <w:rsid w:val="00BD2A9D"/>
    <w:rsid w:val="00BD3264"/>
    <w:rsid w:val="00BD3345"/>
    <w:rsid w:val="00BD343E"/>
    <w:rsid w:val="00BD4612"/>
    <w:rsid w:val="00BD58E7"/>
    <w:rsid w:val="00BD6D17"/>
    <w:rsid w:val="00BE1626"/>
    <w:rsid w:val="00BE1674"/>
    <w:rsid w:val="00BE5BF0"/>
    <w:rsid w:val="00BE63EA"/>
    <w:rsid w:val="00BE7508"/>
    <w:rsid w:val="00BF02D0"/>
    <w:rsid w:val="00BF0D98"/>
    <w:rsid w:val="00BF11DE"/>
    <w:rsid w:val="00BF1527"/>
    <w:rsid w:val="00BF1F9E"/>
    <w:rsid w:val="00BF24A2"/>
    <w:rsid w:val="00BF2C46"/>
    <w:rsid w:val="00BF2F1F"/>
    <w:rsid w:val="00BF3928"/>
    <w:rsid w:val="00BF44FB"/>
    <w:rsid w:val="00BF518C"/>
    <w:rsid w:val="00BF6E1B"/>
    <w:rsid w:val="00BF7044"/>
    <w:rsid w:val="00C00588"/>
    <w:rsid w:val="00C00A6A"/>
    <w:rsid w:val="00C01DA1"/>
    <w:rsid w:val="00C0237F"/>
    <w:rsid w:val="00C0310A"/>
    <w:rsid w:val="00C036DE"/>
    <w:rsid w:val="00C03A08"/>
    <w:rsid w:val="00C03B53"/>
    <w:rsid w:val="00C04620"/>
    <w:rsid w:val="00C046DB"/>
    <w:rsid w:val="00C048CF"/>
    <w:rsid w:val="00C051EC"/>
    <w:rsid w:val="00C070F2"/>
    <w:rsid w:val="00C10696"/>
    <w:rsid w:val="00C11379"/>
    <w:rsid w:val="00C11464"/>
    <w:rsid w:val="00C13503"/>
    <w:rsid w:val="00C1444C"/>
    <w:rsid w:val="00C154D6"/>
    <w:rsid w:val="00C202DB"/>
    <w:rsid w:val="00C21770"/>
    <w:rsid w:val="00C243CF"/>
    <w:rsid w:val="00C24A8F"/>
    <w:rsid w:val="00C262E8"/>
    <w:rsid w:val="00C27C23"/>
    <w:rsid w:val="00C30307"/>
    <w:rsid w:val="00C30ED3"/>
    <w:rsid w:val="00C317C6"/>
    <w:rsid w:val="00C31925"/>
    <w:rsid w:val="00C328DB"/>
    <w:rsid w:val="00C33A74"/>
    <w:rsid w:val="00C34AC8"/>
    <w:rsid w:val="00C3536C"/>
    <w:rsid w:val="00C35888"/>
    <w:rsid w:val="00C36987"/>
    <w:rsid w:val="00C36DF0"/>
    <w:rsid w:val="00C37E78"/>
    <w:rsid w:val="00C402EB"/>
    <w:rsid w:val="00C407E6"/>
    <w:rsid w:val="00C41118"/>
    <w:rsid w:val="00C4148A"/>
    <w:rsid w:val="00C4202B"/>
    <w:rsid w:val="00C42210"/>
    <w:rsid w:val="00C43E12"/>
    <w:rsid w:val="00C44ABC"/>
    <w:rsid w:val="00C45931"/>
    <w:rsid w:val="00C459F0"/>
    <w:rsid w:val="00C46129"/>
    <w:rsid w:val="00C50B57"/>
    <w:rsid w:val="00C51377"/>
    <w:rsid w:val="00C521AD"/>
    <w:rsid w:val="00C5227F"/>
    <w:rsid w:val="00C5318E"/>
    <w:rsid w:val="00C53CC7"/>
    <w:rsid w:val="00C55814"/>
    <w:rsid w:val="00C5607B"/>
    <w:rsid w:val="00C60576"/>
    <w:rsid w:val="00C61684"/>
    <w:rsid w:val="00C622A2"/>
    <w:rsid w:val="00C62378"/>
    <w:rsid w:val="00C62447"/>
    <w:rsid w:val="00C635CF"/>
    <w:rsid w:val="00C64345"/>
    <w:rsid w:val="00C65A45"/>
    <w:rsid w:val="00C65FFE"/>
    <w:rsid w:val="00C6639B"/>
    <w:rsid w:val="00C6649D"/>
    <w:rsid w:val="00C66572"/>
    <w:rsid w:val="00C66BBB"/>
    <w:rsid w:val="00C66F58"/>
    <w:rsid w:val="00C67AFD"/>
    <w:rsid w:val="00C7221E"/>
    <w:rsid w:val="00C73EEA"/>
    <w:rsid w:val="00C73FD2"/>
    <w:rsid w:val="00C7422F"/>
    <w:rsid w:val="00C74812"/>
    <w:rsid w:val="00C74E15"/>
    <w:rsid w:val="00C7513D"/>
    <w:rsid w:val="00C75498"/>
    <w:rsid w:val="00C768A0"/>
    <w:rsid w:val="00C76F30"/>
    <w:rsid w:val="00C77F90"/>
    <w:rsid w:val="00C80070"/>
    <w:rsid w:val="00C80221"/>
    <w:rsid w:val="00C808BC"/>
    <w:rsid w:val="00C81F78"/>
    <w:rsid w:val="00C82D70"/>
    <w:rsid w:val="00C83738"/>
    <w:rsid w:val="00C854F9"/>
    <w:rsid w:val="00C85687"/>
    <w:rsid w:val="00C87AE7"/>
    <w:rsid w:val="00C90A7D"/>
    <w:rsid w:val="00C90AE4"/>
    <w:rsid w:val="00C912F2"/>
    <w:rsid w:val="00C92283"/>
    <w:rsid w:val="00C94A6A"/>
    <w:rsid w:val="00C95BDD"/>
    <w:rsid w:val="00C96B45"/>
    <w:rsid w:val="00C96E79"/>
    <w:rsid w:val="00C97494"/>
    <w:rsid w:val="00CA0845"/>
    <w:rsid w:val="00CA093B"/>
    <w:rsid w:val="00CA29FC"/>
    <w:rsid w:val="00CA377D"/>
    <w:rsid w:val="00CA401C"/>
    <w:rsid w:val="00CA44CD"/>
    <w:rsid w:val="00CA667F"/>
    <w:rsid w:val="00CB089C"/>
    <w:rsid w:val="00CB0A7D"/>
    <w:rsid w:val="00CB26DC"/>
    <w:rsid w:val="00CB5C48"/>
    <w:rsid w:val="00CB747F"/>
    <w:rsid w:val="00CB79FD"/>
    <w:rsid w:val="00CB7CB5"/>
    <w:rsid w:val="00CC16A1"/>
    <w:rsid w:val="00CC27FE"/>
    <w:rsid w:val="00CC296B"/>
    <w:rsid w:val="00CC3134"/>
    <w:rsid w:val="00CC4BB2"/>
    <w:rsid w:val="00CC4DB9"/>
    <w:rsid w:val="00CC549B"/>
    <w:rsid w:val="00CC550B"/>
    <w:rsid w:val="00CC5E59"/>
    <w:rsid w:val="00CD14D4"/>
    <w:rsid w:val="00CD17DA"/>
    <w:rsid w:val="00CD1EB8"/>
    <w:rsid w:val="00CD2538"/>
    <w:rsid w:val="00CD2A5E"/>
    <w:rsid w:val="00CD3552"/>
    <w:rsid w:val="00CD3BB3"/>
    <w:rsid w:val="00CD4A65"/>
    <w:rsid w:val="00CD56F2"/>
    <w:rsid w:val="00CD627A"/>
    <w:rsid w:val="00CD629B"/>
    <w:rsid w:val="00CD68A7"/>
    <w:rsid w:val="00CD6927"/>
    <w:rsid w:val="00CE3C98"/>
    <w:rsid w:val="00CE42DF"/>
    <w:rsid w:val="00CE6195"/>
    <w:rsid w:val="00CE6588"/>
    <w:rsid w:val="00CE717E"/>
    <w:rsid w:val="00CF0921"/>
    <w:rsid w:val="00CF0DA6"/>
    <w:rsid w:val="00CF1A15"/>
    <w:rsid w:val="00CF1C10"/>
    <w:rsid w:val="00CF20F9"/>
    <w:rsid w:val="00CF2B5A"/>
    <w:rsid w:val="00CF6296"/>
    <w:rsid w:val="00CF6F61"/>
    <w:rsid w:val="00CF728B"/>
    <w:rsid w:val="00D0044B"/>
    <w:rsid w:val="00D005C6"/>
    <w:rsid w:val="00D01696"/>
    <w:rsid w:val="00D017F5"/>
    <w:rsid w:val="00D02C32"/>
    <w:rsid w:val="00D02EE7"/>
    <w:rsid w:val="00D037F9"/>
    <w:rsid w:val="00D0405A"/>
    <w:rsid w:val="00D048C3"/>
    <w:rsid w:val="00D05FFF"/>
    <w:rsid w:val="00D06F25"/>
    <w:rsid w:val="00D07ED8"/>
    <w:rsid w:val="00D101C7"/>
    <w:rsid w:val="00D1021A"/>
    <w:rsid w:val="00D111D6"/>
    <w:rsid w:val="00D12D1E"/>
    <w:rsid w:val="00D144B3"/>
    <w:rsid w:val="00D15B94"/>
    <w:rsid w:val="00D16914"/>
    <w:rsid w:val="00D17411"/>
    <w:rsid w:val="00D202E3"/>
    <w:rsid w:val="00D212F6"/>
    <w:rsid w:val="00D21A74"/>
    <w:rsid w:val="00D21B9B"/>
    <w:rsid w:val="00D22CCE"/>
    <w:rsid w:val="00D231F5"/>
    <w:rsid w:val="00D23203"/>
    <w:rsid w:val="00D23C98"/>
    <w:rsid w:val="00D23F1C"/>
    <w:rsid w:val="00D25048"/>
    <w:rsid w:val="00D256F4"/>
    <w:rsid w:val="00D25AB3"/>
    <w:rsid w:val="00D267AF"/>
    <w:rsid w:val="00D26CCC"/>
    <w:rsid w:val="00D278ED"/>
    <w:rsid w:val="00D30C69"/>
    <w:rsid w:val="00D30E80"/>
    <w:rsid w:val="00D3128F"/>
    <w:rsid w:val="00D346FA"/>
    <w:rsid w:val="00D35693"/>
    <w:rsid w:val="00D357C9"/>
    <w:rsid w:val="00D36972"/>
    <w:rsid w:val="00D36BF8"/>
    <w:rsid w:val="00D40D97"/>
    <w:rsid w:val="00D42423"/>
    <w:rsid w:val="00D42BA3"/>
    <w:rsid w:val="00D435B5"/>
    <w:rsid w:val="00D4378C"/>
    <w:rsid w:val="00D43D0C"/>
    <w:rsid w:val="00D43D33"/>
    <w:rsid w:val="00D44108"/>
    <w:rsid w:val="00D441E9"/>
    <w:rsid w:val="00D455DC"/>
    <w:rsid w:val="00D456E2"/>
    <w:rsid w:val="00D46112"/>
    <w:rsid w:val="00D46EB3"/>
    <w:rsid w:val="00D4787E"/>
    <w:rsid w:val="00D47BD4"/>
    <w:rsid w:val="00D50C6F"/>
    <w:rsid w:val="00D51CA4"/>
    <w:rsid w:val="00D51ECE"/>
    <w:rsid w:val="00D5269B"/>
    <w:rsid w:val="00D52D6B"/>
    <w:rsid w:val="00D552FE"/>
    <w:rsid w:val="00D55C0B"/>
    <w:rsid w:val="00D560C7"/>
    <w:rsid w:val="00D5746A"/>
    <w:rsid w:val="00D60D0F"/>
    <w:rsid w:val="00D61982"/>
    <w:rsid w:val="00D62539"/>
    <w:rsid w:val="00D63ADD"/>
    <w:rsid w:val="00D63F7A"/>
    <w:rsid w:val="00D641E3"/>
    <w:rsid w:val="00D6434E"/>
    <w:rsid w:val="00D65C6B"/>
    <w:rsid w:val="00D66010"/>
    <w:rsid w:val="00D706B9"/>
    <w:rsid w:val="00D72027"/>
    <w:rsid w:val="00D73146"/>
    <w:rsid w:val="00D74C3D"/>
    <w:rsid w:val="00D74E10"/>
    <w:rsid w:val="00D75DD8"/>
    <w:rsid w:val="00D76049"/>
    <w:rsid w:val="00D766AF"/>
    <w:rsid w:val="00D772B7"/>
    <w:rsid w:val="00D7758B"/>
    <w:rsid w:val="00D80213"/>
    <w:rsid w:val="00D804CA"/>
    <w:rsid w:val="00D80F96"/>
    <w:rsid w:val="00D81085"/>
    <w:rsid w:val="00D814CD"/>
    <w:rsid w:val="00D815EE"/>
    <w:rsid w:val="00D817E7"/>
    <w:rsid w:val="00D81BE1"/>
    <w:rsid w:val="00D825A4"/>
    <w:rsid w:val="00D82892"/>
    <w:rsid w:val="00D831BB"/>
    <w:rsid w:val="00D84463"/>
    <w:rsid w:val="00D85351"/>
    <w:rsid w:val="00D879EF"/>
    <w:rsid w:val="00D910B8"/>
    <w:rsid w:val="00D916DF"/>
    <w:rsid w:val="00D92108"/>
    <w:rsid w:val="00D9224F"/>
    <w:rsid w:val="00D92EC1"/>
    <w:rsid w:val="00D93484"/>
    <w:rsid w:val="00D93D75"/>
    <w:rsid w:val="00D94A39"/>
    <w:rsid w:val="00D9721A"/>
    <w:rsid w:val="00D97395"/>
    <w:rsid w:val="00D973C1"/>
    <w:rsid w:val="00D978FF"/>
    <w:rsid w:val="00D97F2C"/>
    <w:rsid w:val="00D97F35"/>
    <w:rsid w:val="00DA117F"/>
    <w:rsid w:val="00DA18D4"/>
    <w:rsid w:val="00DA3BF2"/>
    <w:rsid w:val="00DA4F15"/>
    <w:rsid w:val="00DA50F6"/>
    <w:rsid w:val="00DA58E2"/>
    <w:rsid w:val="00DA5BF8"/>
    <w:rsid w:val="00DA7500"/>
    <w:rsid w:val="00DA7CF2"/>
    <w:rsid w:val="00DA7F7E"/>
    <w:rsid w:val="00DB06BD"/>
    <w:rsid w:val="00DB0FF6"/>
    <w:rsid w:val="00DB2DBE"/>
    <w:rsid w:val="00DB3DF1"/>
    <w:rsid w:val="00DB404B"/>
    <w:rsid w:val="00DB57FE"/>
    <w:rsid w:val="00DB66E3"/>
    <w:rsid w:val="00DC0100"/>
    <w:rsid w:val="00DC173C"/>
    <w:rsid w:val="00DC2D28"/>
    <w:rsid w:val="00DC2E03"/>
    <w:rsid w:val="00DC4A93"/>
    <w:rsid w:val="00DC693A"/>
    <w:rsid w:val="00DC772D"/>
    <w:rsid w:val="00DD0059"/>
    <w:rsid w:val="00DD0B8F"/>
    <w:rsid w:val="00DD1AA1"/>
    <w:rsid w:val="00DD37C1"/>
    <w:rsid w:val="00DD3B2E"/>
    <w:rsid w:val="00DD44D9"/>
    <w:rsid w:val="00DD56CA"/>
    <w:rsid w:val="00DD581E"/>
    <w:rsid w:val="00DD6938"/>
    <w:rsid w:val="00DD76C2"/>
    <w:rsid w:val="00DD7A53"/>
    <w:rsid w:val="00DD7A6D"/>
    <w:rsid w:val="00DD7C91"/>
    <w:rsid w:val="00DE1370"/>
    <w:rsid w:val="00DE17E8"/>
    <w:rsid w:val="00DE2736"/>
    <w:rsid w:val="00DE2B3D"/>
    <w:rsid w:val="00DE2EC1"/>
    <w:rsid w:val="00DE2F47"/>
    <w:rsid w:val="00DE30B6"/>
    <w:rsid w:val="00DE33B5"/>
    <w:rsid w:val="00DE3AC1"/>
    <w:rsid w:val="00DE47FD"/>
    <w:rsid w:val="00DE4CB9"/>
    <w:rsid w:val="00DE514E"/>
    <w:rsid w:val="00DE537D"/>
    <w:rsid w:val="00DE5A06"/>
    <w:rsid w:val="00DE646E"/>
    <w:rsid w:val="00DE68DA"/>
    <w:rsid w:val="00DE6F50"/>
    <w:rsid w:val="00DF036C"/>
    <w:rsid w:val="00DF0668"/>
    <w:rsid w:val="00DF0687"/>
    <w:rsid w:val="00DF0F8E"/>
    <w:rsid w:val="00DF2B70"/>
    <w:rsid w:val="00DF4268"/>
    <w:rsid w:val="00DF5AA5"/>
    <w:rsid w:val="00DF65E4"/>
    <w:rsid w:val="00DF7757"/>
    <w:rsid w:val="00E00D37"/>
    <w:rsid w:val="00E0138D"/>
    <w:rsid w:val="00E01C26"/>
    <w:rsid w:val="00E02FCF"/>
    <w:rsid w:val="00E03446"/>
    <w:rsid w:val="00E03F19"/>
    <w:rsid w:val="00E04533"/>
    <w:rsid w:val="00E047E2"/>
    <w:rsid w:val="00E04FD0"/>
    <w:rsid w:val="00E05EA3"/>
    <w:rsid w:val="00E0621E"/>
    <w:rsid w:val="00E066D0"/>
    <w:rsid w:val="00E07BF7"/>
    <w:rsid w:val="00E119D7"/>
    <w:rsid w:val="00E11BE2"/>
    <w:rsid w:val="00E12906"/>
    <w:rsid w:val="00E15285"/>
    <w:rsid w:val="00E15BC2"/>
    <w:rsid w:val="00E1646A"/>
    <w:rsid w:val="00E1654E"/>
    <w:rsid w:val="00E16AE2"/>
    <w:rsid w:val="00E170F6"/>
    <w:rsid w:val="00E1787D"/>
    <w:rsid w:val="00E205A4"/>
    <w:rsid w:val="00E20AFA"/>
    <w:rsid w:val="00E21910"/>
    <w:rsid w:val="00E22658"/>
    <w:rsid w:val="00E23568"/>
    <w:rsid w:val="00E23E11"/>
    <w:rsid w:val="00E240CC"/>
    <w:rsid w:val="00E272BB"/>
    <w:rsid w:val="00E31D0A"/>
    <w:rsid w:val="00E32823"/>
    <w:rsid w:val="00E329B0"/>
    <w:rsid w:val="00E32A89"/>
    <w:rsid w:val="00E33185"/>
    <w:rsid w:val="00E33F16"/>
    <w:rsid w:val="00E34A9F"/>
    <w:rsid w:val="00E351E6"/>
    <w:rsid w:val="00E35616"/>
    <w:rsid w:val="00E35737"/>
    <w:rsid w:val="00E36E37"/>
    <w:rsid w:val="00E37846"/>
    <w:rsid w:val="00E4060E"/>
    <w:rsid w:val="00E40F2F"/>
    <w:rsid w:val="00E4191F"/>
    <w:rsid w:val="00E41E35"/>
    <w:rsid w:val="00E42610"/>
    <w:rsid w:val="00E43E57"/>
    <w:rsid w:val="00E440F4"/>
    <w:rsid w:val="00E4619A"/>
    <w:rsid w:val="00E46D00"/>
    <w:rsid w:val="00E47AE2"/>
    <w:rsid w:val="00E500C3"/>
    <w:rsid w:val="00E508AD"/>
    <w:rsid w:val="00E5142B"/>
    <w:rsid w:val="00E51AFE"/>
    <w:rsid w:val="00E531D3"/>
    <w:rsid w:val="00E538BF"/>
    <w:rsid w:val="00E53CF1"/>
    <w:rsid w:val="00E541F0"/>
    <w:rsid w:val="00E556C4"/>
    <w:rsid w:val="00E56F6B"/>
    <w:rsid w:val="00E5720E"/>
    <w:rsid w:val="00E60C48"/>
    <w:rsid w:val="00E60E3B"/>
    <w:rsid w:val="00E60E5A"/>
    <w:rsid w:val="00E62880"/>
    <w:rsid w:val="00E62DA2"/>
    <w:rsid w:val="00E6343E"/>
    <w:rsid w:val="00E6496F"/>
    <w:rsid w:val="00E6546C"/>
    <w:rsid w:val="00E65BCD"/>
    <w:rsid w:val="00E70646"/>
    <w:rsid w:val="00E71AEB"/>
    <w:rsid w:val="00E72535"/>
    <w:rsid w:val="00E7260E"/>
    <w:rsid w:val="00E73B11"/>
    <w:rsid w:val="00E750F5"/>
    <w:rsid w:val="00E75D6E"/>
    <w:rsid w:val="00E7740E"/>
    <w:rsid w:val="00E81C98"/>
    <w:rsid w:val="00E832C2"/>
    <w:rsid w:val="00E83339"/>
    <w:rsid w:val="00E8373A"/>
    <w:rsid w:val="00E848D5"/>
    <w:rsid w:val="00E84F68"/>
    <w:rsid w:val="00E85FED"/>
    <w:rsid w:val="00E87CCF"/>
    <w:rsid w:val="00E91672"/>
    <w:rsid w:val="00E91710"/>
    <w:rsid w:val="00E91CD1"/>
    <w:rsid w:val="00E9243A"/>
    <w:rsid w:val="00E928A2"/>
    <w:rsid w:val="00E92A28"/>
    <w:rsid w:val="00E92D9E"/>
    <w:rsid w:val="00E93818"/>
    <w:rsid w:val="00E95636"/>
    <w:rsid w:val="00E95E78"/>
    <w:rsid w:val="00E9681D"/>
    <w:rsid w:val="00E97AFC"/>
    <w:rsid w:val="00EA01B3"/>
    <w:rsid w:val="00EA0727"/>
    <w:rsid w:val="00EA0891"/>
    <w:rsid w:val="00EA11E2"/>
    <w:rsid w:val="00EA1AFA"/>
    <w:rsid w:val="00EA2D41"/>
    <w:rsid w:val="00EA2E04"/>
    <w:rsid w:val="00EA454D"/>
    <w:rsid w:val="00EA5CB6"/>
    <w:rsid w:val="00EA5F50"/>
    <w:rsid w:val="00EA6899"/>
    <w:rsid w:val="00EA6F8B"/>
    <w:rsid w:val="00EA7E30"/>
    <w:rsid w:val="00EB2222"/>
    <w:rsid w:val="00EB2F6E"/>
    <w:rsid w:val="00EB34E0"/>
    <w:rsid w:val="00EB36BF"/>
    <w:rsid w:val="00EB4860"/>
    <w:rsid w:val="00EB513A"/>
    <w:rsid w:val="00EB64E4"/>
    <w:rsid w:val="00EB6701"/>
    <w:rsid w:val="00EB6B0F"/>
    <w:rsid w:val="00EB7EFB"/>
    <w:rsid w:val="00EC1511"/>
    <w:rsid w:val="00EC21B4"/>
    <w:rsid w:val="00EC2506"/>
    <w:rsid w:val="00EC2725"/>
    <w:rsid w:val="00EC3A72"/>
    <w:rsid w:val="00EC3B35"/>
    <w:rsid w:val="00EC5646"/>
    <w:rsid w:val="00EC5656"/>
    <w:rsid w:val="00EC5FAE"/>
    <w:rsid w:val="00EC62F7"/>
    <w:rsid w:val="00EC6679"/>
    <w:rsid w:val="00EC7B59"/>
    <w:rsid w:val="00EC7E29"/>
    <w:rsid w:val="00ED0FDB"/>
    <w:rsid w:val="00ED3617"/>
    <w:rsid w:val="00ED36B8"/>
    <w:rsid w:val="00ED6D06"/>
    <w:rsid w:val="00ED6DFD"/>
    <w:rsid w:val="00EE11BD"/>
    <w:rsid w:val="00EE1BE9"/>
    <w:rsid w:val="00EE30D7"/>
    <w:rsid w:val="00EE368C"/>
    <w:rsid w:val="00EE4637"/>
    <w:rsid w:val="00EE5FED"/>
    <w:rsid w:val="00EE7127"/>
    <w:rsid w:val="00EE7CC8"/>
    <w:rsid w:val="00EF02B1"/>
    <w:rsid w:val="00EF179F"/>
    <w:rsid w:val="00EF2535"/>
    <w:rsid w:val="00EF269C"/>
    <w:rsid w:val="00EF3400"/>
    <w:rsid w:val="00EF3DC4"/>
    <w:rsid w:val="00EF3E92"/>
    <w:rsid w:val="00EF4B28"/>
    <w:rsid w:val="00EF76BF"/>
    <w:rsid w:val="00EF7A4F"/>
    <w:rsid w:val="00EF7ABC"/>
    <w:rsid w:val="00F000DC"/>
    <w:rsid w:val="00F01014"/>
    <w:rsid w:val="00F03053"/>
    <w:rsid w:val="00F03D0E"/>
    <w:rsid w:val="00F043E1"/>
    <w:rsid w:val="00F0534A"/>
    <w:rsid w:val="00F05826"/>
    <w:rsid w:val="00F065FC"/>
    <w:rsid w:val="00F06F73"/>
    <w:rsid w:val="00F10D4A"/>
    <w:rsid w:val="00F1184E"/>
    <w:rsid w:val="00F11BA2"/>
    <w:rsid w:val="00F14F9C"/>
    <w:rsid w:val="00F16C51"/>
    <w:rsid w:val="00F17560"/>
    <w:rsid w:val="00F17B7C"/>
    <w:rsid w:val="00F17CAD"/>
    <w:rsid w:val="00F20242"/>
    <w:rsid w:val="00F211C4"/>
    <w:rsid w:val="00F228D7"/>
    <w:rsid w:val="00F22DAC"/>
    <w:rsid w:val="00F22E59"/>
    <w:rsid w:val="00F23324"/>
    <w:rsid w:val="00F236F3"/>
    <w:rsid w:val="00F24126"/>
    <w:rsid w:val="00F2479D"/>
    <w:rsid w:val="00F2722A"/>
    <w:rsid w:val="00F30154"/>
    <w:rsid w:val="00F30501"/>
    <w:rsid w:val="00F327B0"/>
    <w:rsid w:val="00F33926"/>
    <w:rsid w:val="00F33D72"/>
    <w:rsid w:val="00F34938"/>
    <w:rsid w:val="00F36D4E"/>
    <w:rsid w:val="00F37348"/>
    <w:rsid w:val="00F37AE1"/>
    <w:rsid w:val="00F41748"/>
    <w:rsid w:val="00F41BA6"/>
    <w:rsid w:val="00F42150"/>
    <w:rsid w:val="00F42F2D"/>
    <w:rsid w:val="00F43639"/>
    <w:rsid w:val="00F4394E"/>
    <w:rsid w:val="00F45686"/>
    <w:rsid w:val="00F460B5"/>
    <w:rsid w:val="00F50960"/>
    <w:rsid w:val="00F50E43"/>
    <w:rsid w:val="00F53B64"/>
    <w:rsid w:val="00F54363"/>
    <w:rsid w:val="00F559DF"/>
    <w:rsid w:val="00F55D4D"/>
    <w:rsid w:val="00F56AB0"/>
    <w:rsid w:val="00F56CF5"/>
    <w:rsid w:val="00F573C5"/>
    <w:rsid w:val="00F57A41"/>
    <w:rsid w:val="00F602EE"/>
    <w:rsid w:val="00F60F9D"/>
    <w:rsid w:val="00F62963"/>
    <w:rsid w:val="00F63DEB"/>
    <w:rsid w:val="00F66CA1"/>
    <w:rsid w:val="00F70F3D"/>
    <w:rsid w:val="00F71A00"/>
    <w:rsid w:val="00F7420A"/>
    <w:rsid w:val="00F74404"/>
    <w:rsid w:val="00F80714"/>
    <w:rsid w:val="00F82DE0"/>
    <w:rsid w:val="00F83CC9"/>
    <w:rsid w:val="00F83DD0"/>
    <w:rsid w:val="00F844F4"/>
    <w:rsid w:val="00F8505C"/>
    <w:rsid w:val="00F85401"/>
    <w:rsid w:val="00F8681F"/>
    <w:rsid w:val="00F86E4D"/>
    <w:rsid w:val="00F87A78"/>
    <w:rsid w:val="00F91931"/>
    <w:rsid w:val="00F92968"/>
    <w:rsid w:val="00F92C3A"/>
    <w:rsid w:val="00F92D2A"/>
    <w:rsid w:val="00F956C3"/>
    <w:rsid w:val="00F975DD"/>
    <w:rsid w:val="00FA0237"/>
    <w:rsid w:val="00FA1792"/>
    <w:rsid w:val="00FA18E3"/>
    <w:rsid w:val="00FA1E1D"/>
    <w:rsid w:val="00FA208E"/>
    <w:rsid w:val="00FA2B09"/>
    <w:rsid w:val="00FA2EED"/>
    <w:rsid w:val="00FA2F06"/>
    <w:rsid w:val="00FA34B2"/>
    <w:rsid w:val="00FA3E50"/>
    <w:rsid w:val="00FA520B"/>
    <w:rsid w:val="00FA5490"/>
    <w:rsid w:val="00FA560E"/>
    <w:rsid w:val="00FA5C40"/>
    <w:rsid w:val="00FA5D8D"/>
    <w:rsid w:val="00FA7092"/>
    <w:rsid w:val="00FB3CAF"/>
    <w:rsid w:val="00FB4AD1"/>
    <w:rsid w:val="00FB4F7B"/>
    <w:rsid w:val="00FB5969"/>
    <w:rsid w:val="00FB7352"/>
    <w:rsid w:val="00FC0ABB"/>
    <w:rsid w:val="00FC21A9"/>
    <w:rsid w:val="00FC3FE0"/>
    <w:rsid w:val="00FC6163"/>
    <w:rsid w:val="00FC67B0"/>
    <w:rsid w:val="00FC6DD6"/>
    <w:rsid w:val="00FC6FF0"/>
    <w:rsid w:val="00FD0273"/>
    <w:rsid w:val="00FD0FC3"/>
    <w:rsid w:val="00FD152B"/>
    <w:rsid w:val="00FD1711"/>
    <w:rsid w:val="00FD41C9"/>
    <w:rsid w:val="00FD526C"/>
    <w:rsid w:val="00FD65FE"/>
    <w:rsid w:val="00FD6B40"/>
    <w:rsid w:val="00FD6F05"/>
    <w:rsid w:val="00FD78B4"/>
    <w:rsid w:val="00FE09D8"/>
    <w:rsid w:val="00FE16CC"/>
    <w:rsid w:val="00FE2091"/>
    <w:rsid w:val="00FE26C0"/>
    <w:rsid w:val="00FE2B06"/>
    <w:rsid w:val="00FE42D6"/>
    <w:rsid w:val="00FE51F3"/>
    <w:rsid w:val="00FE573F"/>
    <w:rsid w:val="00FE580C"/>
    <w:rsid w:val="00FE6563"/>
    <w:rsid w:val="00FE740B"/>
    <w:rsid w:val="00FF0DB8"/>
    <w:rsid w:val="00FF105E"/>
    <w:rsid w:val="00FF22B3"/>
    <w:rsid w:val="00FF2E90"/>
    <w:rsid w:val="00FF41E1"/>
    <w:rsid w:val="00FF534B"/>
    <w:rsid w:val="00FF5F2B"/>
    <w:rsid w:val="00FF6EAB"/>
    <w:rsid w:val="35A1C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3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BD4612"/>
    <w:pPr>
      <w:tabs>
        <w:tab w:val="left" w:pos="440"/>
        <w:tab w:val="right" w:leader="dot" w:pos="10070"/>
      </w:tabs>
      <w:spacing w:after="100" w:line="360" w:lineRule="auto"/>
    </w:pPr>
    <w:rPr>
      <w:rFonts w:ascii="Helvetica" w:hAnsi="Helvetica"/>
      <w:noProof/>
      <w:sz w:val="24"/>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3"/>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F105E"/>
    <w:pPr>
      <w:ind w:left="1839" w:hanging="624"/>
    </w:pPr>
    <w:rPr>
      <w:rFonts w:ascii="Helvetica" w:eastAsia="Arial" w:hAnsi="Helvetica" w:cs="Arial"/>
      <w:sz w:val="22"/>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4"/>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character" w:customStyle="1" w:styleId="UnresolvedMention100">
    <w:name w:val="Unresolved Mention100"/>
    <w:basedOn w:val="DefaultParagraphFont"/>
    <w:uiPriority w:val="99"/>
    <w:semiHidden/>
    <w:unhideWhenUsed/>
    <w:rsid w:val="00A84C11"/>
    <w:rPr>
      <w:color w:val="808080"/>
      <w:shd w:val="clear" w:color="auto" w:fill="E6E6E6"/>
    </w:rPr>
  </w:style>
  <w:style w:type="character" w:customStyle="1" w:styleId="UnresolvedMention1000">
    <w:name w:val="Unresolved Mention1000"/>
    <w:basedOn w:val="DefaultParagraphFont"/>
    <w:uiPriority w:val="99"/>
    <w:semiHidden/>
    <w:unhideWhenUsed/>
    <w:rsid w:val="00810747"/>
    <w:rPr>
      <w:color w:val="808080"/>
      <w:shd w:val="clear" w:color="auto" w:fill="E6E6E6"/>
    </w:rPr>
  </w:style>
  <w:style w:type="character" w:customStyle="1" w:styleId="UnresolvedMention2">
    <w:name w:val="Unresolved Mention2"/>
    <w:basedOn w:val="DefaultParagraphFont"/>
    <w:uiPriority w:val="99"/>
    <w:semiHidden/>
    <w:unhideWhenUsed/>
    <w:rsid w:val="002212D4"/>
    <w:rPr>
      <w:color w:val="605E5C"/>
      <w:shd w:val="clear" w:color="auto" w:fill="E1DFDD"/>
    </w:rPr>
  </w:style>
  <w:style w:type="character" w:styleId="LineNumber">
    <w:name w:val="line number"/>
    <w:basedOn w:val="DefaultParagraphFont"/>
    <w:uiPriority w:val="99"/>
    <w:semiHidden/>
    <w:unhideWhenUsed/>
    <w:rsid w:val="00183075"/>
  </w:style>
  <w:style w:type="paragraph" w:customStyle="1" w:styleId="bulletstyle">
    <w:name w:val="bulletstyle"/>
    <w:basedOn w:val="Normal"/>
    <w:rsid w:val="007E41A2"/>
    <w:pPr>
      <w:spacing w:before="100" w:beforeAutospacing="1" w:after="100" w:afterAutospacing="1"/>
    </w:pPr>
    <w:rPr>
      <w:rFonts w:ascii="Times New Roman" w:eastAsia="Times New Roman" w:hAnsi="Times New Roman"/>
      <w:sz w:val="24"/>
    </w:rPr>
  </w:style>
  <w:style w:type="table" w:customStyle="1" w:styleId="TableGrid1">
    <w:name w:val="Table Grid1"/>
    <w:basedOn w:val="TableNormal"/>
    <w:next w:val="TableGrid"/>
    <w:uiPriority w:val="59"/>
    <w:rsid w:val="0025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98530">
      <w:bodyDiv w:val="1"/>
      <w:marLeft w:val="0"/>
      <w:marRight w:val="0"/>
      <w:marTop w:val="0"/>
      <w:marBottom w:val="0"/>
      <w:divBdr>
        <w:top w:val="none" w:sz="0" w:space="0" w:color="auto"/>
        <w:left w:val="none" w:sz="0" w:space="0" w:color="auto"/>
        <w:bottom w:val="none" w:sz="0" w:space="0" w:color="auto"/>
        <w:right w:val="none" w:sz="0" w:space="0" w:color="auto"/>
      </w:divBdr>
      <w:divsChild>
        <w:div w:id="356203708">
          <w:marLeft w:val="0"/>
          <w:marRight w:val="0"/>
          <w:marTop w:val="0"/>
          <w:marBottom w:val="0"/>
          <w:divBdr>
            <w:top w:val="none" w:sz="0" w:space="0" w:color="auto"/>
            <w:left w:val="none" w:sz="0" w:space="0" w:color="auto"/>
            <w:bottom w:val="none" w:sz="0" w:space="0" w:color="auto"/>
            <w:right w:val="none" w:sz="0" w:space="0" w:color="auto"/>
          </w:divBdr>
          <w:divsChild>
            <w:div w:id="1007245012">
              <w:marLeft w:val="0"/>
              <w:marRight w:val="0"/>
              <w:marTop w:val="0"/>
              <w:marBottom w:val="0"/>
              <w:divBdr>
                <w:top w:val="none" w:sz="0" w:space="0" w:color="auto"/>
                <w:left w:val="none" w:sz="0" w:space="0" w:color="auto"/>
                <w:bottom w:val="none" w:sz="0" w:space="0" w:color="auto"/>
                <w:right w:val="none" w:sz="0" w:space="0" w:color="auto"/>
              </w:divBdr>
              <w:divsChild>
                <w:div w:id="5431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925">
      <w:bodyDiv w:val="1"/>
      <w:marLeft w:val="0"/>
      <w:marRight w:val="0"/>
      <w:marTop w:val="0"/>
      <w:marBottom w:val="0"/>
      <w:divBdr>
        <w:top w:val="none" w:sz="0" w:space="0" w:color="auto"/>
        <w:left w:val="none" w:sz="0" w:space="0" w:color="auto"/>
        <w:bottom w:val="none" w:sz="0" w:space="0" w:color="auto"/>
        <w:right w:val="none" w:sz="0" w:space="0" w:color="auto"/>
      </w:divBdr>
      <w:divsChild>
        <w:div w:id="354964266">
          <w:marLeft w:val="547"/>
          <w:marRight w:val="0"/>
          <w:marTop w:val="0"/>
          <w:marBottom w:val="0"/>
          <w:divBdr>
            <w:top w:val="none" w:sz="0" w:space="0" w:color="auto"/>
            <w:left w:val="none" w:sz="0" w:space="0" w:color="auto"/>
            <w:bottom w:val="none" w:sz="0" w:space="0" w:color="auto"/>
            <w:right w:val="none" w:sz="0" w:space="0" w:color="auto"/>
          </w:divBdr>
        </w:div>
      </w:divsChild>
    </w:div>
    <w:div w:id="403794871">
      <w:bodyDiv w:val="1"/>
      <w:marLeft w:val="0"/>
      <w:marRight w:val="0"/>
      <w:marTop w:val="0"/>
      <w:marBottom w:val="0"/>
      <w:divBdr>
        <w:top w:val="none" w:sz="0" w:space="0" w:color="auto"/>
        <w:left w:val="none" w:sz="0" w:space="0" w:color="auto"/>
        <w:bottom w:val="none" w:sz="0" w:space="0" w:color="auto"/>
        <w:right w:val="none" w:sz="0" w:space="0" w:color="auto"/>
      </w:divBdr>
      <w:divsChild>
        <w:div w:id="1249384967">
          <w:marLeft w:val="0"/>
          <w:marRight w:val="0"/>
          <w:marTop w:val="0"/>
          <w:marBottom w:val="0"/>
          <w:divBdr>
            <w:top w:val="none" w:sz="0" w:space="0" w:color="auto"/>
            <w:left w:val="none" w:sz="0" w:space="0" w:color="auto"/>
            <w:bottom w:val="none" w:sz="0" w:space="0" w:color="auto"/>
            <w:right w:val="none" w:sz="0" w:space="0" w:color="auto"/>
          </w:divBdr>
          <w:divsChild>
            <w:div w:id="1623001240">
              <w:marLeft w:val="0"/>
              <w:marRight w:val="0"/>
              <w:marTop w:val="0"/>
              <w:marBottom w:val="0"/>
              <w:divBdr>
                <w:top w:val="none" w:sz="0" w:space="0" w:color="auto"/>
                <w:left w:val="none" w:sz="0" w:space="0" w:color="auto"/>
                <w:bottom w:val="none" w:sz="0" w:space="0" w:color="auto"/>
                <w:right w:val="none" w:sz="0" w:space="0" w:color="auto"/>
              </w:divBdr>
              <w:divsChild>
                <w:div w:id="16429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0854">
      <w:bodyDiv w:val="1"/>
      <w:marLeft w:val="0"/>
      <w:marRight w:val="0"/>
      <w:marTop w:val="0"/>
      <w:marBottom w:val="0"/>
      <w:divBdr>
        <w:top w:val="none" w:sz="0" w:space="0" w:color="auto"/>
        <w:left w:val="none" w:sz="0" w:space="0" w:color="auto"/>
        <w:bottom w:val="none" w:sz="0" w:space="0" w:color="auto"/>
        <w:right w:val="none" w:sz="0" w:space="0" w:color="auto"/>
      </w:divBdr>
      <w:divsChild>
        <w:div w:id="69425389">
          <w:marLeft w:val="0"/>
          <w:marRight w:val="0"/>
          <w:marTop w:val="450"/>
          <w:marBottom w:val="0"/>
          <w:divBdr>
            <w:top w:val="single" w:sz="6" w:space="0" w:color="000000"/>
            <w:left w:val="single" w:sz="6" w:space="0" w:color="000000"/>
            <w:bottom w:val="single" w:sz="6" w:space="0" w:color="000000"/>
            <w:right w:val="single" w:sz="6" w:space="0" w:color="000000"/>
          </w:divBdr>
          <w:divsChild>
            <w:div w:id="1531602010">
              <w:marLeft w:val="0"/>
              <w:marRight w:val="0"/>
              <w:marTop w:val="0"/>
              <w:marBottom w:val="0"/>
              <w:divBdr>
                <w:top w:val="none" w:sz="0" w:space="0" w:color="auto"/>
                <w:left w:val="none" w:sz="0" w:space="0" w:color="auto"/>
                <w:bottom w:val="none" w:sz="0" w:space="0" w:color="auto"/>
                <w:right w:val="none" w:sz="0" w:space="0" w:color="auto"/>
              </w:divBdr>
              <w:divsChild>
                <w:div w:id="1714959042">
                  <w:marLeft w:val="0"/>
                  <w:marRight w:val="0"/>
                  <w:marTop w:val="0"/>
                  <w:marBottom w:val="0"/>
                  <w:divBdr>
                    <w:top w:val="none" w:sz="0" w:space="0" w:color="auto"/>
                    <w:left w:val="none" w:sz="0" w:space="0" w:color="auto"/>
                    <w:bottom w:val="none" w:sz="0" w:space="0" w:color="auto"/>
                    <w:right w:val="none" w:sz="0" w:space="0" w:color="auto"/>
                  </w:divBdr>
                  <w:divsChild>
                    <w:div w:id="2030837591">
                      <w:marLeft w:val="0"/>
                      <w:marRight w:val="0"/>
                      <w:marTop w:val="300"/>
                      <w:marBottom w:val="0"/>
                      <w:divBdr>
                        <w:top w:val="single" w:sz="2" w:space="0" w:color="000000"/>
                        <w:left w:val="single" w:sz="2" w:space="8" w:color="000000"/>
                        <w:bottom w:val="single" w:sz="2" w:space="0" w:color="000000"/>
                        <w:right w:val="single" w:sz="2" w:space="8" w:color="000000"/>
                      </w:divBdr>
                      <w:divsChild>
                        <w:div w:id="628172579">
                          <w:marLeft w:val="0"/>
                          <w:marRight w:val="0"/>
                          <w:marTop w:val="0"/>
                          <w:marBottom w:val="0"/>
                          <w:divBdr>
                            <w:top w:val="none" w:sz="0" w:space="0" w:color="auto"/>
                            <w:left w:val="none" w:sz="0" w:space="0" w:color="auto"/>
                            <w:bottom w:val="none" w:sz="0" w:space="0" w:color="auto"/>
                            <w:right w:val="none" w:sz="0" w:space="0" w:color="auto"/>
                          </w:divBdr>
                          <w:divsChild>
                            <w:div w:id="1548494585">
                              <w:marLeft w:val="0"/>
                              <w:marRight w:val="0"/>
                              <w:marTop w:val="0"/>
                              <w:marBottom w:val="0"/>
                              <w:divBdr>
                                <w:top w:val="none" w:sz="0" w:space="0" w:color="auto"/>
                                <w:left w:val="none" w:sz="0" w:space="0" w:color="auto"/>
                                <w:bottom w:val="none" w:sz="0" w:space="0" w:color="auto"/>
                                <w:right w:val="none" w:sz="0" w:space="0" w:color="auto"/>
                              </w:divBdr>
                              <w:divsChild>
                                <w:div w:id="1347292720">
                                  <w:marLeft w:val="0"/>
                                  <w:marRight w:val="0"/>
                                  <w:marTop w:val="0"/>
                                  <w:marBottom w:val="0"/>
                                  <w:divBdr>
                                    <w:top w:val="none" w:sz="0" w:space="0" w:color="auto"/>
                                    <w:left w:val="none" w:sz="0" w:space="0" w:color="auto"/>
                                    <w:bottom w:val="none" w:sz="0" w:space="0" w:color="auto"/>
                                    <w:right w:val="none" w:sz="0" w:space="0" w:color="auto"/>
                                  </w:divBdr>
                                  <w:divsChild>
                                    <w:div w:id="1269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751125">
      <w:bodyDiv w:val="1"/>
      <w:marLeft w:val="0"/>
      <w:marRight w:val="0"/>
      <w:marTop w:val="0"/>
      <w:marBottom w:val="0"/>
      <w:divBdr>
        <w:top w:val="none" w:sz="0" w:space="0" w:color="auto"/>
        <w:left w:val="none" w:sz="0" w:space="0" w:color="auto"/>
        <w:bottom w:val="none" w:sz="0" w:space="0" w:color="auto"/>
        <w:right w:val="none" w:sz="0" w:space="0" w:color="auto"/>
      </w:divBdr>
    </w:div>
    <w:div w:id="1616909585">
      <w:bodyDiv w:val="1"/>
      <w:marLeft w:val="0"/>
      <w:marRight w:val="0"/>
      <w:marTop w:val="0"/>
      <w:marBottom w:val="0"/>
      <w:divBdr>
        <w:top w:val="none" w:sz="0" w:space="0" w:color="auto"/>
        <w:left w:val="none" w:sz="0" w:space="0" w:color="auto"/>
        <w:bottom w:val="none" w:sz="0" w:space="0" w:color="auto"/>
        <w:right w:val="none" w:sz="0" w:space="0" w:color="auto"/>
      </w:divBdr>
      <w:divsChild>
        <w:div w:id="964850235">
          <w:marLeft w:val="0"/>
          <w:marRight w:val="0"/>
          <w:marTop w:val="0"/>
          <w:marBottom w:val="0"/>
          <w:divBdr>
            <w:top w:val="none" w:sz="0" w:space="0" w:color="auto"/>
            <w:left w:val="none" w:sz="0" w:space="0" w:color="auto"/>
            <w:bottom w:val="none" w:sz="0" w:space="0" w:color="auto"/>
            <w:right w:val="none" w:sz="0" w:space="0" w:color="auto"/>
          </w:divBdr>
          <w:divsChild>
            <w:div w:id="1249926025">
              <w:marLeft w:val="0"/>
              <w:marRight w:val="0"/>
              <w:marTop w:val="0"/>
              <w:marBottom w:val="0"/>
              <w:divBdr>
                <w:top w:val="none" w:sz="0" w:space="0" w:color="auto"/>
                <w:left w:val="none" w:sz="0" w:space="0" w:color="auto"/>
                <w:bottom w:val="none" w:sz="0" w:space="0" w:color="auto"/>
                <w:right w:val="none" w:sz="0" w:space="0" w:color="auto"/>
              </w:divBdr>
              <w:divsChild>
                <w:div w:id="1854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33251">
      <w:bodyDiv w:val="1"/>
      <w:marLeft w:val="0"/>
      <w:marRight w:val="0"/>
      <w:marTop w:val="0"/>
      <w:marBottom w:val="0"/>
      <w:divBdr>
        <w:top w:val="none" w:sz="0" w:space="0" w:color="auto"/>
        <w:left w:val="none" w:sz="0" w:space="0" w:color="auto"/>
        <w:bottom w:val="none" w:sz="0" w:space="0" w:color="auto"/>
        <w:right w:val="none" w:sz="0" w:space="0" w:color="auto"/>
      </w:divBdr>
      <w:divsChild>
        <w:div w:id="1301182392">
          <w:marLeft w:val="0"/>
          <w:marRight w:val="0"/>
          <w:marTop w:val="0"/>
          <w:marBottom w:val="0"/>
          <w:divBdr>
            <w:top w:val="none" w:sz="0" w:space="0" w:color="auto"/>
            <w:left w:val="none" w:sz="0" w:space="0" w:color="auto"/>
            <w:bottom w:val="none" w:sz="0" w:space="0" w:color="auto"/>
            <w:right w:val="none" w:sz="0" w:space="0" w:color="auto"/>
          </w:divBdr>
          <w:divsChild>
            <w:div w:id="374354099">
              <w:marLeft w:val="0"/>
              <w:marRight w:val="0"/>
              <w:marTop w:val="0"/>
              <w:marBottom w:val="0"/>
              <w:divBdr>
                <w:top w:val="none" w:sz="0" w:space="0" w:color="auto"/>
                <w:left w:val="none" w:sz="0" w:space="0" w:color="auto"/>
                <w:bottom w:val="none" w:sz="0" w:space="0" w:color="auto"/>
                <w:right w:val="none" w:sz="0" w:space="0" w:color="auto"/>
              </w:divBdr>
              <w:divsChild>
                <w:div w:id="5368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016">
      <w:bodyDiv w:val="1"/>
      <w:marLeft w:val="0"/>
      <w:marRight w:val="0"/>
      <w:marTop w:val="0"/>
      <w:marBottom w:val="0"/>
      <w:divBdr>
        <w:top w:val="none" w:sz="0" w:space="0" w:color="auto"/>
        <w:left w:val="none" w:sz="0" w:space="0" w:color="auto"/>
        <w:bottom w:val="none" w:sz="0" w:space="0" w:color="auto"/>
        <w:right w:val="none" w:sz="0" w:space="0" w:color="auto"/>
      </w:divBdr>
      <w:divsChild>
        <w:div w:id="949702494">
          <w:marLeft w:val="0"/>
          <w:marRight w:val="0"/>
          <w:marTop w:val="450"/>
          <w:marBottom w:val="0"/>
          <w:divBdr>
            <w:top w:val="single" w:sz="6" w:space="0" w:color="000000"/>
            <w:left w:val="single" w:sz="6" w:space="0" w:color="000000"/>
            <w:bottom w:val="single" w:sz="6" w:space="0" w:color="000000"/>
            <w:right w:val="single" w:sz="6" w:space="0" w:color="000000"/>
          </w:divBdr>
          <w:divsChild>
            <w:div w:id="714163149">
              <w:marLeft w:val="0"/>
              <w:marRight w:val="0"/>
              <w:marTop w:val="0"/>
              <w:marBottom w:val="0"/>
              <w:divBdr>
                <w:top w:val="none" w:sz="0" w:space="0" w:color="auto"/>
                <w:left w:val="none" w:sz="0" w:space="0" w:color="auto"/>
                <w:bottom w:val="none" w:sz="0" w:space="0" w:color="auto"/>
                <w:right w:val="none" w:sz="0" w:space="0" w:color="auto"/>
              </w:divBdr>
              <w:divsChild>
                <w:div w:id="9383260">
                  <w:marLeft w:val="0"/>
                  <w:marRight w:val="0"/>
                  <w:marTop w:val="0"/>
                  <w:marBottom w:val="0"/>
                  <w:divBdr>
                    <w:top w:val="none" w:sz="0" w:space="0" w:color="auto"/>
                    <w:left w:val="none" w:sz="0" w:space="0" w:color="auto"/>
                    <w:bottom w:val="none" w:sz="0" w:space="0" w:color="auto"/>
                    <w:right w:val="none" w:sz="0" w:space="0" w:color="auto"/>
                  </w:divBdr>
                  <w:divsChild>
                    <w:div w:id="1306620626">
                      <w:marLeft w:val="0"/>
                      <w:marRight w:val="0"/>
                      <w:marTop w:val="300"/>
                      <w:marBottom w:val="0"/>
                      <w:divBdr>
                        <w:top w:val="single" w:sz="2" w:space="0" w:color="000000"/>
                        <w:left w:val="single" w:sz="2" w:space="8" w:color="000000"/>
                        <w:bottom w:val="single" w:sz="2" w:space="0" w:color="000000"/>
                        <w:right w:val="single" w:sz="2" w:space="8" w:color="000000"/>
                      </w:divBdr>
                      <w:divsChild>
                        <w:div w:id="886382242">
                          <w:marLeft w:val="0"/>
                          <w:marRight w:val="0"/>
                          <w:marTop w:val="0"/>
                          <w:marBottom w:val="0"/>
                          <w:divBdr>
                            <w:top w:val="none" w:sz="0" w:space="0" w:color="auto"/>
                            <w:left w:val="none" w:sz="0" w:space="0" w:color="auto"/>
                            <w:bottom w:val="none" w:sz="0" w:space="0" w:color="auto"/>
                            <w:right w:val="none" w:sz="0" w:space="0" w:color="auto"/>
                          </w:divBdr>
                          <w:divsChild>
                            <w:div w:id="636494638">
                              <w:marLeft w:val="0"/>
                              <w:marRight w:val="0"/>
                              <w:marTop w:val="0"/>
                              <w:marBottom w:val="0"/>
                              <w:divBdr>
                                <w:top w:val="none" w:sz="0" w:space="0" w:color="auto"/>
                                <w:left w:val="none" w:sz="0" w:space="0" w:color="auto"/>
                                <w:bottom w:val="none" w:sz="0" w:space="0" w:color="auto"/>
                                <w:right w:val="none" w:sz="0" w:space="0" w:color="auto"/>
                              </w:divBdr>
                              <w:divsChild>
                                <w:div w:id="1060447662">
                                  <w:marLeft w:val="0"/>
                                  <w:marRight w:val="0"/>
                                  <w:marTop w:val="0"/>
                                  <w:marBottom w:val="0"/>
                                  <w:divBdr>
                                    <w:top w:val="none" w:sz="0" w:space="0" w:color="auto"/>
                                    <w:left w:val="none" w:sz="0" w:space="0" w:color="auto"/>
                                    <w:bottom w:val="none" w:sz="0" w:space="0" w:color="auto"/>
                                    <w:right w:val="none" w:sz="0" w:space="0" w:color="auto"/>
                                  </w:divBdr>
                                  <w:divsChild>
                                    <w:div w:id="17512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imel\Desktop\pip2cav_for_JS_jm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imel\Desktop\pip2cav_for_JS_jm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PIP-II Linac Cavity Accelerating Voltage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MEBT</c:v>
          </c:tx>
          <c:spPr>
            <a:ln w="19050" cap="rnd">
              <a:noFill/>
              <a:round/>
            </a:ln>
            <a:effectLst/>
          </c:spPr>
          <c:marker>
            <c:symbol val="circle"/>
            <c:size val="5"/>
            <c:spPr>
              <a:solidFill>
                <a:schemeClr val="accent1"/>
              </a:solidFill>
              <a:ln w="9525">
                <a:solidFill>
                  <a:schemeClr val="accent1"/>
                </a:solidFill>
              </a:ln>
              <a:effectLst/>
            </c:spPr>
          </c:marker>
          <c:xVal>
            <c:numRef>
              <c:f>Sheet1!$D$4:$D$7</c:f>
              <c:numCache>
                <c:formatCode>General</c:formatCode>
                <c:ptCount val="4"/>
                <c:pt idx="0">
                  <c:v>0.99839999999999995</c:v>
                </c:pt>
                <c:pt idx="1">
                  <c:v>4.03</c:v>
                </c:pt>
                <c:pt idx="2">
                  <c:v>8.73</c:v>
                </c:pt>
                <c:pt idx="3">
                  <c:v>12.67</c:v>
                </c:pt>
              </c:numCache>
            </c:numRef>
          </c:xVal>
          <c:yVal>
            <c:numRef>
              <c:f>Sheet1!$E$4:$E$7</c:f>
              <c:numCache>
                <c:formatCode>General</c:formatCode>
                <c:ptCount val="4"/>
                <c:pt idx="0">
                  <c:v>6.5000000000000002E-2</c:v>
                </c:pt>
                <c:pt idx="1">
                  <c:v>0.05</c:v>
                </c:pt>
                <c:pt idx="2">
                  <c:v>3.5000000000000003E-2</c:v>
                </c:pt>
                <c:pt idx="3">
                  <c:v>5.8999999999999997E-2</c:v>
                </c:pt>
              </c:numCache>
            </c:numRef>
          </c:yVal>
          <c:smooth val="0"/>
          <c:extLst>
            <c:ext xmlns:c16="http://schemas.microsoft.com/office/drawing/2014/chart" uri="{C3380CC4-5D6E-409C-BE32-E72D297353CC}">
              <c16:uniqueId val="{00000000-340F-4A88-8D35-A41CE6B53BE9}"/>
            </c:ext>
          </c:extLst>
        </c:ser>
        <c:ser>
          <c:idx val="1"/>
          <c:order val="1"/>
          <c:tx>
            <c:v>HWR</c:v>
          </c:tx>
          <c:spPr>
            <a:ln w="19050" cap="rnd">
              <a:noFill/>
              <a:round/>
            </a:ln>
            <a:effectLst/>
          </c:spPr>
          <c:marker>
            <c:symbol val="circle"/>
            <c:size val="5"/>
            <c:spPr>
              <a:solidFill>
                <a:schemeClr val="accent2"/>
              </a:solidFill>
              <a:ln w="9525">
                <a:solidFill>
                  <a:schemeClr val="accent2"/>
                </a:solidFill>
              </a:ln>
              <a:effectLst/>
            </c:spPr>
          </c:marker>
          <c:xVal>
            <c:numRef>
              <c:f>Sheet1!$D$8:$D$15</c:f>
              <c:numCache>
                <c:formatCode>General</c:formatCode>
                <c:ptCount val="8"/>
                <c:pt idx="0">
                  <c:v>14.931699999999999</c:v>
                </c:pt>
                <c:pt idx="1">
                  <c:v>15.6175</c:v>
                </c:pt>
                <c:pt idx="2">
                  <c:v>16.3033</c:v>
                </c:pt>
                <c:pt idx="3">
                  <c:v>16.989100000000001</c:v>
                </c:pt>
                <c:pt idx="4">
                  <c:v>17.674900000000001</c:v>
                </c:pt>
                <c:pt idx="5">
                  <c:v>18.360700000000001</c:v>
                </c:pt>
                <c:pt idx="6">
                  <c:v>19.046500000000002</c:v>
                </c:pt>
                <c:pt idx="7">
                  <c:v>19.732299999999999</c:v>
                </c:pt>
              </c:numCache>
            </c:numRef>
          </c:xVal>
          <c:yVal>
            <c:numRef>
              <c:f>Sheet1!$E$8:$E$15</c:f>
              <c:numCache>
                <c:formatCode>General</c:formatCode>
                <c:ptCount val="8"/>
                <c:pt idx="0">
                  <c:v>0.33</c:v>
                </c:pt>
                <c:pt idx="1">
                  <c:v>0.52</c:v>
                </c:pt>
                <c:pt idx="2">
                  <c:v>0.72</c:v>
                </c:pt>
                <c:pt idx="3">
                  <c:v>1</c:v>
                </c:pt>
                <c:pt idx="4">
                  <c:v>1.35</c:v>
                </c:pt>
                <c:pt idx="5">
                  <c:v>1.8</c:v>
                </c:pt>
                <c:pt idx="6">
                  <c:v>1.95</c:v>
                </c:pt>
                <c:pt idx="7">
                  <c:v>2</c:v>
                </c:pt>
              </c:numCache>
            </c:numRef>
          </c:yVal>
          <c:smooth val="0"/>
          <c:extLst>
            <c:ext xmlns:c16="http://schemas.microsoft.com/office/drawing/2014/chart" uri="{C3380CC4-5D6E-409C-BE32-E72D297353CC}">
              <c16:uniqueId val="{00000001-340F-4A88-8D35-A41CE6B53BE9}"/>
            </c:ext>
          </c:extLst>
        </c:ser>
        <c:ser>
          <c:idx val="2"/>
          <c:order val="2"/>
          <c:tx>
            <c:v>SSR1</c:v>
          </c:tx>
          <c:spPr>
            <a:ln w="19050" cap="rnd">
              <a:noFill/>
              <a:round/>
            </a:ln>
            <a:effectLst/>
          </c:spPr>
          <c:marker>
            <c:symbol val="circle"/>
            <c:size val="5"/>
            <c:spPr>
              <a:solidFill>
                <a:schemeClr val="accent3"/>
              </a:solidFill>
              <a:ln w="9525">
                <a:solidFill>
                  <a:schemeClr val="accent3"/>
                </a:solidFill>
              </a:ln>
              <a:effectLst/>
            </c:spPr>
          </c:marker>
          <c:xVal>
            <c:numRef>
              <c:f>Sheet1!$D$16:$D$31</c:f>
              <c:numCache>
                <c:formatCode>General</c:formatCode>
                <c:ptCount val="16"/>
                <c:pt idx="0">
                  <c:v>20.804500000000001</c:v>
                </c:pt>
                <c:pt idx="1">
                  <c:v>21.604500000000002</c:v>
                </c:pt>
                <c:pt idx="2">
                  <c:v>22.130500000000001</c:v>
                </c:pt>
                <c:pt idx="3">
                  <c:v>22.930499999999999</c:v>
                </c:pt>
                <c:pt idx="4">
                  <c:v>23.456499999999998</c:v>
                </c:pt>
                <c:pt idx="5">
                  <c:v>24.256499999999999</c:v>
                </c:pt>
                <c:pt idx="6">
                  <c:v>24.782499999999999</c:v>
                </c:pt>
                <c:pt idx="7">
                  <c:v>25.5825</c:v>
                </c:pt>
                <c:pt idx="8">
                  <c:v>26.785499999999999</c:v>
                </c:pt>
                <c:pt idx="9">
                  <c:v>27.5855</c:v>
                </c:pt>
                <c:pt idx="10">
                  <c:v>28.111499999999999</c:v>
                </c:pt>
                <c:pt idx="11">
                  <c:v>28.9115</c:v>
                </c:pt>
                <c:pt idx="12">
                  <c:v>29.4375</c:v>
                </c:pt>
                <c:pt idx="13">
                  <c:v>30.237500000000001</c:v>
                </c:pt>
                <c:pt idx="14">
                  <c:v>30.763500000000001</c:v>
                </c:pt>
                <c:pt idx="15">
                  <c:v>31.563500000000001</c:v>
                </c:pt>
              </c:numCache>
            </c:numRef>
          </c:xVal>
          <c:yVal>
            <c:numRef>
              <c:f>Sheet1!$E$16:$E$31</c:f>
              <c:numCache>
                <c:formatCode>General</c:formatCode>
                <c:ptCount val="16"/>
                <c:pt idx="0">
                  <c:v>1</c:v>
                </c:pt>
                <c:pt idx="1">
                  <c:v>0.95</c:v>
                </c:pt>
                <c:pt idx="2">
                  <c:v>0.98</c:v>
                </c:pt>
                <c:pt idx="3">
                  <c:v>1.5</c:v>
                </c:pt>
                <c:pt idx="4">
                  <c:v>1.6</c:v>
                </c:pt>
                <c:pt idx="5">
                  <c:v>1.55</c:v>
                </c:pt>
                <c:pt idx="6">
                  <c:v>1.5</c:v>
                </c:pt>
                <c:pt idx="7">
                  <c:v>2.0499999999999998</c:v>
                </c:pt>
                <c:pt idx="8">
                  <c:v>2.0499999999999998</c:v>
                </c:pt>
                <c:pt idx="9">
                  <c:v>1.8</c:v>
                </c:pt>
                <c:pt idx="10">
                  <c:v>1.65</c:v>
                </c:pt>
                <c:pt idx="11">
                  <c:v>2.0499999999999998</c:v>
                </c:pt>
                <c:pt idx="12">
                  <c:v>2</c:v>
                </c:pt>
                <c:pt idx="13">
                  <c:v>2.0499999999999998</c:v>
                </c:pt>
                <c:pt idx="14">
                  <c:v>1.75</c:v>
                </c:pt>
                <c:pt idx="15">
                  <c:v>2.0499999999999998</c:v>
                </c:pt>
              </c:numCache>
            </c:numRef>
          </c:yVal>
          <c:smooth val="0"/>
          <c:extLst>
            <c:ext xmlns:c16="http://schemas.microsoft.com/office/drawing/2014/chart" uri="{C3380CC4-5D6E-409C-BE32-E72D297353CC}">
              <c16:uniqueId val="{00000002-340F-4A88-8D35-A41CE6B53BE9}"/>
            </c:ext>
          </c:extLst>
        </c:ser>
        <c:ser>
          <c:idx val="3"/>
          <c:order val="3"/>
          <c:tx>
            <c:v>SSR2</c:v>
          </c:tx>
          <c:spPr>
            <a:ln w="19050" cap="rnd">
              <a:noFill/>
              <a:round/>
            </a:ln>
            <a:effectLst/>
          </c:spPr>
          <c:marker>
            <c:symbol val="circle"/>
            <c:size val="5"/>
            <c:spPr>
              <a:solidFill>
                <a:schemeClr val="accent4"/>
              </a:solidFill>
              <a:ln w="9525">
                <a:solidFill>
                  <a:schemeClr val="accent4"/>
                </a:solidFill>
              </a:ln>
              <a:effectLst/>
            </c:spPr>
          </c:marker>
          <c:xVal>
            <c:numRef>
              <c:f>Sheet1!$D$32:$D$66</c:f>
              <c:numCache>
                <c:formatCode>General</c:formatCode>
                <c:ptCount val="35"/>
                <c:pt idx="0">
                  <c:v>33.515000000000001</c:v>
                </c:pt>
                <c:pt idx="1">
                  <c:v>34.265000000000001</c:v>
                </c:pt>
                <c:pt idx="2">
                  <c:v>35.765000000000001</c:v>
                </c:pt>
                <c:pt idx="3">
                  <c:v>36.515000000000001</c:v>
                </c:pt>
                <c:pt idx="4">
                  <c:v>38.015000000000001</c:v>
                </c:pt>
                <c:pt idx="5">
                  <c:v>40.465000000000003</c:v>
                </c:pt>
                <c:pt idx="6">
                  <c:v>41.215000000000003</c:v>
                </c:pt>
                <c:pt idx="7">
                  <c:v>42.715000000000003</c:v>
                </c:pt>
                <c:pt idx="8">
                  <c:v>43.465000000000003</c:v>
                </c:pt>
                <c:pt idx="9">
                  <c:v>44.965000000000003</c:v>
                </c:pt>
                <c:pt idx="10">
                  <c:v>47.414999999999999</c:v>
                </c:pt>
                <c:pt idx="11">
                  <c:v>48.164999999999999</c:v>
                </c:pt>
                <c:pt idx="12">
                  <c:v>49.664999999999999</c:v>
                </c:pt>
                <c:pt idx="13">
                  <c:v>50.414999999999999</c:v>
                </c:pt>
                <c:pt idx="14">
                  <c:v>51.914999999999999</c:v>
                </c:pt>
                <c:pt idx="15">
                  <c:v>54.365000000000002</c:v>
                </c:pt>
                <c:pt idx="16">
                  <c:v>55.115000000000002</c:v>
                </c:pt>
                <c:pt idx="17">
                  <c:v>56.615000000000002</c:v>
                </c:pt>
                <c:pt idx="18">
                  <c:v>57.365000000000002</c:v>
                </c:pt>
                <c:pt idx="19">
                  <c:v>58.865000000000002</c:v>
                </c:pt>
                <c:pt idx="20">
                  <c:v>61.314999999999998</c:v>
                </c:pt>
                <c:pt idx="21">
                  <c:v>62.064999999999998</c:v>
                </c:pt>
                <c:pt idx="22">
                  <c:v>63.564999999999998</c:v>
                </c:pt>
                <c:pt idx="23">
                  <c:v>64.314999999999998</c:v>
                </c:pt>
                <c:pt idx="24">
                  <c:v>65.814999999999998</c:v>
                </c:pt>
                <c:pt idx="25">
                  <c:v>68.265000000000001</c:v>
                </c:pt>
                <c:pt idx="26">
                  <c:v>69.015000000000001</c:v>
                </c:pt>
                <c:pt idx="27">
                  <c:v>70.515000000000001</c:v>
                </c:pt>
                <c:pt idx="28">
                  <c:v>71.265000000000001</c:v>
                </c:pt>
                <c:pt idx="29">
                  <c:v>72.765000000000001</c:v>
                </c:pt>
                <c:pt idx="30">
                  <c:v>75.215000000000003</c:v>
                </c:pt>
                <c:pt idx="31">
                  <c:v>75.965000000000003</c:v>
                </c:pt>
                <c:pt idx="32">
                  <c:v>77.465000000000003</c:v>
                </c:pt>
                <c:pt idx="33">
                  <c:v>78.215000000000003</c:v>
                </c:pt>
                <c:pt idx="34">
                  <c:v>79.715000000000003</c:v>
                </c:pt>
              </c:numCache>
            </c:numRef>
          </c:xVal>
          <c:yVal>
            <c:numRef>
              <c:f>Sheet1!$E$32:$E$66</c:f>
              <c:numCache>
                <c:formatCode>General</c:formatCode>
                <c:ptCount val="35"/>
                <c:pt idx="0">
                  <c:v>5</c:v>
                </c:pt>
                <c:pt idx="1">
                  <c:v>5</c:v>
                </c:pt>
                <c:pt idx="2">
                  <c:v>5</c:v>
                </c:pt>
                <c:pt idx="3">
                  <c:v>4.5999999999999996</c:v>
                </c:pt>
                <c:pt idx="4">
                  <c:v>5</c:v>
                </c:pt>
                <c:pt idx="5">
                  <c:v>5</c:v>
                </c:pt>
                <c:pt idx="6">
                  <c:v>4.9000000000000004</c:v>
                </c:pt>
                <c:pt idx="7">
                  <c:v>4.88</c:v>
                </c:pt>
                <c:pt idx="8">
                  <c:v>4.4000000000000004</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numCache>
            </c:numRef>
          </c:yVal>
          <c:smooth val="0"/>
          <c:extLst>
            <c:ext xmlns:c16="http://schemas.microsoft.com/office/drawing/2014/chart" uri="{C3380CC4-5D6E-409C-BE32-E72D297353CC}">
              <c16:uniqueId val="{00000003-340F-4A88-8D35-A41CE6B53BE9}"/>
            </c:ext>
          </c:extLst>
        </c:ser>
        <c:ser>
          <c:idx val="4"/>
          <c:order val="4"/>
          <c:tx>
            <c:v>LB650</c:v>
          </c:tx>
          <c:spPr>
            <a:ln w="19050" cap="rnd">
              <a:noFill/>
              <a:round/>
            </a:ln>
            <a:effectLst/>
          </c:spPr>
          <c:marker>
            <c:symbol val="circle"/>
            <c:size val="5"/>
            <c:spPr>
              <a:solidFill>
                <a:schemeClr val="accent5"/>
              </a:solidFill>
              <a:ln w="9525">
                <a:solidFill>
                  <a:schemeClr val="accent5"/>
                </a:solidFill>
              </a:ln>
              <a:effectLst/>
            </c:spPr>
          </c:marker>
          <c:xVal>
            <c:numRef>
              <c:f>Sheet1!$D$67:$D$102</c:f>
              <c:numCache>
                <c:formatCode>General</c:formatCode>
                <c:ptCount val="36"/>
                <c:pt idx="0">
                  <c:v>83.262500000000003</c:v>
                </c:pt>
                <c:pt idx="1">
                  <c:v>84.450900000000004</c:v>
                </c:pt>
                <c:pt idx="2">
                  <c:v>85.639300000000006</c:v>
                </c:pt>
                <c:pt idx="3">
                  <c:v>86.827699999999993</c:v>
                </c:pt>
                <c:pt idx="4">
                  <c:v>90.086100000000002</c:v>
                </c:pt>
                <c:pt idx="5">
                  <c:v>91.274500000000003</c:v>
                </c:pt>
                <c:pt idx="6">
                  <c:v>92.462900000000005</c:v>
                </c:pt>
                <c:pt idx="7">
                  <c:v>93.651300000000006</c:v>
                </c:pt>
                <c:pt idx="8">
                  <c:v>96.909700000000001</c:v>
                </c:pt>
                <c:pt idx="9">
                  <c:v>98.098100000000002</c:v>
                </c:pt>
                <c:pt idx="10">
                  <c:v>99.286500000000004</c:v>
                </c:pt>
                <c:pt idx="11">
                  <c:v>100.47490000000001</c:v>
                </c:pt>
                <c:pt idx="12">
                  <c:v>103.7333</c:v>
                </c:pt>
                <c:pt idx="13">
                  <c:v>104.9217</c:v>
                </c:pt>
                <c:pt idx="14">
                  <c:v>106.1101</c:v>
                </c:pt>
                <c:pt idx="15">
                  <c:v>107.2985</c:v>
                </c:pt>
                <c:pt idx="16">
                  <c:v>110.5569</c:v>
                </c:pt>
                <c:pt idx="17">
                  <c:v>111.7453</c:v>
                </c:pt>
                <c:pt idx="18">
                  <c:v>112.9337</c:v>
                </c:pt>
                <c:pt idx="19">
                  <c:v>114.1221</c:v>
                </c:pt>
                <c:pt idx="20">
                  <c:v>117.3805</c:v>
                </c:pt>
                <c:pt idx="21">
                  <c:v>118.5689</c:v>
                </c:pt>
                <c:pt idx="22">
                  <c:v>119.7573</c:v>
                </c:pt>
                <c:pt idx="23">
                  <c:v>120.9457</c:v>
                </c:pt>
                <c:pt idx="24">
                  <c:v>124.2041</c:v>
                </c:pt>
                <c:pt idx="25">
                  <c:v>125.3925</c:v>
                </c:pt>
                <c:pt idx="26">
                  <c:v>126.5809</c:v>
                </c:pt>
                <c:pt idx="27">
                  <c:v>127.7693</c:v>
                </c:pt>
                <c:pt idx="28">
                  <c:v>131.02770000000001</c:v>
                </c:pt>
                <c:pt idx="29">
                  <c:v>132.21610000000001</c:v>
                </c:pt>
                <c:pt idx="30">
                  <c:v>133.40450000000001</c:v>
                </c:pt>
                <c:pt idx="31">
                  <c:v>134.59289999999999</c:v>
                </c:pt>
                <c:pt idx="32">
                  <c:v>137.85130000000001</c:v>
                </c:pt>
                <c:pt idx="33">
                  <c:v>139.03970000000001</c:v>
                </c:pt>
                <c:pt idx="34">
                  <c:v>140.22810000000001</c:v>
                </c:pt>
                <c:pt idx="35">
                  <c:v>141.41650000000001</c:v>
                </c:pt>
              </c:numCache>
            </c:numRef>
          </c:xVal>
          <c:yVal>
            <c:numRef>
              <c:f>Sheet1!$E$67:$E$103</c:f>
              <c:numCache>
                <c:formatCode>General</c:formatCode>
                <c:ptCount val="37"/>
                <c:pt idx="0">
                  <c:v>7</c:v>
                </c:pt>
                <c:pt idx="1">
                  <c:v>4</c:v>
                </c:pt>
                <c:pt idx="2">
                  <c:v>5</c:v>
                </c:pt>
                <c:pt idx="3">
                  <c:v>5</c:v>
                </c:pt>
                <c:pt idx="4">
                  <c:v>11</c:v>
                </c:pt>
                <c:pt idx="5">
                  <c:v>9.5</c:v>
                </c:pt>
                <c:pt idx="6">
                  <c:v>9</c:v>
                </c:pt>
                <c:pt idx="7">
                  <c:v>11.5</c:v>
                </c:pt>
                <c:pt idx="8">
                  <c:v>11.79</c:v>
                </c:pt>
                <c:pt idx="9">
                  <c:v>11.1</c:v>
                </c:pt>
                <c:pt idx="10">
                  <c:v>10</c:v>
                </c:pt>
                <c:pt idx="11">
                  <c:v>11.79</c:v>
                </c:pt>
                <c:pt idx="12">
                  <c:v>11.79</c:v>
                </c:pt>
                <c:pt idx="13">
                  <c:v>11.7</c:v>
                </c:pt>
                <c:pt idx="14">
                  <c:v>11.6</c:v>
                </c:pt>
                <c:pt idx="15">
                  <c:v>11.7</c:v>
                </c:pt>
                <c:pt idx="16">
                  <c:v>11.79</c:v>
                </c:pt>
                <c:pt idx="17">
                  <c:v>11.79</c:v>
                </c:pt>
                <c:pt idx="18">
                  <c:v>11.79</c:v>
                </c:pt>
                <c:pt idx="19">
                  <c:v>11.79</c:v>
                </c:pt>
                <c:pt idx="20">
                  <c:v>11.79</c:v>
                </c:pt>
                <c:pt idx="21">
                  <c:v>11.79</c:v>
                </c:pt>
                <c:pt idx="22">
                  <c:v>11.79</c:v>
                </c:pt>
                <c:pt idx="23">
                  <c:v>11.79</c:v>
                </c:pt>
                <c:pt idx="24">
                  <c:v>11.79</c:v>
                </c:pt>
                <c:pt idx="25">
                  <c:v>11.79</c:v>
                </c:pt>
                <c:pt idx="26">
                  <c:v>11.79</c:v>
                </c:pt>
                <c:pt idx="27">
                  <c:v>11.79</c:v>
                </c:pt>
                <c:pt idx="28">
                  <c:v>11.79</c:v>
                </c:pt>
                <c:pt idx="29">
                  <c:v>11.79</c:v>
                </c:pt>
                <c:pt idx="30">
                  <c:v>11.79</c:v>
                </c:pt>
                <c:pt idx="31">
                  <c:v>11.79</c:v>
                </c:pt>
                <c:pt idx="32">
                  <c:v>11.79</c:v>
                </c:pt>
                <c:pt idx="33">
                  <c:v>11.79</c:v>
                </c:pt>
                <c:pt idx="34">
                  <c:v>11.79</c:v>
                </c:pt>
                <c:pt idx="35">
                  <c:v>11.79</c:v>
                </c:pt>
                <c:pt idx="36">
                  <c:v>18.5</c:v>
                </c:pt>
              </c:numCache>
            </c:numRef>
          </c:yVal>
          <c:smooth val="0"/>
          <c:extLst>
            <c:ext xmlns:c16="http://schemas.microsoft.com/office/drawing/2014/chart" uri="{C3380CC4-5D6E-409C-BE32-E72D297353CC}">
              <c16:uniqueId val="{00000004-340F-4A88-8D35-A41CE6B53BE9}"/>
            </c:ext>
          </c:extLst>
        </c:ser>
        <c:ser>
          <c:idx val="5"/>
          <c:order val="5"/>
          <c:tx>
            <c:v>HB650</c:v>
          </c:tx>
          <c:spPr>
            <a:ln w="19050" cap="rnd">
              <a:noFill/>
              <a:round/>
            </a:ln>
            <a:effectLst/>
          </c:spPr>
          <c:marker>
            <c:symbol val="circle"/>
            <c:size val="5"/>
            <c:spPr>
              <a:solidFill>
                <a:schemeClr val="accent6"/>
              </a:solidFill>
              <a:ln w="9525">
                <a:solidFill>
                  <a:schemeClr val="accent6"/>
                </a:solidFill>
              </a:ln>
              <a:effectLst/>
            </c:spPr>
          </c:marker>
          <c:xVal>
            <c:numRef>
              <c:f>Sheet1!$D$103:$D$126</c:f>
              <c:numCache>
                <c:formatCode>General</c:formatCode>
                <c:ptCount val="24"/>
                <c:pt idx="0">
                  <c:v>144.82740000000001</c:v>
                </c:pt>
                <c:pt idx="1">
                  <c:v>146.35239999999999</c:v>
                </c:pt>
                <c:pt idx="2">
                  <c:v>147.87739999999999</c:v>
                </c:pt>
                <c:pt idx="3">
                  <c:v>149.4024</c:v>
                </c:pt>
                <c:pt idx="4">
                  <c:v>150.92740000000001</c:v>
                </c:pt>
                <c:pt idx="5">
                  <c:v>152.45240000000001</c:v>
                </c:pt>
                <c:pt idx="6">
                  <c:v>156.04640000000001</c:v>
                </c:pt>
                <c:pt idx="7">
                  <c:v>157.57140000000001</c:v>
                </c:pt>
                <c:pt idx="8">
                  <c:v>159.09639999999999</c:v>
                </c:pt>
                <c:pt idx="9">
                  <c:v>160.62139999999999</c:v>
                </c:pt>
                <c:pt idx="10">
                  <c:v>162.1464</c:v>
                </c:pt>
                <c:pt idx="11">
                  <c:v>163.67140000000001</c:v>
                </c:pt>
                <c:pt idx="12">
                  <c:v>167.2654</c:v>
                </c:pt>
                <c:pt idx="13">
                  <c:v>168.79040000000001</c:v>
                </c:pt>
                <c:pt idx="14">
                  <c:v>170.31540000000001</c:v>
                </c:pt>
                <c:pt idx="15">
                  <c:v>171.84039999999999</c:v>
                </c:pt>
                <c:pt idx="16">
                  <c:v>173.36539999999999</c:v>
                </c:pt>
                <c:pt idx="17">
                  <c:v>174.8904</c:v>
                </c:pt>
                <c:pt idx="18">
                  <c:v>178.48439999999999</c:v>
                </c:pt>
                <c:pt idx="19">
                  <c:v>180.0094</c:v>
                </c:pt>
                <c:pt idx="20">
                  <c:v>181.53440000000001</c:v>
                </c:pt>
                <c:pt idx="21">
                  <c:v>183.05940000000001</c:v>
                </c:pt>
                <c:pt idx="22">
                  <c:v>184.58439999999999</c:v>
                </c:pt>
                <c:pt idx="23">
                  <c:v>186.10939999999999</c:v>
                </c:pt>
              </c:numCache>
            </c:numRef>
          </c:xVal>
          <c:yVal>
            <c:numRef>
              <c:f>Sheet1!$E$103:$E$126</c:f>
              <c:numCache>
                <c:formatCode>General</c:formatCode>
                <c:ptCount val="24"/>
                <c:pt idx="0">
                  <c:v>18.5</c:v>
                </c:pt>
                <c:pt idx="1">
                  <c:v>18.5</c:v>
                </c:pt>
                <c:pt idx="2">
                  <c:v>19.5</c:v>
                </c:pt>
                <c:pt idx="3">
                  <c:v>19.5</c:v>
                </c:pt>
                <c:pt idx="4">
                  <c:v>19.5</c:v>
                </c:pt>
                <c:pt idx="5">
                  <c:v>19.809999999999999</c:v>
                </c:pt>
                <c:pt idx="6">
                  <c:v>19.809999999999999</c:v>
                </c:pt>
                <c:pt idx="7">
                  <c:v>19.809999999999999</c:v>
                </c:pt>
                <c:pt idx="8">
                  <c:v>19.809999999999999</c:v>
                </c:pt>
                <c:pt idx="9">
                  <c:v>19.809999999999999</c:v>
                </c:pt>
                <c:pt idx="10">
                  <c:v>19.809999999999999</c:v>
                </c:pt>
                <c:pt idx="11">
                  <c:v>19.809999999999999</c:v>
                </c:pt>
                <c:pt idx="12">
                  <c:v>19.809999999999999</c:v>
                </c:pt>
                <c:pt idx="13">
                  <c:v>19.809999999999999</c:v>
                </c:pt>
                <c:pt idx="14">
                  <c:v>19.809999999999999</c:v>
                </c:pt>
                <c:pt idx="15">
                  <c:v>19.809999999999999</c:v>
                </c:pt>
                <c:pt idx="16">
                  <c:v>19.809999999999999</c:v>
                </c:pt>
                <c:pt idx="17">
                  <c:v>19.809999999999999</c:v>
                </c:pt>
                <c:pt idx="18">
                  <c:v>19.809999999999999</c:v>
                </c:pt>
                <c:pt idx="19">
                  <c:v>19.809999999999999</c:v>
                </c:pt>
                <c:pt idx="20">
                  <c:v>19.809999999999999</c:v>
                </c:pt>
                <c:pt idx="21">
                  <c:v>19.809999999999999</c:v>
                </c:pt>
                <c:pt idx="22">
                  <c:v>19.809999999999999</c:v>
                </c:pt>
                <c:pt idx="23">
                  <c:v>19.809999999999999</c:v>
                </c:pt>
              </c:numCache>
            </c:numRef>
          </c:yVal>
          <c:smooth val="0"/>
          <c:extLst>
            <c:ext xmlns:c16="http://schemas.microsoft.com/office/drawing/2014/chart" uri="{C3380CC4-5D6E-409C-BE32-E72D297353CC}">
              <c16:uniqueId val="{00000005-340F-4A88-8D35-A41CE6B53BE9}"/>
            </c:ext>
          </c:extLst>
        </c:ser>
        <c:dLbls>
          <c:showLegendKey val="0"/>
          <c:showVal val="0"/>
          <c:showCatName val="0"/>
          <c:showSerName val="0"/>
          <c:showPercent val="0"/>
          <c:showBubbleSize val="0"/>
        </c:dLbls>
        <c:axId val="896680664"/>
        <c:axId val="896682960"/>
      </c:scatterChart>
      <c:valAx>
        <c:axId val="896680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Position in Accelerator (m)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682960"/>
        <c:crosses val="autoZero"/>
        <c:crossBetween val="midCat"/>
      </c:valAx>
      <c:valAx>
        <c:axId val="896682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Accelerating</a:t>
                </a:r>
                <a:r>
                  <a:rPr lang="en-US" baseline="0"/>
                  <a:t> Voltage (MV)</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6806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PIP-II Linac</a:t>
            </a:r>
            <a:r>
              <a:rPr lang="en-US" baseline="0"/>
              <a:t> Cavity </a:t>
            </a:r>
            <a:r>
              <a:rPr lang="en-US"/>
              <a:t>Synchronous Phase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Sheet1!$F$3</c:f>
              <c:strCache>
                <c:ptCount val="1"/>
                <c:pt idx="0">
                  <c:v>Synchronous Phase (deg)</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Sheet1!$D$4:$D$126</c:f>
              <c:numCache>
                <c:formatCode>General</c:formatCode>
                <c:ptCount val="123"/>
                <c:pt idx="0">
                  <c:v>0.99839999999999995</c:v>
                </c:pt>
                <c:pt idx="1">
                  <c:v>4.03</c:v>
                </c:pt>
                <c:pt idx="2">
                  <c:v>8.73</c:v>
                </c:pt>
                <c:pt idx="3">
                  <c:v>12.67</c:v>
                </c:pt>
                <c:pt idx="4">
                  <c:v>14.931699999999999</c:v>
                </c:pt>
                <c:pt idx="5">
                  <c:v>15.6175</c:v>
                </c:pt>
                <c:pt idx="6">
                  <c:v>16.3033</c:v>
                </c:pt>
                <c:pt idx="7">
                  <c:v>16.989100000000001</c:v>
                </c:pt>
                <c:pt idx="8">
                  <c:v>17.674900000000001</c:v>
                </c:pt>
                <c:pt idx="9">
                  <c:v>18.360700000000001</c:v>
                </c:pt>
                <c:pt idx="10">
                  <c:v>19.046500000000002</c:v>
                </c:pt>
                <c:pt idx="11">
                  <c:v>19.732299999999999</c:v>
                </c:pt>
                <c:pt idx="12">
                  <c:v>20.804500000000001</c:v>
                </c:pt>
                <c:pt idx="13">
                  <c:v>21.604500000000002</c:v>
                </c:pt>
                <c:pt idx="14">
                  <c:v>22.130500000000001</c:v>
                </c:pt>
                <c:pt idx="15">
                  <c:v>22.930499999999999</c:v>
                </c:pt>
                <c:pt idx="16">
                  <c:v>23.456499999999998</c:v>
                </c:pt>
                <c:pt idx="17">
                  <c:v>24.256499999999999</c:v>
                </c:pt>
                <c:pt idx="18">
                  <c:v>24.782499999999999</c:v>
                </c:pt>
                <c:pt idx="19">
                  <c:v>25.5825</c:v>
                </c:pt>
                <c:pt idx="20">
                  <c:v>26.785499999999999</c:v>
                </c:pt>
                <c:pt idx="21">
                  <c:v>27.5855</c:v>
                </c:pt>
                <c:pt idx="22">
                  <c:v>28.111499999999999</c:v>
                </c:pt>
                <c:pt idx="23">
                  <c:v>28.9115</c:v>
                </c:pt>
                <c:pt idx="24">
                  <c:v>29.4375</c:v>
                </c:pt>
                <c:pt idx="25">
                  <c:v>30.237500000000001</c:v>
                </c:pt>
                <c:pt idx="26">
                  <c:v>30.763500000000001</c:v>
                </c:pt>
                <c:pt idx="27">
                  <c:v>31.563500000000001</c:v>
                </c:pt>
                <c:pt idx="28">
                  <c:v>33.515000000000001</c:v>
                </c:pt>
                <c:pt idx="29">
                  <c:v>34.265000000000001</c:v>
                </c:pt>
                <c:pt idx="30">
                  <c:v>35.765000000000001</c:v>
                </c:pt>
                <c:pt idx="31">
                  <c:v>36.515000000000001</c:v>
                </c:pt>
                <c:pt idx="32">
                  <c:v>38.015000000000001</c:v>
                </c:pt>
                <c:pt idx="33">
                  <c:v>40.465000000000003</c:v>
                </c:pt>
                <c:pt idx="34">
                  <c:v>41.215000000000003</c:v>
                </c:pt>
                <c:pt idx="35">
                  <c:v>42.715000000000003</c:v>
                </c:pt>
                <c:pt idx="36">
                  <c:v>43.465000000000003</c:v>
                </c:pt>
                <c:pt idx="37">
                  <c:v>44.965000000000003</c:v>
                </c:pt>
                <c:pt idx="38">
                  <c:v>47.414999999999999</c:v>
                </c:pt>
                <c:pt idx="39">
                  <c:v>48.164999999999999</c:v>
                </c:pt>
                <c:pt idx="40">
                  <c:v>49.664999999999999</c:v>
                </c:pt>
                <c:pt idx="41">
                  <c:v>50.414999999999999</c:v>
                </c:pt>
                <c:pt idx="42">
                  <c:v>51.914999999999999</c:v>
                </c:pt>
                <c:pt idx="43">
                  <c:v>54.365000000000002</c:v>
                </c:pt>
                <c:pt idx="44">
                  <c:v>55.115000000000002</c:v>
                </c:pt>
                <c:pt idx="45">
                  <c:v>56.615000000000002</c:v>
                </c:pt>
                <c:pt idx="46">
                  <c:v>57.365000000000002</c:v>
                </c:pt>
                <c:pt idx="47">
                  <c:v>58.865000000000002</c:v>
                </c:pt>
                <c:pt idx="48">
                  <c:v>61.314999999999998</c:v>
                </c:pt>
                <c:pt idx="49">
                  <c:v>62.064999999999998</c:v>
                </c:pt>
                <c:pt idx="50">
                  <c:v>63.564999999999998</c:v>
                </c:pt>
                <c:pt idx="51">
                  <c:v>64.314999999999998</c:v>
                </c:pt>
                <c:pt idx="52">
                  <c:v>65.814999999999998</c:v>
                </c:pt>
                <c:pt idx="53">
                  <c:v>68.265000000000001</c:v>
                </c:pt>
                <c:pt idx="54">
                  <c:v>69.015000000000001</c:v>
                </c:pt>
                <c:pt idx="55">
                  <c:v>70.515000000000001</c:v>
                </c:pt>
                <c:pt idx="56">
                  <c:v>71.265000000000001</c:v>
                </c:pt>
                <c:pt idx="57">
                  <c:v>72.765000000000001</c:v>
                </c:pt>
                <c:pt idx="58">
                  <c:v>75.215000000000003</c:v>
                </c:pt>
                <c:pt idx="59">
                  <c:v>75.965000000000003</c:v>
                </c:pt>
                <c:pt idx="60">
                  <c:v>77.465000000000003</c:v>
                </c:pt>
                <c:pt idx="61">
                  <c:v>78.215000000000003</c:v>
                </c:pt>
                <c:pt idx="62">
                  <c:v>79.715000000000003</c:v>
                </c:pt>
                <c:pt idx="63">
                  <c:v>83.262500000000003</c:v>
                </c:pt>
                <c:pt idx="64">
                  <c:v>84.450900000000004</c:v>
                </c:pt>
                <c:pt idx="65">
                  <c:v>85.639300000000006</c:v>
                </c:pt>
                <c:pt idx="66">
                  <c:v>86.827699999999993</c:v>
                </c:pt>
                <c:pt idx="67">
                  <c:v>90.086100000000002</c:v>
                </c:pt>
                <c:pt idx="68">
                  <c:v>91.274500000000003</c:v>
                </c:pt>
                <c:pt idx="69">
                  <c:v>92.462900000000005</c:v>
                </c:pt>
                <c:pt idx="70">
                  <c:v>93.651300000000006</c:v>
                </c:pt>
                <c:pt idx="71">
                  <c:v>96.909700000000001</c:v>
                </c:pt>
                <c:pt idx="72">
                  <c:v>98.098100000000002</c:v>
                </c:pt>
                <c:pt idx="73">
                  <c:v>99.286500000000004</c:v>
                </c:pt>
                <c:pt idx="74">
                  <c:v>100.47490000000001</c:v>
                </c:pt>
                <c:pt idx="75">
                  <c:v>103.7333</c:v>
                </c:pt>
                <c:pt idx="76">
                  <c:v>104.9217</c:v>
                </c:pt>
                <c:pt idx="77">
                  <c:v>106.1101</c:v>
                </c:pt>
                <c:pt idx="78">
                  <c:v>107.2985</c:v>
                </c:pt>
                <c:pt idx="79">
                  <c:v>110.5569</c:v>
                </c:pt>
                <c:pt idx="80">
                  <c:v>111.7453</c:v>
                </c:pt>
                <c:pt idx="81">
                  <c:v>112.9337</c:v>
                </c:pt>
                <c:pt idx="82">
                  <c:v>114.1221</c:v>
                </c:pt>
                <c:pt idx="83">
                  <c:v>117.3805</c:v>
                </c:pt>
                <c:pt idx="84">
                  <c:v>118.5689</c:v>
                </c:pt>
                <c:pt idx="85">
                  <c:v>119.7573</c:v>
                </c:pt>
                <c:pt idx="86">
                  <c:v>120.9457</c:v>
                </c:pt>
                <c:pt idx="87">
                  <c:v>124.2041</c:v>
                </c:pt>
                <c:pt idx="88">
                  <c:v>125.3925</c:v>
                </c:pt>
                <c:pt idx="89">
                  <c:v>126.5809</c:v>
                </c:pt>
                <c:pt idx="90">
                  <c:v>127.7693</c:v>
                </c:pt>
                <c:pt idx="91">
                  <c:v>131.02770000000001</c:v>
                </c:pt>
                <c:pt idx="92">
                  <c:v>132.21610000000001</c:v>
                </c:pt>
                <c:pt idx="93">
                  <c:v>133.40450000000001</c:v>
                </c:pt>
                <c:pt idx="94">
                  <c:v>134.59289999999999</c:v>
                </c:pt>
                <c:pt idx="95">
                  <c:v>137.85130000000001</c:v>
                </c:pt>
                <c:pt idx="96">
                  <c:v>139.03970000000001</c:v>
                </c:pt>
                <c:pt idx="97">
                  <c:v>140.22810000000001</c:v>
                </c:pt>
                <c:pt idx="98">
                  <c:v>141.41650000000001</c:v>
                </c:pt>
                <c:pt idx="99">
                  <c:v>144.82740000000001</c:v>
                </c:pt>
                <c:pt idx="100">
                  <c:v>146.35239999999999</c:v>
                </c:pt>
                <c:pt idx="101">
                  <c:v>147.87739999999999</c:v>
                </c:pt>
                <c:pt idx="102">
                  <c:v>149.4024</c:v>
                </c:pt>
                <c:pt idx="103">
                  <c:v>150.92740000000001</c:v>
                </c:pt>
                <c:pt idx="104">
                  <c:v>152.45240000000001</c:v>
                </c:pt>
                <c:pt idx="105">
                  <c:v>156.04640000000001</c:v>
                </c:pt>
                <c:pt idx="106">
                  <c:v>157.57140000000001</c:v>
                </c:pt>
                <c:pt idx="107">
                  <c:v>159.09639999999999</c:v>
                </c:pt>
                <c:pt idx="108">
                  <c:v>160.62139999999999</c:v>
                </c:pt>
                <c:pt idx="109">
                  <c:v>162.1464</c:v>
                </c:pt>
                <c:pt idx="110">
                  <c:v>163.67140000000001</c:v>
                </c:pt>
                <c:pt idx="111">
                  <c:v>167.2654</c:v>
                </c:pt>
                <c:pt idx="112">
                  <c:v>168.79040000000001</c:v>
                </c:pt>
                <c:pt idx="113">
                  <c:v>170.31540000000001</c:v>
                </c:pt>
                <c:pt idx="114">
                  <c:v>171.84039999999999</c:v>
                </c:pt>
                <c:pt idx="115">
                  <c:v>173.36539999999999</c:v>
                </c:pt>
                <c:pt idx="116">
                  <c:v>174.8904</c:v>
                </c:pt>
                <c:pt idx="117">
                  <c:v>178.48439999999999</c:v>
                </c:pt>
                <c:pt idx="118">
                  <c:v>180.0094</c:v>
                </c:pt>
                <c:pt idx="119">
                  <c:v>181.53440000000001</c:v>
                </c:pt>
                <c:pt idx="120">
                  <c:v>183.05940000000001</c:v>
                </c:pt>
                <c:pt idx="121">
                  <c:v>184.58439999999999</c:v>
                </c:pt>
                <c:pt idx="122">
                  <c:v>186.10939999999999</c:v>
                </c:pt>
              </c:numCache>
            </c:numRef>
          </c:xVal>
          <c:yVal>
            <c:numRef>
              <c:f>Sheet1!$F$4:$F$126</c:f>
              <c:numCache>
                <c:formatCode>General</c:formatCode>
                <c:ptCount val="123"/>
                <c:pt idx="0">
                  <c:v>-90</c:v>
                </c:pt>
                <c:pt idx="1">
                  <c:v>-90</c:v>
                </c:pt>
                <c:pt idx="2">
                  <c:v>-90</c:v>
                </c:pt>
                <c:pt idx="3">
                  <c:v>-90</c:v>
                </c:pt>
                <c:pt idx="4">
                  <c:v>-50.03</c:v>
                </c:pt>
                <c:pt idx="5">
                  <c:v>-41.99</c:v>
                </c:pt>
                <c:pt idx="6">
                  <c:v>-40.97</c:v>
                </c:pt>
                <c:pt idx="7">
                  <c:v>-33.01</c:v>
                </c:pt>
                <c:pt idx="8">
                  <c:v>-29.02</c:v>
                </c:pt>
                <c:pt idx="9">
                  <c:v>-22</c:v>
                </c:pt>
                <c:pt idx="10">
                  <c:v>-19.98</c:v>
                </c:pt>
                <c:pt idx="11">
                  <c:v>-22.98</c:v>
                </c:pt>
                <c:pt idx="12">
                  <c:v>-37</c:v>
                </c:pt>
                <c:pt idx="13">
                  <c:v>-34.020000000000003</c:v>
                </c:pt>
                <c:pt idx="14">
                  <c:v>-30.02</c:v>
                </c:pt>
                <c:pt idx="15">
                  <c:v>-28.02</c:v>
                </c:pt>
                <c:pt idx="16">
                  <c:v>-28</c:v>
                </c:pt>
                <c:pt idx="17">
                  <c:v>-23.98</c:v>
                </c:pt>
                <c:pt idx="18">
                  <c:v>-23.98</c:v>
                </c:pt>
                <c:pt idx="19">
                  <c:v>-32.979999999999997</c:v>
                </c:pt>
                <c:pt idx="20">
                  <c:v>-32.01</c:v>
                </c:pt>
                <c:pt idx="21">
                  <c:v>-23.02</c:v>
                </c:pt>
                <c:pt idx="22">
                  <c:v>-21.02</c:v>
                </c:pt>
                <c:pt idx="23">
                  <c:v>-20.02</c:v>
                </c:pt>
                <c:pt idx="24">
                  <c:v>-20.010000000000002</c:v>
                </c:pt>
                <c:pt idx="25">
                  <c:v>-19</c:v>
                </c:pt>
                <c:pt idx="26">
                  <c:v>-18.989999999999998</c:v>
                </c:pt>
                <c:pt idx="27">
                  <c:v>-35.99</c:v>
                </c:pt>
                <c:pt idx="28">
                  <c:v>-24.98</c:v>
                </c:pt>
                <c:pt idx="29">
                  <c:v>-23.99</c:v>
                </c:pt>
                <c:pt idx="30">
                  <c:v>-19</c:v>
                </c:pt>
                <c:pt idx="31">
                  <c:v>-19.010000000000002</c:v>
                </c:pt>
                <c:pt idx="32">
                  <c:v>-35.020000000000003</c:v>
                </c:pt>
                <c:pt idx="33">
                  <c:v>-20.010000000000002</c:v>
                </c:pt>
                <c:pt idx="34">
                  <c:v>-19.010000000000002</c:v>
                </c:pt>
                <c:pt idx="35">
                  <c:v>-15</c:v>
                </c:pt>
                <c:pt idx="36">
                  <c:v>-13.99</c:v>
                </c:pt>
                <c:pt idx="37">
                  <c:v>-34.99</c:v>
                </c:pt>
                <c:pt idx="38">
                  <c:v>-23.99</c:v>
                </c:pt>
                <c:pt idx="39">
                  <c:v>-15.99</c:v>
                </c:pt>
                <c:pt idx="40">
                  <c:v>-16</c:v>
                </c:pt>
                <c:pt idx="41">
                  <c:v>-14</c:v>
                </c:pt>
                <c:pt idx="42">
                  <c:v>-25.01</c:v>
                </c:pt>
                <c:pt idx="43">
                  <c:v>-20.010000000000002</c:v>
                </c:pt>
                <c:pt idx="44">
                  <c:v>-14.01</c:v>
                </c:pt>
                <c:pt idx="45">
                  <c:v>-13.01</c:v>
                </c:pt>
                <c:pt idx="46">
                  <c:v>-13.01</c:v>
                </c:pt>
                <c:pt idx="47">
                  <c:v>-23.01</c:v>
                </c:pt>
                <c:pt idx="48">
                  <c:v>-18</c:v>
                </c:pt>
                <c:pt idx="49">
                  <c:v>-14</c:v>
                </c:pt>
                <c:pt idx="50">
                  <c:v>-13</c:v>
                </c:pt>
                <c:pt idx="51">
                  <c:v>-11.99</c:v>
                </c:pt>
                <c:pt idx="52">
                  <c:v>-21.99</c:v>
                </c:pt>
                <c:pt idx="53">
                  <c:v>-17.989999999999998</c:v>
                </c:pt>
                <c:pt idx="54">
                  <c:v>-12.99</c:v>
                </c:pt>
                <c:pt idx="55">
                  <c:v>-12.99</c:v>
                </c:pt>
                <c:pt idx="56">
                  <c:v>-12.99</c:v>
                </c:pt>
                <c:pt idx="57">
                  <c:v>-19.989999999999998</c:v>
                </c:pt>
                <c:pt idx="58">
                  <c:v>-20</c:v>
                </c:pt>
                <c:pt idx="59">
                  <c:v>-14</c:v>
                </c:pt>
                <c:pt idx="60">
                  <c:v>-14</c:v>
                </c:pt>
                <c:pt idx="61">
                  <c:v>-13</c:v>
                </c:pt>
                <c:pt idx="62">
                  <c:v>-20</c:v>
                </c:pt>
                <c:pt idx="63">
                  <c:v>-22.02</c:v>
                </c:pt>
                <c:pt idx="64">
                  <c:v>-21.02</c:v>
                </c:pt>
                <c:pt idx="65">
                  <c:v>-19.02</c:v>
                </c:pt>
                <c:pt idx="66">
                  <c:v>-16.02</c:v>
                </c:pt>
                <c:pt idx="67">
                  <c:v>-17.010000000000002</c:v>
                </c:pt>
                <c:pt idx="68">
                  <c:v>-16.010000000000002</c:v>
                </c:pt>
                <c:pt idx="69">
                  <c:v>-16</c:v>
                </c:pt>
                <c:pt idx="70">
                  <c:v>-14</c:v>
                </c:pt>
                <c:pt idx="71">
                  <c:v>-18.989999999999998</c:v>
                </c:pt>
                <c:pt idx="72">
                  <c:v>-13.99</c:v>
                </c:pt>
                <c:pt idx="73">
                  <c:v>-12.99</c:v>
                </c:pt>
                <c:pt idx="74">
                  <c:v>-13.99</c:v>
                </c:pt>
                <c:pt idx="75">
                  <c:v>-15</c:v>
                </c:pt>
                <c:pt idx="76">
                  <c:v>-14</c:v>
                </c:pt>
                <c:pt idx="77">
                  <c:v>-13</c:v>
                </c:pt>
                <c:pt idx="78">
                  <c:v>-13</c:v>
                </c:pt>
                <c:pt idx="79">
                  <c:v>-14.01</c:v>
                </c:pt>
                <c:pt idx="80">
                  <c:v>-13.01</c:v>
                </c:pt>
                <c:pt idx="81">
                  <c:v>-12.01</c:v>
                </c:pt>
                <c:pt idx="82">
                  <c:v>-12.01</c:v>
                </c:pt>
                <c:pt idx="83">
                  <c:v>-14.01</c:v>
                </c:pt>
                <c:pt idx="84">
                  <c:v>-13.01</c:v>
                </c:pt>
                <c:pt idx="85">
                  <c:v>-12.01</c:v>
                </c:pt>
                <c:pt idx="86">
                  <c:v>-12.01</c:v>
                </c:pt>
                <c:pt idx="87">
                  <c:v>-14</c:v>
                </c:pt>
                <c:pt idx="88">
                  <c:v>-13</c:v>
                </c:pt>
                <c:pt idx="89">
                  <c:v>-12</c:v>
                </c:pt>
                <c:pt idx="90">
                  <c:v>-12</c:v>
                </c:pt>
                <c:pt idx="91">
                  <c:v>-14</c:v>
                </c:pt>
                <c:pt idx="92">
                  <c:v>-12.99</c:v>
                </c:pt>
                <c:pt idx="93">
                  <c:v>-12.99</c:v>
                </c:pt>
                <c:pt idx="94">
                  <c:v>-11.99</c:v>
                </c:pt>
                <c:pt idx="95">
                  <c:v>-12.99</c:v>
                </c:pt>
                <c:pt idx="96">
                  <c:v>-11.99</c:v>
                </c:pt>
                <c:pt idx="97">
                  <c:v>-11.99</c:v>
                </c:pt>
                <c:pt idx="98">
                  <c:v>-11.99</c:v>
                </c:pt>
                <c:pt idx="99">
                  <c:v>-10.99</c:v>
                </c:pt>
                <c:pt idx="100">
                  <c:v>-10.99</c:v>
                </c:pt>
                <c:pt idx="101">
                  <c:v>-10.99</c:v>
                </c:pt>
                <c:pt idx="102">
                  <c:v>-10.99</c:v>
                </c:pt>
                <c:pt idx="103">
                  <c:v>-11</c:v>
                </c:pt>
                <c:pt idx="104">
                  <c:v>-22</c:v>
                </c:pt>
                <c:pt idx="105">
                  <c:v>-12</c:v>
                </c:pt>
                <c:pt idx="106">
                  <c:v>-11</c:v>
                </c:pt>
                <c:pt idx="107">
                  <c:v>-11</c:v>
                </c:pt>
                <c:pt idx="108">
                  <c:v>-11</c:v>
                </c:pt>
                <c:pt idx="109">
                  <c:v>-11.01</c:v>
                </c:pt>
                <c:pt idx="110">
                  <c:v>-20.010000000000002</c:v>
                </c:pt>
                <c:pt idx="111">
                  <c:v>-15.01</c:v>
                </c:pt>
                <c:pt idx="112">
                  <c:v>-11.01</c:v>
                </c:pt>
                <c:pt idx="113">
                  <c:v>-11.01</c:v>
                </c:pt>
                <c:pt idx="114">
                  <c:v>-11.01</c:v>
                </c:pt>
                <c:pt idx="115">
                  <c:v>-11.01</c:v>
                </c:pt>
                <c:pt idx="116">
                  <c:v>-12.01</c:v>
                </c:pt>
                <c:pt idx="117">
                  <c:v>-12.01</c:v>
                </c:pt>
                <c:pt idx="118">
                  <c:v>-10</c:v>
                </c:pt>
                <c:pt idx="119">
                  <c:v>-10</c:v>
                </c:pt>
                <c:pt idx="120">
                  <c:v>-10</c:v>
                </c:pt>
                <c:pt idx="121">
                  <c:v>-10</c:v>
                </c:pt>
                <c:pt idx="122">
                  <c:v>-10</c:v>
                </c:pt>
              </c:numCache>
            </c:numRef>
          </c:yVal>
          <c:smooth val="0"/>
          <c:extLst>
            <c:ext xmlns:c16="http://schemas.microsoft.com/office/drawing/2014/chart" uri="{C3380CC4-5D6E-409C-BE32-E72D297353CC}">
              <c16:uniqueId val="{00000000-986F-4969-B371-642CA82F9F6D}"/>
            </c:ext>
          </c:extLst>
        </c:ser>
        <c:dLbls>
          <c:showLegendKey val="0"/>
          <c:showVal val="0"/>
          <c:showCatName val="0"/>
          <c:showSerName val="0"/>
          <c:showPercent val="0"/>
          <c:showBubbleSize val="0"/>
        </c:dLbls>
        <c:axId val="886083544"/>
        <c:axId val="886082888"/>
      </c:scatterChart>
      <c:valAx>
        <c:axId val="886083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Position (m)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082888"/>
        <c:crossesAt val="-100"/>
        <c:crossBetween val="midCat"/>
      </c:valAx>
      <c:valAx>
        <c:axId val="886082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Synchronous</a:t>
                </a:r>
                <a:r>
                  <a:rPr lang="en-US" baseline="0"/>
                  <a:t> Phaes (deg)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0835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PIP-II Linac Cavity Transit Time Factor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Sheet1!$D$4:$D$126</c:f>
              <c:numCache>
                <c:formatCode>General</c:formatCode>
                <c:ptCount val="123"/>
                <c:pt idx="0">
                  <c:v>0.99839999999999995</c:v>
                </c:pt>
                <c:pt idx="1">
                  <c:v>4.03</c:v>
                </c:pt>
                <c:pt idx="2">
                  <c:v>8.73</c:v>
                </c:pt>
                <c:pt idx="3">
                  <c:v>12.67</c:v>
                </c:pt>
                <c:pt idx="4">
                  <c:v>14.931699999999999</c:v>
                </c:pt>
                <c:pt idx="5">
                  <c:v>15.6175</c:v>
                </c:pt>
                <c:pt idx="6">
                  <c:v>16.3033</c:v>
                </c:pt>
                <c:pt idx="7">
                  <c:v>16.989100000000001</c:v>
                </c:pt>
                <c:pt idx="8">
                  <c:v>17.674900000000001</c:v>
                </c:pt>
                <c:pt idx="9">
                  <c:v>18.360700000000001</c:v>
                </c:pt>
                <c:pt idx="10">
                  <c:v>19.046500000000002</c:v>
                </c:pt>
                <c:pt idx="11">
                  <c:v>19.732299999999999</c:v>
                </c:pt>
                <c:pt idx="12">
                  <c:v>20.804500000000001</c:v>
                </c:pt>
                <c:pt idx="13">
                  <c:v>21.604500000000002</c:v>
                </c:pt>
                <c:pt idx="14">
                  <c:v>22.130500000000001</c:v>
                </c:pt>
                <c:pt idx="15">
                  <c:v>22.930499999999999</c:v>
                </c:pt>
                <c:pt idx="16">
                  <c:v>23.456499999999998</c:v>
                </c:pt>
                <c:pt idx="17">
                  <c:v>24.256499999999999</c:v>
                </c:pt>
                <c:pt idx="18">
                  <c:v>24.782499999999999</c:v>
                </c:pt>
                <c:pt idx="19">
                  <c:v>25.5825</c:v>
                </c:pt>
                <c:pt idx="20">
                  <c:v>26.785499999999999</c:v>
                </c:pt>
                <c:pt idx="21">
                  <c:v>27.5855</c:v>
                </c:pt>
                <c:pt idx="22">
                  <c:v>28.111499999999999</c:v>
                </c:pt>
                <c:pt idx="23">
                  <c:v>28.9115</c:v>
                </c:pt>
                <c:pt idx="24">
                  <c:v>29.4375</c:v>
                </c:pt>
                <c:pt idx="25">
                  <c:v>30.237500000000001</c:v>
                </c:pt>
                <c:pt idx="26">
                  <c:v>30.763500000000001</c:v>
                </c:pt>
                <c:pt idx="27">
                  <c:v>31.563500000000001</c:v>
                </c:pt>
                <c:pt idx="28">
                  <c:v>33.515000000000001</c:v>
                </c:pt>
                <c:pt idx="29">
                  <c:v>34.265000000000001</c:v>
                </c:pt>
                <c:pt idx="30">
                  <c:v>35.765000000000001</c:v>
                </c:pt>
                <c:pt idx="31">
                  <c:v>36.515000000000001</c:v>
                </c:pt>
                <c:pt idx="32">
                  <c:v>38.015000000000001</c:v>
                </c:pt>
                <c:pt idx="33">
                  <c:v>40.465000000000003</c:v>
                </c:pt>
                <c:pt idx="34">
                  <c:v>41.215000000000003</c:v>
                </c:pt>
                <c:pt idx="35">
                  <c:v>42.715000000000003</c:v>
                </c:pt>
                <c:pt idx="36">
                  <c:v>43.465000000000003</c:v>
                </c:pt>
                <c:pt idx="37">
                  <c:v>44.965000000000003</c:v>
                </c:pt>
                <c:pt idx="38">
                  <c:v>47.414999999999999</c:v>
                </c:pt>
                <c:pt idx="39">
                  <c:v>48.164999999999999</c:v>
                </c:pt>
                <c:pt idx="40">
                  <c:v>49.664999999999999</c:v>
                </c:pt>
                <c:pt idx="41">
                  <c:v>50.414999999999999</c:v>
                </c:pt>
                <c:pt idx="42">
                  <c:v>51.914999999999999</c:v>
                </c:pt>
                <c:pt idx="43">
                  <c:v>54.365000000000002</c:v>
                </c:pt>
                <c:pt idx="44">
                  <c:v>55.115000000000002</c:v>
                </c:pt>
                <c:pt idx="45">
                  <c:v>56.615000000000002</c:v>
                </c:pt>
                <c:pt idx="46">
                  <c:v>57.365000000000002</c:v>
                </c:pt>
                <c:pt idx="47">
                  <c:v>58.865000000000002</c:v>
                </c:pt>
                <c:pt idx="48">
                  <c:v>61.314999999999998</c:v>
                </c:pt>
                <c:pt idx="49">
                  <c:v>62.064999999999998</c:v>
                </c:pt>
                <c:pt idx="50">
                  <c:v>63.564999999999998</c:v>
                </c:pt>
                <c:pt idx="51">
                  <c:v>64.314999999999998</c:v>
                </c:pt>
                <c:pt idx="52">
                  <c:v>65.814999999999998</c:v>
                </c:pt>
                <c:pt idx="53">
                  <c:v>68.265000000000001</c:v>
                </c:pt>
                <c:pt idx="54">
                  <c:v>69.015000000000001</c:v>
                </c:pt>
                <c:pt idx="55">
                  <c:v>70.515000000000001</c:v>
                </c:pt>
                <c:pt idx="56">
                  <c:v>71.265000000000001</c:v>
                </c:pt>
                <c:pt idx="57">
                  <c:v>72.765000000000001</c:v>
                </c:pt>
                <c:pt idx="58">
                  <c:v>75.215000000000003</c:v>
                </c:pt>
                <c:pt idx="59">
                  <c:v>75.965000000000003</c:v>
                </c:pt>
                <c:pt idx="60">
                  <c:v>77.465000000000003</c:v>
                </c:pt>
                <c:pt idx="61">
                  <c:v>78.215000000000003</c:v>
                </c:pt>
                <c:pt idx="62">
                  <c:v>79.715000000000003</c:v>
                </c:pt>
                <c:pt idx="63">
                  <c:v>83.262500000000003</c:v>
                </c:pt>
                <c:pt idx="64">
                  <c:v>84.450900000000004</c:v>
                </c:pt>
                <c:pt idx="65">
                  <c:v>85.639300000000006</c:v>
                </c:pt>
                <c:pt idx="66">
                  <c:v>86.827699999999993</c:v>
                </c:pt>
                <c:pt idx="67">
                  <c:v>90.086100000000002</c:v>
                </c:pt>
                <c:pt idx="68">
                  <c:v>91.274500000000003</c:v>
                </c:pt>
                <c:pt idx="69">
                  <c:v>92.462900000000005</c:v>
                </c:pt>
                <c:pt idx="70">
                  <c:v>93.651300000000006</c:v>
                </c:pt>
                <c:pt idx="71">
                  <c:v>96.909700000000001</c:v>
                </c:pt>
                <c:pt idx="72">
                  <c:v>98.098100000000002</c:v>
                </c:pt>
                <c:pt idx="73">
                  <c:v>99.286500000000004</c:v>
                </c:pt>
                <c:pt idx="74">
                  <c:v>100.47490000000001</c:v>
                </c:pt>
                <c:pt idx="75">
                  <c:v>103.7333</c:v>
                </c:pt>
                <c:pt idx="76">
                  <c:v>104.9217</c:v>
                </c:pt>
                <c:pt idx="77">
                  <c:v>106.1101</c:v>
                </c:pt>
                <c:pt idx="78">
                  <c:v>107.2985</c:v>
                </c:pt>
                <c:pt idx="79">
                  <c:v>110.5569</c:v>
                </c:pt>
                <c:pt idx="80">
                  <c:v>111.7453</c:v>
                </c:pt>
                <c:pt idx="81">
                  <c:v>112.9337</c:v>
                </c:pt>
                <c:pt idx="82">
                  <c:v>114.1221</c:v>
                </c:pt>
                <c:pt idx="83">
                  <c:v>117.3805</c:v>
                </c:pt>
                <c:pt idx="84">
                  <c:v>118.5689</c:v>
                </c:pt>
                <c:pt idx="85">
                  <c:v>119.7573</c:v>
                </c:pt>
                <c:pt idx="86">
                  <c:v>120.9457</c:v>
                </c:pt>
                <c:pt idx="87">
                  <c:v>124.2041</c:v>
                </c:pt>
                <c:pt idx="88">
                  <c:v>125.3925</c:v>
                </c:pt>
                <c:pt idx="89">
                  <c:v>126.5809</c:v>
                </c:pt>
                <c:pt idx="90">
                  <c:v>127.7693</c:v>
                </c:pt>
                <c:pt idx="91">
                  <c:v>131.02770000000001</c:v>
                </c:pt>
                <c:pt idx="92">
                  <c:v>132.21610000000001</c:v>
                </c:pt>
                <c:pt idx="93">
                  <c:v>133.40450000000001</c:v>
                </c:pt>
                <c:pt idx="94">
                  <c:v>134.59289999999999</c:v>
                </c:pt>
                <c:pt idx="95">
                  <c:v>137.85130000000001</c:v>
                </c:pt>
                <c:pt idx="96">
                  <c:v>139.03970000000001</c:v>
                </c:pt>
                <c:pt idx="97">
                  <c:v>140.22810000000001</c:v>
                </c:pt>
                <c:pt idx="98">
                  <c:v>141.41650000000001</c:v>
                </c:pt>
                <c:pt idx="99">
                  <c:v>144.82740000000001</c:v>
                </c:pt>
                <c:pt idx="100">
                  <c:v>146.35239999999999</c:v>
                </c:pt>
                <c:pt idx="101">
                  <c:v>147.87739999999999</c:v>
                </c:pt>
                <c:pt idx="102">
                  <c:v>149.4024</c:v>
                </c:pt>
                <c:pt idx="103">
                  <c:v>150.92740000000001</c:v>
                </c:pt>
                <c:pt idx="104">
                  <c:v>152.45240000000001</c:v>
                </c:pt>
                <c:pt idx="105">
                  <c:v>156.04640000000001</c:v>
                </c:pt>
                <c:pt idx="106">
                  <c:v>157.57140000000001</c:v>
                </c:pt>
                <c:pt idx="107">
                  <c:v>159.09639999999999</c:v>
                </c:pt>
                <c:pt idx="108">
                  <c:v>160.62139999999999</c:v>
                </c:pt>
                <c:pt idx="109">
                  <c:v>162.1464</c:v>
                </c:pt>
                <c:pt idx="110">
                  <c:v>163.67140000000001</c:v>
                </c:pt>
                <c:pt idx="111">
                  <c:v>167.2654</c:v>
                </c:pt>
                <c:pt idx="112">
                  <c:v>168.79040000000001</c:v>
                </c:pt>
                <c:pt idx="113">
                  <c:v>170.31540000000001</c:v>
                </c:pt>
                <c:pt idx="114">
                  <c:v>171.84039999999999</c:v>
                </c:pt>
                <c:pt idx="115">
                  <c:v>173.36539999999999</c:v>
                </c:pt>
                <c:pt idx="116">
                  <c:v>174.8904</c:v>
                </c:pt>
                <c:pt idx="117">
                  <c:v>178.48439999999999</c:v>
                </c:pt>
                <c:pt idx="118">
                  <c:v>180.0094</c:v>
                </c:pt>
                <c:pt idx="119">
                  <c:v>181.53440000000001</c:v>
                </c:pt>
                <c:pt idx="120">
                  <c:v>183.05940000000001</c:v>
                </c:pt>
                <c:pt idx="121">
                  <c:v>184.58439999999999</c:v>
                </c:pt>
                <c:pt idx="122">
                  <c:v>186.10939999999999</c:v>
                </c:pt>
              </c:numCache>
            </c:numRef>
          </c:xVal>
          <c:yVal>
            <c:numRef>
              <c:f>Sheet1!$G$4:$G$126</c:f>
              <c:numCache>
                <c:formatCode>General</c:formatCode>
                <c:ptCount val="123"/>
                <c:pt idx="0">
                  <c:v>1</c:v>
                </c:pt>
                <c:pt idx="1">
                  <c:v>1</c:v>
                </c:pt>
                <c:pt idx="2">
                  <c:v>1</c:v>
                </c:pt>
                <c:pt idx="3">
                  <c:v>1</c:v>
                </c:pt>
                <c:pt idx="4">
                  <c:v>0.59799999999999998</c:v>
                </c:pt>
                <c:pt idx="5">
                  <c:v>0.65900000000000003</c:v>
                </c:pt>
                <c:pt idx="6">
                  <c:v>0.75</c:v>
                </c:pt>
                <c:pt idx="7">
                  <c:v>0.86240000000000006</c:v>
                </c:pt>
                <c:pt idx="8">
                  <c:v>0.95620000000000005</c:v>
                </c:pt>
                <c:pt idx="9">
                  <c:v>0.99719999999999998</c:v>
                </c:pt>
                <c:pt idx="10">
                  <c:v>0.98729999999999996</c:v>
                </c:pt>
                <c:pt idx="11">
                  <c:v>0.95589999999999997</c:v>
                </c:pt>
                <c:pt idx="12">
                  <c:v>0.74839999999999995</c:v>
                </c:pt>
                <c:pt idx="13">
                  <c:v>0.78480000000000005</c:v>
                </c:pt>
                <c:pt idx="14">
                  <c:v>0.81840000000000002</c:v>
                </c:pt>
                <c:pt idx="15">
                  <c:v>0.85540000000000005</c:v>
                </c:pt>
                <c:pt idx="16">
                  <c:v>0.89570000000000005</c:v>
                </c:pt>
                <c:pt idx="17">
                  <c:v>0.92869999999999997</c:v>
                </c:pt>
                <c:pt idx="18">
                  <c:v>0.95299999999999996</c:v>
                </c:pt>
                <c:pt idx="19">
                  <c:v>0.9718</c:v>
                </c:pt>
                <c:pt idx="20">
                  <c:v>0.98629999999999995</c:v>
                </c:pt>
                <c:pt idx="21">
                  <c:v>0.99490000000000001</c:v>
                </c:pt>
                <c:pt idx="22">
                  <c:v>0.99870000000000003</c:v>
                </c:pt>
                <c:pt idx="23">
                  <c:v>0.99950000000000006</c:v>
                </c:pt>
                <c:pt idx="24">
                  <c:v>0.99760000000000004</c:v>
                </c:pt>
                <c:pt idx="25">
                  <c:v>0.99350000000000005</c:v>
                </c:pt>
                <c:pt idx="26">
                  <c:v>0.98829999999999996</c:v>
                </c:pt>
                <c:pt idx="27">
                  <c:v>0.98219999999999996</c:v>
                </c:pt>
                <c:pt idx="28">
                  <c:v>0.41770000000000002</c:v>
                </c:pt>
                <c:pt idx="29">
                  <c:v>0.47149999999999997</c:v>
                </c:pt>
                <c:pt idx="30">
                  <c:v>0.52959999999999996</c:v>
                </c:pt>
                <c:pt idx="31">
                  <c:v>0.58399999999999996</c:v>
                </c:pt>
                <c:pt idx="32">
                  <c:v>0.626</c:v>
                </c:pt>
                <c:pt idx="33">
                  <c:v>0.67900000000000005</c:v>
                </c:pt>
                <c:pt idx="34">
                  <c:v>0.72660000000000002</c:v>
                </c:pt>
                <c:pt idx="35">
                  <c:v>0.77039999999999997</c:v>
                </c:pt>
                <c:pt idx="36">
                  <c:v>0.8075</c:v>
                </c:pt>
                <c:pt idx="37">
                  <c:v>0.83489999999999998</c:v>
                </c:pt>
                <c:pt idx="38">
                  <c:v>0.86409999999999998</c:v>
                </c:pt>
                <c:pt idx="39">
                  <c:v>0.89070000000000005</c:v>
                </c:pt>
                <c:pt idx="40">
                  <c:v>0.91310000000000002</c:v>
                </c:pt>
                <c:pt idx="41">
                  <c:v>0.93210000000000004</c:v>
                </c:pt>
                <c:pt idx="42">
                  <c:v>0.94699999999999995</c:v>
                </c:pt>
                <c:pt idx="43">
                  <c:v>0.95950000000000002</c:v>
                </c:pt>
                <c:pt idx="44">
                  <c:v>0.97009999999999996</c:v>
                </c:pt>
                <c:pt idx="45">
                  <c:v>0.97860000000000003</c:v>
                </c:pt>
                <c:pt idx="46">
                  <c:v>0.98519999999999996</c:v>
                </c:pt>
                <c:pt idx="47">
                  <c:v>0.99009999999999998</c:v>
                </c:pt>
                <c:pt idx="48">
                  <c:v>0.99390000000000001</c:v>
                </c:pt>
                <c:pt idx="49">
                  <c:v>0.99670000000000003</c:v>
                </c:pt>
                <c:pt idx="50">
                  <c:v>0.99850000000000005</c:v>
                </c:pt>
                <c:pt idx="51">
                  <c:v>0.99960000000000004</c:v>
                </c:pt>
                <c:pt idx="52">
                  <c:v>0.99990000000000001</c:v>
                </c:pt>
                <c:pt idx="53">
                  <c:v>0.99970000000000003</c:v>
                </c:pt>
                <c:pt idx="54">
                  <c:v>0.99909999999999999</c:v>
                </c:pt>
                <c:pt idx="55">
                  <c:v>0.99809999999999999</c:v>
                </c:pt>
                <c:pt idx="56">
                  <c:v>0.99670000000000003</c:v>
                </c:pt>
                <c:pt idx="57">
                  <c:v>0.995</c:v>
                </c:pt>
                <c:pt idx="58">
                  <c:v>0.99319999999999997</c:v>
                </c:pt>
                <c:pt idx="59">
                  <c:v>0.99119999999999997</c:v>
                </c:pt>
                <c:pt idx="60">
                  <c:v>0.98899999999999999</c:v>
                </c:pt>
                <c:pt idx="61">
                  <c:v>0.98660000000000003</c:v>
                </c:pt>
                <c:pt idx="62">
                  <c:v>0.98409999999999997</c:v>
                </c:pt>
                <c:pt idx="63">
                  <c:v>0.7046</c:v>
                </c:pt>
                <c:pt idx="64">
                  <c:v>0.73029999999999995</c:v>
                </c:pt>
                <c:pt idx="65">
                  <c:v>0.74960000000000004</c:v>
                </c:pt>
                <c:pt idx="66">
                  <c:v>0.77129999999999999</c:v>
                </c:pt>
                <c:pt idx="67">
                  <c:v>0.8024</c:v>
                </c:pt>
                <c:pt idx="68">
                  <c:v>0.84199999999999997</c:v>
                </c:pt>
                <c:pt idx="69">
                  <c:v>0.87380000000000002</c:v>
                </c:pt>
                <c:pt idx="70">
                  <c:v>0.90459999999999996</c:v>
                </c:pt>
                <c:pt idx="71">
                  <c:v>0.93359999999999999</c:v>
                </c:pt>
                <c:pt idx="72">
                  <c:v>0.95689999999999997</c:v>
                </c:pt>
                <c:pt idx="73">
                  <c:v>0.97340000000000004</c:v>
                </c:pt>
                <c:pt idx="74">
                  <c:v>0.98570000000000002</c:v>
                </c:pt>
                <c:pt idx="75">
                  <c:v>0.99429999999999996</c:v>
                </c:pt>
                <c:pt idx="76">
                  <c:v>0.99850000000000005</c:v>
                </c:pt>
                <c:pt idx="77">
                  <c:v>0.999</c:v>
                </c:pt>
                <c:pt idx="78">
                  <c:v>0.99650000000000005</c:v>
                </c:pt>
                <c:pt idx="79">
                  <c:v>0.99150000000000005</c:v>
                </c:pt>
                <c:pt idx="80">
                  <c:v>0.98440000000000005</c:v>
                </c:pt>
                <c:pt idx="81">
                  <c:v>0.97570000000000001</c:v>
                </c:pt>
                <c:pt idx="82">
                  <c:v>0.96560000000000001</c:v>
                </c:pt>
                <c:pt idx="83">
                  <c:v>0.9546</c:v>
                </c:pt>
                <c:pt idx="84">
                  <c:v>0.94299999999999995</c:v>
                </c:pt>
                <c:pt idx="85">
                  <c:v>0.93089999999999995</c:v>
                </c:pt>
                <c:pt idx="86">
                  <c:v>0.91839999999999999</c:v>
                </c:pt>
                <c:pt idx="87">
                  <c:v>0.90569999999999995</c:v>
                </c:pt>
                <c:pt idx="88">
                  <c:v>0.89300000000000002</c:v>
                </c:pt>
                <c:pt idx="89">
                  <c:v>0.88039999999999996</c:v>
                </c:pt>
                <c:pt idx="90">
                  <c:v>0.86770000000000003</c:v>
                </c:pt>
                <c:pt idx="91">
                  <c:v>0.85519999999999996</c:v>
                </c:pt>
                <c:pt idx="92">
                  <c:v>0.84299999999999997</c:v>
                </c:pt>
                <c:pt idx="93">
                  <c:v>0.83089999999999997</c:v>
                </c:pt>
                <c:pt idx="94">
                  <c:v>0.81910000000000005</c:v>
                </c:pt>
                <c:pt idx="95">
                  <c:v>0.80740000000000001</c:v>
                </c:pt>
                <c:pt idx="96">
                  <c:v>0.79610000000000003</c:v>
                </c:pt>
                <c:pt idx="97">
                  <c:v>0.78500000000000003</c:v>
                </c:pt>
                <c:pt idx="98">
                  <c:v>0.7742</c:v>
                </c:pt>
                <c:pt idx="99">
                  <c:v>0.50360000000000005</c:v>
                </c:pt>
                <c:pt idx="100">
                  <c:v>0.5202</c:v>
                </c:pt>
                <c:pt idx="101">
                  <c:v>0.53720000000000001</c:v>
                </c:pt>
                <c:pt idx="102">
                  <c:v>0.55459999999999998</c:v>
                </c:pt>
                <c:pt idx="103">
                  <c:v>0.57189999999999996</c:v>
                </c:pt>
                <c:pt idx="104">
                  <c:v>0.58730000000000004</c:v>
                </c:pt>
                <c:pt idx="105">
                  <c:v>0.60529999999999995</c:v>
                </c:pt>
                <c:pt idx="106">
                  <c:v>0.62239999999999995</c:v>
                </c:pt>
                <c:pt idx="107">
                  <c:v>0.6391</c:v>
                </c:pt>
                <c:pt idx="108">
                  <c:v>0.65549999999999997</c:v>
                </c:pt>
                <c:pt idx="109">
                  <c:v>0.67159999999999997</c:v>
                </c:pt>
                <c:pt idx="110">
                  <c:v>0.68610000000000004</c:v>
                </c:pt>
                <c:pt idx="111">
                  <c:v>0.70140000000000002</c:v>
                </c:pt>
                <c:pt idx="112">
                  <c:v>0.71640000000000004</c:v>
                </c:pt>
                <c:pt idx="113">
                  <c:v>0.73080000000000001</c:v>
                </c:pt>
                <c:pt idx="114">
                  <c:v>0.74470000000000003</c:v>
                </c:pt>
                <c:pt idx="115">
                  <c:v>0.75819999999999999</c:v>
                </c:pt>
                <c:pt idx="116">
                  <c:v>0.77110000000000001</c:v>
                </c:pt>
                <c:pt idx="117">
                  <c:v>0.78349999999999997</c:v>
                </c:pt>
                <c:pt idx="118">
                  <c:v>0.79559999999999997</c:v>
                </c:pt>
                <c:pt idx="119">
                  <c:v>0.80720000000000003</c:v>
                </c:pt>
                <c:pt idx="120">
                  <c:v>0.81820000000000004</c:v>
                </c:pt>
                <c:pt idx="121">
                  <c:v>0.82879999999999998</c:v>
                </c:pt>
                <c:pt idx="122">
                  <c:v>0.83889999999999998</c:v>
                </c:pt>
              </c:numCache>
            </c:numRef>
          </c:yVal>
          <c:smooth val="0"/>
          <c:extLst>
            <c:ext xmlns:c16="http://schemas.microsoft.com/office/drawing/2014/chart" uri="{C3380CC4-5D6E-409C-BE32-E72D297353CC}">
              <c16:uniqueId val="{00000000-6743-4531-8556-B6224B285038}"/>
            </c:ext>
          </c:extLst>
        </c:ser>
        <c:dLbls>
          <c:showLegendKey val="0"/>
          <c:showVal val="0"/>
          <c:showCatName val="0"/>
          <c:showSerName val="0"/>
          <c:showPercent val="0"/>
          <c:showBubbleSize val="0"/>
        </c:dLbls>
        <c:axId val="538214152"/>
        <c:axId val="538215136"/>
      </c:scatterChart>
      <c:valAx>
        <c:axId val="538214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Position in Linac (m)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215136"/>
        <c:crosses val="autoZero"/>
        <c:crossBetween val="midCat"/>
      </c:valAx>
      <c:valAx>
        <c:axId val="53821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Transit Time Factor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2141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A8924DA-916E-48E1-AED1-F1CE9880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Physics Requirement Document (PRD)</vt:lpstr>
    </vt:vector>
  </TitlesOfParts>
  <Manager/>
  <Company>Fermi National Accelerator Laboratory</Company>
  <LinksUpToDate>false</LinksUpToDate>
  <CharactersWithSpaces>19595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Requirement Document (PRD)</dc:title>
  <dc:subject>Linac RF System PRD</dc:subject>
  <dc:creator>Alex Martinez</dc:creator>
  <cp:keywords/>
  <dc:description/>
  <cp:lastModifiedBy>James M Steimel</cp:lastModifiedBy>
  <cp:revision>51</cp:revision>
  <cp:lastPrinted>2019-10-06T18:16:00Z</cp:lastPrinted>
  <dcterms:created xsi:type="dcterms:W3CDTF">2019-12-07T13:41:00Z</dcterms:created>
  <dcterms:modified xsi:type="dcterms:W3CDTF">2020-05-06T15:54:00Z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ED0010220</vt:lpwstr>
  </property>
  <property fmtid="{D5CDD505-2E9C-101B-9397-08002B2CF9AE}" pid="3" name="Project">
    <vt:lpwstr>PIP-II</vt:lpwstr>
  </property>
</Properties>
</file>