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1805" w14:textId="77777777" w:rsidR="001602A7" w:rsidRPr="00A75522" w:rsidRDefault="001602A7" w:rsidP="00677435">
      <w:pPr>
        <w:pStyle w:val="NotesBody11pt"/>
        <w:spacing w:line="240" w:lineRule="auto"/>
        <w:rPr>
          <w:rFonts w:ascii="Arial" w:hAnsi="Arial" w:cs="Arial"/>
          <w:color w:val="004C97"/>
        </w:rPr>
      </w:pPr>
    </w:p>
    <w:p w14:paraId="758A7E16" w14:textId="77777777" w:rsidR="00B4298F" w:rsidRPr="00A75522" w:rsidRDefault="00B4298F" w:rsidP="00677435">
      <w:pPr>
        <w:pStyle w:val="NotesBody11pt"/>
        <w:spacing w:line="240" w:lineRule="auto"/>
        <w:rPr>
          <w:rFonts w:ascii="Arial" w:hAnsi="Arial" w:cs="Arial"/>
          <w:color w:val="004C97"/>
        </w:rPr>
      </w:pPr>
    </w:p>
    <w:p w14:paraId="5D13FF03" w14:textId="77777777" w:rsidR="00B4298F" w:rsidRPr="00A75522" w:rsidRDefault="00B4298F" w:rsidP="00677435">
      <w:pPr>
        <w:pStyle w:val="NotesBody11pt"/>
        <w:spacing w:line="240" w:lineRule="auto"/>
        <w:rPr>
          <w:rFonts w:ascii="Arial" w:hAnsi="Arial" w:cs="Arial"/>
          <w:color w:val="004C97"/>
        </w:rPr>
      </w:pPr>
    </w:p>
    <w:p w14:paraId="632AFB04" w14:textId="77777777" w:rsidR="00B4298F" w:rsidRPr="00A75522" w:rsidRDefault="00B4298F" w:rsidP="00677435">
      <w:pPr>
        <w:pStyle w:val="NotesBody11pt"/>
        <w:spacing w:line="240" w:lineRule="auto"/>
        <w:rPr>
          <w:rFonts w:ascii="Arial" w:hAnsi="Arial" w:cs="Arial"/>
          <w:color w:val="004C97"/>
        </w:rPr>
      </w:pPr>
    </w:p>
    <w:p w14:paraId="02ECBBFF" w14:textId="77777777" w:rsidR="00067F4F" w:rsidRPr="00A75522" w:rsidRDefault="00067F4F" w:rsidP="00677435">
      <w:pPr>
        <w:pStyle w:val="NotesBody11pt"/>
        <w:spacing w:line="240" w:lineRule="auto"/>
        <w:rPr>
          <w:rFonts w:ascii="Arial" w:hAnsi="Arial" w:cs="Arial"/>
          <w:color w:val="004C97"/>
        </w:rPr>
      </w:pPr>
    </w:p>
    <w:p w14:paraId="38106C34" w14:textId="1E7A4A52" w:rsidR="002A2203" w:rsidRPr="00A75522" w:rsidRDefault="005A0745" w:rsidP="005C373D">
      <w:pPr>
        <w:pStyle w:val="Title24pt"/>
        <w:spacing w:line="240" w:lineRule="auto"/>
        <w:jc w:val="center"/>
        <w:rPr>
          <w:rFonts w:ascii="Arial" w:hAnsi="Arial" w:cs="Arial"/>
          <w:b w:val="0"/>
        </w:rPr>
      </w:pPr>
      <w:r w:rsidRPr="00A75522">
        <w:rPr>
          <w:rFonts w:ascii="Arial" w:hAnsi="Arial" w:cs="Arial"/>
          <w:b w:val="0"/>
          <w:bCs/>
        </w:rPr>
        <w:t xml:space="preserve">PIP2IT </w:t>
      </w:r>
      <w:r w:rsidR="007062DF" w:rsidRPr="00A75522">
        <w:rPr>
          <w:rFonts w:ascii="Arial" w:hAnsi="Arial" w:cs="Arial"/>
          <w:b w:val="0"/>
        </w:rPr>
        <w:t xml:space="preserve">HPRF Distribution </w:t>
      </w:r>
    </w:p>
    <w:p w14:paraId="4EF4DC8F" w14:textId="4F004BA4" w:rsidR="009C1A25" w:rsidRPr="00A75522" w:rsidRDefault="002A2203" w:rsidP="005C373D">
      <w:pPr>
        <w:pStyle w:val="Title24pt"/>
        <w:spacing w:line="240" w:lineRule="auto"/>
        <w:jc w:val="center"/>
        <w:rPr>
          <w:rFonts w:ascii="Arial" w:hAnsi="Arial" w:cs="Arial"/>
          <w:b w:val="0"/>
        </w:rPr>
      </w:pPr>
      <w:r w:rsidRPr="00A75522">
        <w:rPr>
          <w:rFonts w:ascii="Arial" w:hAnsi="Arial" w:cs="Arial"/>
          <w:b w:val="0"/>
        </w:rPr>
        <w:t>Quality Control Plan</w:t>
      </w:r>
    </w:p>
    <w:p w14:paraId="7945F000" w14:textId="77777777" w:rsidR="00B4298F" w:rsidRPr="00A75522" w:rsidRDefault="00B4298F" w:rsidP="00677435">
      <w:pPr>
        <w:pStyle w:val="NotesBody11pt"/>
        <w:spacing w:line="240" w:lineRule="auto"/>
        <w:rPr>
          <w:rFonts w:ascii="Arial" w:hAnsi="Arial" w:cs="Arial"/>
          <w:color w:val="004C97"/>
        </w:rPr>
      </w:pPr>
    </w:p>
    <w:tbl>
      <w:tblPr>
        <w:tblStyle w:val="TableGrid"/>
        <w:tblW w:w="10075" w:type="dxa"/>
        <w:tblLook w:val="04A0" w:firstRow="1" w:lastRow="0" w:firstColumn="1" w:lastColumn="0" w:noHBand="0" w:noVBand="1"/>
      </w:tblPr>
      <w:tblGrid>
        <w:gridCol w:w="7465"/>
        <w:gridCol w:w="2610"/>
      </w:tblGrid>
      <w:tr w:rsidR="007B2E8F" w:rsidRPr="00A75522" w14:paraId="5429A042" w14:textId="77777777" w:rsidTr="6DCA0575">
        <w:tc>
          <w:tcPr>
            <w:tcW w:w="7465" w:type="dxa"/>
          </w:tcPr>
          <w:p w14:paraId="5A2D9B75" w14:textId="2E1907D5" w:rsidR="007062DF" w:rsidRPr="00A75522" w:rsidRDefault="6DCA0575" w:rsidP="6DCA0575">
            <w:pPr>
              <w:pStyle w:val="NotesBody11pt"/>
              <w:spacing w:line="240" w:lineRule="auto"/>
              <w:rPr>
                <w:rFonts w:ascii="Arial" w:hAnsi="Arial" w:cs="Arial"/>
                <w:color w:val="004C97"/>
              </w:rPr>
            </w:pPr>
            <w:r w:rsidRPr="00A75522">
              <w:rPr>
                <w:rFonts w:ascii="Arial" w:hAnsi="Arial" w:cs="Arial"/>
                <w:color w:val="004C97"/>
              </w:rPr>
              <w:t>Name: Victor Grzelak</w:t>
            </w:r>
          </w:p>
          <w:p w14:paraId="17CD6483" w14:textId="64444FAF" w:rsidR="007062DF" w:rsidRPr="00A75522" w:rsidRDefault="6DCA0575" w:rsidP="6DCA0575">
            <w:pPr>
              <w:pStyle w:val="NotesBody11pt"/>
              <w:spacing w:line="240" w:lineRule="auto"/>
              <w:rPr>
                <w:rFonts w:ascii="Arial" w:hAnsi="Arial" w:cs="Arial"/>
                <w:color w:val="004C97"/>
              </w:rPr>
            </w:pPr>
            <w:r w:rsidRPr="00A75522">
              <w:rPr>
                <w:rFonts w:ascii="Arial" w:hAnsi="Arial" w:cs="Arial"/>
                <w:color w:val="004C97"/>
              </w:rPr>
              <w:t xml:space="preserve">Org: </w:t>
            </w:r>
            <w:r w:rsidR="00F50517" w:rsidRPr="00A75522">
              <w:rPr>
                <w:rFonts w:ascii="Arial" w:hAnsi="Arial" w:cs="Arial"/>
                <w:color w:val="004C97"/>
              </w:rPr>
              <w:t>PIPII/TI</w:t>
            </w:r>
          </w:p>
          <w:p w14:paraId="5448ED30" w14:textId="68A10EB2" w:rsidR="007062DF" w:rsidRPr="00A75522" w:rsidRDefault="6DCA0575" w:rsidP="6DCA0575">
            <w:pPr>
              <w:pStyle w:val="NotesBody11pt"/>
              <w:spacing w:line="240" w:lineRule="auto"/>
              <w:rPr>
                <w:rFonts w:ascii="Arial" w:hAnsi="Arial" w:cs="Arial"/>
                <w:color w:val="004C97"/>
              </w:rPr>
            </w:pPr>
            <w:r w:rsidRPr="00A75522">
              <w:rPr>
                <w:rFonts w:ascii="Arial" w:hAnsi="Arial" w:cs="Arial"/>
                <w:color w:val="004C97"/>
              </w:rPr>
              <w:t>Contact: x6442</w:t>
            </w:r>
          </w:p>
          <w:p w14:paraId="0B15311B" w14:textId="14D82EEF" w:rsidR="007B2E8F" w:rsidRPr="00A75522" w:rsidRDefault="6DCA0575" w:rsidP="6DCA0575">
            <w:pPr>
              <w:pStyle w:val="NotesBody11pt"/>
              <w:spacing w:line="240" w:lineRule="auto"/>
              <w:rPr>
                <w:rFonts w:ascii="Arial" w:hAnsi="Arial" w:cs="Arial"/>
                <w:color w:val="004C97"/>
              </w:rPr>
            </w:pPr>
            <w:r w:rsidRPr="00A75522">
              <w:rPr>
                <w:rFonts w:ascii="Arial" w:hAnsi="Arial" w:cs="Arial"/>
                <w:color w:val="004C97"/>
              </w:rPr>
              <w:t xml:space="preserve">Role: </w:t>
            </w:r>
            <w:r w:rsidR="008771B4" w:rsidRPr="00A75522">
              <w:rPr>
                <w:rFonts w:ascii="Arial" w:hAnsi="Arial" w:cs="Arial"/>
                <w:color w:val="004C97"/>
              </w:rPr>
              <w:t>Deputy L3 Manager</w:t>
            </w:r>
          </w:p>
        </w:tc>
        <w:tc>
          <w:tcPr>
            <w:tcW w:w="2610" w:type="dxa"/>
          </w:tcPr>
          <w:p w14:paraId="47098B16" w14:textId="6B854F9E" w:rsidR="007B2E8F" w:rsidRPr="00A75522" w:rsidRDefault="6DCA0575" w:rsidP="6DCA0575">
            <w:pPr>
              <w:pStyle w:val="NotesBody11pt"/>
              <w:spacing w:line="240" w:lineRule="auto"/>
              <w:rPr>
                <w:rFonts w:ascii="Arial" w:hAnsi="Arial" w:cs="Arial"/>
                <w:color w:val="004C97"/>
              </w:rPr>
            </w:pPr>
            <w:r w:rsidRPr="00A75522">
              <w:rPr>
                <w:rFonts w:ascii="Arial" w:hAnsi="Arial" w:cs="Arial"/>
                <w:color w:val="004C97"/>
              </w:rPr>
              <w:t xml:space="preserve">Date: </w:t>
            </w:r>
            <w:r w:rsidR="00874713" w:rsidRPr="00A75522">
              <w:rPr>
                <w:rFonts w:ascii="Arial" w:hAnsi="Arial" w:cs="Arial"/>
                <w:color w:val="004C97"/>
              </w:rPr>
              <w:t>8</w:t>
            </w:r>
            <w:r w:rsidRPr="00A75522">
              <w:rPr>
                <w:rFonts w:ascii="Arial" w:hAnsi="Arial" w:cs="Arial"/>
                <w:color w:val="004C97"/>
              </w:rPr>
              <w:t>/</w:t>
            </w:r>
            <w:r w:rsidR="00874713" w:rsidRPr="00A75522">
              <w:rPr>
                <w:rFonts w:ascii="Arial" w:hAnsi="Arial" w:cs="Arial"/>
                <w:color w:val="004C97"/>
              </w:rPr>
              <w:t>4</w:t>
            </w:r>
            <w:r w:rsidRPr="00A75522">
              <w:rPr>
                <w:rFonts w:ascii="Arial" w:hAnsi="Arial" w:cs="Arial"/>
                <w:color w:val="004C97"/>
              </w:rPr>
              <w:t>/20</w:t>
            </w:r>
            <w:r w:rsidR="00874713" w:rsidRPr="00A75522">
              <w:rPr>
                <w:rFonts w:ascii="Arial" w:hAnsi="Arial" w:cs="Arial"/>
                <w:color w:val="004C97"/>
              </w:rPr>
              <w:t>20</w:t>
            </w:r>
          </w:p>
        </w:tc>
      </w:tr>
      <w:tr w:rsidR="007B2E8F" w:rsidRPr="00A75522" w14:paraId="1223BF65" w14:textId="77777777" w:rsidTr="6DCA0575">
        <w:tc>
          <w:tcPr>
            <w:tcW w:w="7465" w:type="dxa"/>
          </w:tcPr>
          <w:p w14:paraId="2448BE05" w14:textId="755DC122" w:rsidR="007062DF" w:rsidRPr="00A75522" w:rsidRDefault="008771B4" w:rsidP="007062DF">
            <w:pPr>
              <w:pStyle w:val="NotesBody11pt"/>
              <w:spacing w:line="240" w:lineRule="auto"/>
              <w:rPr>
                <w:rFonts w:ascii="Arial" w:hAnsi="Arial" w:cs="Arial"/>
                <w:color w:val="004C97"/>
              </w:rPr>
            </w:pPr>
            <w:r w:rsidRPr="00A75522">
              <w:rPr>
                <w:rFonts w:ascii="Arial" w:hAnsi="Arial" w:cs="Arial"/>
                <w:color w:val="004C97"/>
              </w:rPr>
              <w:t>Approver</w:t>
            </w:r>
            <w:r w:rsidR="007062DF" w:rsidRPr="00A75522">
              <w:rPr>
                <w:rFonts w:ascii="Arial" w:hAnsi="Arial" w:cs="Arial"/>
                <w:color w:val="004C97"/>
              </w:rPr>
              <w:t>:</w:t>
            </w:r>
            <w:r w:rsidR="00D060AD" w:rsidRPr="00A75522">
              <w:rPr>
                <w:rFonts w:ascii="Arial" w:hAnsi="Arial" w:cs="Arial"/>
                <w:color w:val="004C97"/>
              </w:rPr>
              <w:t xml:space="preserve"> </w:t>
            </w:r>
            <w:r w:rsidRPr="00A75522">
              <w:rPr>
                <w:rFonts w:ascii="Arial" w:hAnsi="Arial" w:cs="Arial"/>
                <w:color w:val="004C97"/>
              </w:rPr>
              <w:t xml:space="preserve">Tom </w:t>
            </w:r>
            <w:proofErr w:type="spellStart"/>
            <w:r w:rsidRPr="00A75522">
              <w:rPr>
                <w:rFonts w:ascii="Arial" w:hAnsi="Arial" w:cs="Arial"/>
                <w:color w:val="004C97"/>
              </w:rPr>
              <w:t>Digrazia</w:t>
            </w:r>
            <w:proofErr w:type="spellEnd"/>
          </w:p>
          <w:p w14:paraId="15AE8D87" w14:textId="04E1D4B0" w:rsidR="007062DF" w:rsidRPr="00A75522" w:rsidRDefault="007062DF" w:rsidP="007062DF">
            <w:pPr>
              <w:pStyle w:val="NotesBody11pt"/>
              <w:spacing w:line="240" w:lineRule="auto"/>
              <w:rPr>
                <w:rFonts w:ascii="Arial" w:hAnsi="Arial" w:cs="Arial"/>
                <w:color w:val="004C97"/>
              </w:rPr>
            </w:pPr>
            <w:r w:rsidRPr="00A75522">
              <w:rPr>
                <w:rFonts w:ascii="Arial" w:hAnsi="Arial" w:cs="Arial"/>
                <w:color w:val="004C97"/>
              </w:rPr>
              <w:t>Org:</w:t>
            </w:r>
            <w:r w:rsidR="002C481E" w:rsidRPr="00A75522">
              <w:rPr>
                <w:rFonts w:ascii="Arial" w:hAnsi="Arial" w:cs="Arial"/>
                <w:color w:val="004C97"/>
              </w:rPr>
              <w:t xml:space="preserve"> </w:t>
            </w:r>
            <w:r w:rsidR="008771B4" w:rsidRPr="00A75522">
              <w:rPr>
                <w:rFonts w:ascii="Arial" w:hAnsi="Arial" w:cs="Arial"/>
                <w:color w:val="004C97"/>
              </w:rPr>
              <w:t>PIPII/TI</w:t>
            </w:r>
          </w:p>
          <w:p w14:paraId="64782100" w14:textId="14A89800" w:rsidR="007062DF" w:rsidRPr="00A75522" w:rsidRDefault="007062DF" w:rsidP="007062DF">
            <w:pPr>
              <w:pStyle w:val="NotesBody11pt"/>
              <w:spacing w:line="240" w:lineRule="auto"/>
              <w:rPr>
                <w:rFonts w:ascii="Arial" w:hAnsi="Arial" w:cs="Arial"/>
                <w:color w:val="004C97"/>
              </w:rPr>
            </w:pPr>
            <w:r w:rsidRPr="00A75522">
              <w:rPr>
                <w:rFonts w:ascii="Arial" w:hAnsi="Arial" w:cs="Arial"/>
                <w:color w:val="004C97"/>
              </w:rPr>
              <w:t>Contact:</w:t>
            </w:r>
            <w:r w:rsidR="002C481E" w:rsidRPr="00A75522">
              <w:rPr>
                <w:rFonts w:ascii="Arial" w:hAnsi="Arial" w:cs="Arial"/>
                <w:color w:val="004C97"/>
              </w:rPr>
              <w:t xml:space="preserve"> x3073</w:t>
            </w:r>
          </w:p>
          <w:p w14:paraId="5BF5F8F0" w14:textId="73E33E18" w:rsidR="007B2E8F" w:rsidRPr="00A75522" w:rsidRDefault="008E1A43" w:rsidP="007062DF">
            <w:pPr>
              <w:pStyle w:val="NotesBody11pt"/>
              <w:spacing w:line="240" w:lineRule="auto"/>
              <w:rPr>
                <w:rFonts w:ascii="Arial" w:hAnsi="Arial" w:cs="Arial"/>
                <w:color w:val="004C97"/>
              </w:rPr>
            </w:pPr>
            <w:r w:rsidRPr="00A75522">
              <w:rPr>
                <w:rFonts w:ascii="Arial" w:hAnsi="Arial" w:cs="Arial"/>
                <w:color w:val="004C97"/>
              </w:rPr>
              <w:t xml:space="preserve">Role:  </w:t>
            </w:r>
            <w:r w:rsidR="008771B4" w:rsidRPr="00A75522">
              <w:rPr>
                <w:rFonts w:ascii="Arial" w:hAnsi="Arial" w:cs="Arial"/>
                <w:color w:val="004C97"/>
              </w:rPr>
              <w:t>QC Engineer</w:t>
            </w:r>
          </w:p>
        </w:tc>
        <w:tc>
          <w:tcPr>
            <w:tcW w:w="2610" w:type="dxa"/>
          </w:tcPr>
          <w:p w14:paraId="065BFDC9" w14:textId="77777777" w:rsidR="007B2E8F" w:rsidRPr="00A75522" w:rsidRDefault="007B2E8F" w:rsidP="00677435">
            <w:pPr>
              <w:pStyle w:val="NotesBody11pt"/>
              <w:spacing w:line="240" w:lineRule="auto"/>
              <w:rPr>
                <w:rFonts w:ascii="Arial" w:hAnsi="Arial" w:cs="Arial"/>
                <w:color w:val="004C97"/>
              </w:rPr>
            </w:pPr>
          </w:p>
        </w:tc>
      </w:tr>
      <w:tr w:rsidR="007B2E8F" w:rsidRPr="00A75522" w14:paraId="448867A0" w14:textId="77777777" w:rsidTr="6DCA0575">
        <w:tc>
          <w:tcPr>
            <w:tcW w:w="7465" w:type="dxa"/>
          </w:tcPr>
          <w:p w14:paraId="68CFA3EB" w14:textId="4DA06A4B" w:rsidR="007062DF" w:rsidRPr="00A75522" w:rsidRDefault="008771B4" w:rsidP="007062DF">
            <w:pPr>
              <w:pStyle w:val="NotesBody11pt"/>
              <w:spacing w:line="240" w:lineRule="auto"/>
              <w:rPr>
                <w:rFonts w:ascii="Arial" w:hAnsi="Arial" w:cs="Arial"/>
                <w:color w:val="004C97"/>
              </w:rPr>
            </w:pPr>
            <w:r w:rsidRPr="00A75522">
              <w:rPr>
                <w:rFonts w:ascii="Arial" w:hAnsi="Arial" w:cs="Arial"/>
                <w:color w:val="004C97"/>
              </w:rPr>
              <w:t>Approver</w:t>
            </w:r>
            <w:r w:rsidR="007062DF" w:rsidRPr="00A75522">
              <w:rPr>
                <w:rFonts w:ascii="Arial" w:hAnsi="Arial" w:cs="Arial"/>
                <w:color w:val="004C97"/>
              </w:rPr>
              <w:t>:</w:t>
            </w:r>
            <w:r w:rsidR="00D060AD" w:rsidRPr="00A75522">
              <w:rPr>
                <w:rFonts w:ascii="Arial" w:hAnsi="Arial" w:cs="Arial"/>
                <w:color w:val="004C97"/>
              </w:rPr>
              <w:t xml:space="preserve"> Jim Steimel</w:t>
            </w:r>
          </w:p>
          <w:p w14:paraId="00D04E0F" w14:textId="4C3FD1B6" w:rsidR="007062DF" w:rsidRPr="00A75522" w:rsidRDefault="007062DF" w:rsidP="007062DF">
            <w:pPr>
              <w:pStyle w:val="NotesBody11pt"/>
              <w:spacing w:line="240" w:lineRule="auto"/>
              <w:rPr>
                <w:rFonts w:ascii="Arial" w:hAnsi="Arial" w:cs="Arial"/>
                <w:color w:val="004C97"/>
              </w:rPr>
            </w:pPr>
            <w:r w:rsidRPr="00A75522">
              <w:rPr>
                <w:rFonts w:ascii="Arial" w:hAnsi="Arial" w:cs="Arial"/>
                <w:color w:val="004C97"/>
              </w:rPr>
              <w:t>Org:</w:t>
            </w:r>
            <w:r w:rsidR="002C481E" w:rsidRPr="00A75522">
              <w:rPr>
                <w:rFonts w:ascii="Arial" w:hAnsi="Arial" w:cs="Arial"/>
                <w:color w:val="004C97"/>
              </w:rPr>
              <w:t xml:space="preserve"> PIPII/TI</w:t>
            </w:r>
          </w:p>
          <w:p w14:paraId="524F4733" w14:textId="0F916B0F" w:rsidR="007062DF" w:rsidRPr="00A75522" w:rsidRDefault="007062DF" w:rsidP="007062DF">
            <w:pPr>
              <w:pStyle w:val="NotesBody11pt"/>
              <w:spacing w:line="240" w:lineRule="auto"/>
              <w:rPr>
                <w:rFonts w:ascii="Arial" w:hAnsi="Arial" w:cs="Arial"/>
                <w:color w:val="004C97"/>
              </w:rPr>
            </w:pPr>
            <w:r w:rsidRPr="00A75522">
              <w:rPr>
                <w:rFonts w:ascii="Arial" w:hAnsi="Arial" w:cs="Arial"/>
                <w:color w:val="004C97"/>
              </w:rPr>
              <w:t>Contact:</w:t>
            </w:r>
            <w:r w:rsidR="002C481E" w:rsidRPr="00A75522">
              <w:rPr>
                <w:rFonts w:ascii="Arial" w:hAnsi="Arial" w:cs="Arial"/>
                <w:color w:val="004C97"/>
              </w:rPr>
              <w:t xml:space="preserve"> x4826</w:t>
            </w:r>
          </w:p>
          <w:p w14:paraId="00724216" w14:textId="1100D0A2" w:rsidR="007B2E8F" w:rsidRPr="00A75522" w:rsidRDefault="007062DF" w:rsidP="007062DF">
            <w:pPr>
              <w:pStyle w:val="NotesBody11pt"/>
              <w:spacing w:line="240" w:lineRule="auto"/>
              <w:rPr>
                <w:rFonts w:ascii="Arial" w:hAnsi="Arial" w:cs="Arial"/>
                <w:color w:val="004C97"/>
              </w:rPr>
            </w:pPr>
            <w:r w:rsidRPr="00A75522">
              <w:rPr>
                <w:rFonts w:ascii="Arial" w:hAnsi="Arial" w:cs="Arial"/>
                <w:color w:val="004C97"/>
              </w:rPr>
              <w:t xml:space="preserve">Role:  </w:t>
            </w:r>
            <w:r w:rsidR="002C481E" w:rsidRPr="00A75522">
              <w:rPr>
                <w:rFonts w:ascii="Arial" w:hAnsi="Arial" w:cs="Arial"/>
                <w:color w:val="004C97"/>
              </w:rPr>
              <w:t>L3 Manager</w:t>
            </w:r>
          </w:p>
        </w:tc>
        <w:tc>
          <w:tcPr>
            <w:tcW w:w="2610" w:type="dxa"/>
          </w:tcPr>
          <w:p w14:paraId="3A5E08E7" w14:textId="77777777" w:rsidR="007B2E8F" w:rsidRPr="00A75522" w:rsidRDefault="007B2E8F" w:rsidP="00677435">
            <w:pPr>
              <w:pStyle w:val="NotesBody11pt"/>
              <w:spacing w:line="240" w:lineRule="auto"/>
              <w:rPr>
                <w:rFonts w:ascii="Arial" w:hAnsi="Arial" w:cs="Arial"/>
                <w:color w:val="004C97"/>
              </w:rPr>
            </w:pPr>
          </w:p>
        </w:tc>
      </w:tr>
    </w:tbl>
    <w:p w14:paraId="3ED197A4" w14:textId="77777777" w:rsidR="007B2E8F" w:rsidRPr="00A75522" w:rsidRDefault="007B2E8F" w:rsidP="00677435">
      <w:pPr>
        <w:pStyle w:val="NotesBody11pt"/>
        <w:spacing w:line="240" w:lineRule="auto"/>
        <w:rPr>
          <w:rFonts w:ascii="Arial" w:hAnsi="Arial" w:cs="Arial"/>
          <w:color w:val="004C97"/>
        </w:rPr>
      </w:pPr>
    </w:p>
    <w:p w14:paraId="60D97CCC" w14:textId="77777777" w:rsidR="007B2E8F" w:rsidRPr="00A75522" w:rsidRDefault="007B2E8F" w:rsidP="00677435">
      <w:pPr>
        <w:pStyle w:val="NotesBody11pt"/>
        <w:spacing w:line="240" w:lineRule="auto"/>
        <w:rPr>
          <w:rFonts w:ascii="Arial" w:hAnsi="Arial" w:cs="Arial"/>
          <w:color w:val="004C97"/>
        </w:rPr>
      </w:pPr>
    </w:p>
    <w:p w14:paraId="6043DC6B" w14:textId="77777777" w:rsidR="007B2E8F" w:rsidRPr="00A75522" w:rsidRDefault="007B2E8F" w:rsidP="007B2E8F">
      <w:pPr>
        <w:pStyle w:val="Subtitle16pt"/>
        <w:rPr>
          <w:rFonts w:ascii="Arial" w:hAnsi="Arial" w:cs="Arial"/>
        </w:rPr>
      </w:pPr>
      <w:r w:rsidRPr="00A75522">
        <w:rPr>
          <w:rFonts w:ascii="Arial" w:hAnsi="Arial" w:cs="Arial"/>
        </w:rPr>
        <w:t>Revision History</w:t>
      </w:r>
    </w:p>
    <w:p w14:paraId="266BDAC7" w14:textId="77777777" w:rsidR="00B4298F" w:rsidRPr="00A75522" w:rsidRDefault="00B4298F" w:rsidP="00677435">
      <w:pPr>
        <w:pStyle w:val="NotesBody11pt"/>
        <w:spacing w:line="240" w:lineRule="auto"/>
        <w:rPr>
          <w:rFonts w:ascii="Arial" w:hAnsi="Arial" w:cs="Arial"/>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rsidRPr="00A75522" w14:paraId="4B6ABDB1" w14:textId="77777777" w:rsidTr="0016253E">
        <w:tc>
          <w:tcPr>
            <w:tcW w:w="1060" w:type="dxa"/>
          </w:tcPr>
          <w:p w14:paraId="12B4B8F8" w14:textId="77777777" w:rsidR="0016253E" w:rsidRPr="00A75522" w:rsidRDefault="0016253E" w:rsidP="00677435">
            <w:pPr>
              <w:pStyle w:val="NotesBody11pt"/>
              <w:spacing w:line="240" w:lineRule="auto"/>
              <w:rPr>
                <w:rFonts w:ascii="Arial" w:hAnsi="Arial" w:cs="Arial"/>
                <w:color w:val="004C97"/>
              </w:rPr>
            </w:pPr>
            <w:r w:rsidRPr="00A75522">
              <w:rPr>
                <w:rFonts w:ascii="Arial" w:hAnsi="Arial" w:cs="Arial"/>
                <w:color w:val="004C97"/>
              </w:rPr>
              <w:t>Revision</w:t>
            </w:r>
          </w:p>
        </w:tc>
        <w:tc>
          <w:tcPr>
            <w:tcW w:w="1522" w:type="dxa"/>
          </w:tcPr>
          <w:p w14:paraId="3A28D02B" w14:textId="3B7ED8F4" w:rsidR="0016253E" w:rsidRPr="00A75522" w:rsidRDefault="0016253E" w:rsidP="00677435">
            <w:pPr>
              <w:pStyle w:val="NotesBody11pt"/>
              <w:spacing w:line="240" w:lineRule="auto"/>
              <w:rPr>
                <w:rFonts w:ascii="Arial" w:hAnsi="Arial" w:cs="Arial"/>
                <w:color w:val="004C97"/>
              </w:rPr>
            </w:pPr>
            <w:r w:rsidRPr="00A75522">
              <w:rPr>
                <w:rFonts w:ascii="Arial" w:hAnsi="Arial" w:cs="Arial"/>
                <w:color w:val="004C97"/>
              </w:rPr>
              <w:t>Date Release</w:t>
            </w:r>
          </w:p>
        </w:tc>
        <w:tc>
          <w:tcPr>
            <w:tcW w:w="2093" w:type="dxa"/>
          </w:tcPr>
          <w:p w14:paraId="19122C54" w14:textId="77777777" w:rsidR="0016253E" w:rsidRPr="00A75522" w:rsidRDefault="0016253E" w:rsidP="00677435">
            <w:pPr>
              <w:pStyle w:val="NotesBody11pt"/>
              <w:spacing w:line="240" w:lineRule="auto"/>
              <w:rPr>
                <w:rFonts w:ascii="Arial" w:hAnsi="Arial" w:cs="Arial"/>
                <w:color w:val="004C97"/>
              </w:rPr>
            </w:pPr>
            <w:r w:rsidRPr="00A75522">
              <w:rPr>
                <w:rFonts w:ascii="Arial" w:hAnsi="Arial" w:cs="Arial"/>
                <w:color w:val="004C97"/>
              </w:rPr>
              <w:t>Originator:</w:t>
            </w:r>
          </w:p>
          <w:p w14:paraId="1DD62E5C" w14:textId="258B09D2" w:rsidR="0016253E" w:rsidRPr="00A75522" w:rsidRDefault="0016253E" w:rsidP="00677435">
            <w:pPr>
              <w:pStyle w:val="NotesBody11pt"/>
              <w:spacing w:line="240" w:lineRule="auto"/>
              <w:rPr>
                <w:rFonts w:ascii="Arial" w:hAnsi="Arial" w:cs="Arial"/>
                <w:color w:val="004C97"/>
              </w:rPr>
            </w:pPr>
            <w:r w:rsidRPr="00A75522">
              <w:rPr>
                <w:rFonts w:ascii="Arial" w:hAnsi="Arial" w:cs="Arial"/>
                <w:color w:val="004C97"/>
              </w:rPr>
              <w:t>Role:</w:t>
            </w:r>
          </w:p>
        </w:tc>
        <w:tc>
          <w:tcPr>
            <w:tcW w:w="5395" w:type="dxa"/>
          </w:tcPr>
          <w:p w14:paraId="4AC6E5CD" w14:textId="5FA37BED" w:rsidR="0016253E" w:rsidRPr="00A75522" w:rsidRDefault="0016253E" w:rsidP="00677435">
            <w:pPr>
              <w:pStyle w:val="NotesBody11pt"/>
              <w:spacing w:line="240" w:lineRule="auto"/>
              <w:rPr>
                <w:rFonts w:ascii="Arial" w:hAnsi="Arial" w:cs="Arial"/>
                <w:color w:val="004C97"/>
              </w:rPr>
            </w:pPr>
            <w:r w:rsidRPr="00A75522">
              <w:rPr>
                <w:rFonts w:ascii="Arial" w:hAnsi="Arial" w:cs="Arial"/>
                <w:color w:val="004C97"/>
              </w:rPr>
              <w:t>Description of Change</w:t>
            </w:r>
          </w:p>
        </w:tc>
      </w:tr>
      <w:tr w:rsidR="0016253E" w:rsidRPr="00A75522" w14:paraId="47F3DA56" w14:textId="77777777" w:rsidTr="0016253E">
        <w:tc>
          <w:tcPr>
            <w:tcW w:w="1060" w:type="dxa"/>
          </w:tcPr>
          <w:p w14:paraId="58FC0F6F" w14:textId="219E5D92" w:rsidR="0016253E" w:rsidRPr="00A75522" w:rsidRDefault="00063CE7" w:rsidP="00677435">
            <w:pPr>
              <w:pStyle w:val="NotesBody11pt"/>
              <w:spacing w:line="240" w:lineRule="auto"/>
              <w:rPr>
                <w:rFonts w:ascii="Arial" w:hAnsi="Arial" w:cs="Arial"/>
                <w:color w:val="004C97"/>
              </w:rPr>
            </w:pPr>
            <w:r w:rsidRPr="00A75522">
              <w:rPr>
                <w:rFonts w:ascii="Arial" w:hAnsi="Arial" w:cs="Arial"/>
                <w:color w:val="004C97"/>
              </w:rPr>
              <w:t>A</w:t>
            </w:r>
          </w:p>
        </w:tc>
        <w:tc>
          <w:tcPr>
            <w:tcW w:w="1522" w:type="dxa"/>
          </w:tcPr>
          <w:p w14:paraId="58E8F0E3" w14:textId="6FF54B76" w:rsidR="0016253E" w:rsidRPr="00A75522" w:rsidRDefault="00F50517" w:rsidP="00677435">
            <w:pPr>
              <w:pStyle w:val="NotesBody11pt"/>
              <w:spacing w:line="240" w:lineRule="auto"/>
              <w:rPr>
                <w:rFonts w:ascii="Arial" w:hAnsi="Arial" w:cs="Arial"/>
                <w:color w:val="004C97"/>
              </w:rPr>
            </w:pPr>
            <w:r w:rsidRPr="00A75522">
              <w:rPr>
                <w:rFonts w:ascii="Arial" w:hAnsi="Arial" w:cs="Arial"/>
                <w:color w:val="004C97"/>
              </w:rPr>
              <w:t>8/12/2020</w:t>
            </w:r>
          </w:p>
        </w:tc>
        <w:tc>
          <w:tcPr>
            <w:tcW w:w="2093" w:type="dxa"/>
          </w:tcPr>
          <w:p w14:paraId="361C943B" w14:textId="503A0393" w:rsidR="0016253E" w:rsidRPr="00A75522" w:rsidRDefault="00063CE7" w:rsidP="00677435">
            <w:pPr>
              <w:pStyle w:val="NotesBody11pt"/>
              <w:spacing w:line="240" w:lineRule="auto"/>
              <w:rPr>
                <w:rFonts w:ascii="Arial" w:hAnsi="Arial" w:cs="Arial"/>
                <w:color w:val="004C97"/>
              </w:rPr>
            </w:pPr>
            <w:r w:rsidRPr="00A75522">
              <w:rPr>
                <w:rFonts w:ascii="Arial" w:hAnsi="Arial" w:cs="Arial"/>
                <w:color w:val="004C97"/>
              </w:rPr>
              <w:t>Coordinator</w:t>
            </w:r>
          </w:p>
        </w:tc>
        <w:tc>
          <w:tcPr>
            <w:tcW w:w="5395" w:type="dxa"/>
          </w:tcPr>
          <w:p w14:paraId="7B6E0CF4" w14:textId="071A9E6B" w:rsidR="0016253E" w:rsidRPr="00A75522" w:rsidRDefault="0016253E" w:rsidP="00677435">
            <w:pPr>
              <w:pStyle w:val="NotesBody11pt"/>
              <w:spacing w:line="240" w:lineRule="auto"/>
              <w:rPr>
                <w:rFonts w:ascii="Arial" w:hAnsi="Arial" w:cs="Arial"/>
                <w:color w:val="004C97"/>
              </w:rPr>
            </w:pPr>
          </w:p>
        </w:tc>
      </w:tr>
      <w:tr w:rsidR="0016253E" w:rsidRPr="00A75522" w14:paraId="649986B7" w14:textId="77777777" w:rsidTr="0016253E">
        <w:tc>
          <w:tcPr>
            <w:tcW w:w="1060" w:type="dxa"/>
          </w:tcPr>
          <w:p w14:paraId="710BEC15" w14:textId="77777777" w:rsidR="0016253E" w:rsidRPr="00A75522" w:rsidRDefault="0016253E" w:rsidP="00677435">
            <w:pPr>
              <w:pStyle w:val="NotesBody11pt"/>
              <w:spacing w:line="240" w:lineRule="auto"/>
              <w:rPr>
                <w:rFonts w:ascii="Arial" w:hAnsi="Arial" w:cs="Arial"/>
                <w:color w:val="004C97"/>
              </w:rPr>
            </w:pPr>
          </w:p>
        </w:tc>
        <w:tc>
          <w:tcPr>
            <w:tcW w:w="1522" w:type="dxa"/>
          </w:tcPr>
          <w:p w14:paraId="716CCF79" w14:textId="77777777" w:rsidR="0016253E" w:rsidRPr="00A75522" w:rsidRDefault="0016253E" w:rsidP="00677435">
            <w:pPr>
              <w:pStyle w:val="NotesBody11pt"/>
              <w:spacing w:line="240" w:lineRule="auto"/>
              <w:rPr>
                <w:rFonts w:ascii="Arial" w:hAnsi="Arial" w:cs="Arial"/>
                <w:color w:val="004C97"/>
              </w:rPr>
            </w:pPr>
          </w:p>
        </w:tc>
        <w:tc>
          <w:tcPr>
            <w:tcW w:w="2093" w:type="dxa"/>
          </w:tcPr>
          <w:p w14:paraId="2A3A25EE" w14:textId="77777777" w:rsidR="0016253E" w:rsidRPr="00A75522" w:rsidRDefault="0016253E" w:rsidP="00677435">
            <w:pPr>
              <w:pStyle w:val="NotesBody11pt"/>
              <w:spacing w:line="240" w:lineRule="auto"/>
              <w:rPr>
                <w:rFonts w:ascii="Arial" w:hAnsi="Arial" w:cs="Arial"/>
                <w:color w:val="004C97"/>
              </w:rPr>
            </w:pPr>
          </w:p>
        </w:tc>
        <w:tc>
          <w:tcPr>
            <w:tcW w:w="5395" w:type="dxa"/>
          </w:tcPr>
          <w:p w14:paraId="766039E2" w14:textId="1733686F" w:rsidR="0016253E" w:rsidRPr="00A75522" w:rsidRDefault="0016253E" w:rsidP="00677435">
            <w:pPr>
              <w:pStyle w:val="NotesBody11pt"/>
              <w:spacing w:line="240" w:lineRule="auto"/>
              <w:rPr>
                <w:rFonts w:ascii="Arial" w:hAnsi="Arial" w:cs="Arial"/>
                <w:color w:val="004C97"/>
              </w:rPr>
            </w:pPr>
          </w:p>
        </w:tc>
      </w:tr>
    </w:tbl>
    <w:p w14:paraId="70D1FECF" w14:textId="6DF589ED" w:rsidR="004D3ED7" w:rsidRPr="00A75522" w:rsidRDefault="007062DF" w:rsidP="007062DF">
      <w:pPr>
        <w:pStyle w:val="NotesBody11pt"/>
        <w:spacing w:line="240" w:lineRule="auto"/>
        <w:jc w:val="left"/>
        <w:rPr>
          <w:rFonts w:ascii="Arial" w:hAnsi="Arial" w:cs="Arial"/>
          <w:color w:val="004C97"/>
        </w:rPr>
      </w:pPr>
      <w:r w:rsidRPr="00A75522">
        <w:rPr>
          <w:rFonts w:ascii="Arial" w:hAnsi="Arial" w:cs="Arial"/>
          <w:i/>
          <w:sz w:val="20"/>
        </w:rPr>
        <w:t>Revision control is managed via Fermilab Teamcenter Workflows.</w:t>
      </w:r>
      <w:r w:rsidRPr="00A75522">
        <w:rPr>
          <w:rFonts w:ascii="Arial" w:hAnsi="Arial" w:cs="Arial"/>
          <w:i/>
          <w:sz w:val="20"/>
        </w:rPr>
        <w:br/>
      </w:r>
    </w:p>
    <w:sdt>
      <w:sdtPr>
        <w:rPr>
          <w:rFonts w:ascii="Arial" w:eastAsia="MS Mincho" w:hAnsi="Arial" w:cs="Arial"/>
          <w:color w:val="auto"/>
          <w:spacing w:val="0"/>
          <w:kern w:val="0"/>
          <w:sz w:val="20"/>
          <w:szCs w:val="24"/>
        </w:rPr>
        <w:id w:val="-1808071810"/>
        <w:docPartObj>
          <w:docPartGallery w:val="Table of Contents"/>
          <w:docPartUnique/>
        </w:docPartObj>
      </w:sdtPr>
      <w:sdtEndPr>
        <w:rPr>
          <w:b/>
          <w:bCs/>
          <w:noProof/>
        </w:rPr>
      </w:sdtEndPr>
      <w:sdtContent>
        <w:p w14:paraId="40751F21" w14:textId="77777777" w:rsidR="005B1C2F" w:rsidRPr="00A75522" w:rsidRDefault="005B1C2F" w:rsidP="00677435">
          <w:pPr>
            <w:pStyle w:val="TOCHeading"/>
            <w:rPr>
              <w:rFonts w:ascii="Arial" w:hAnsi="Arial" w:cs="Arial"/>
            </w:rPr>
          </w:pPr>
          <w:r w:rsidRPr="00A75522">
            <w:rPr>
              <w:rFonts w:ascii="Arial" w:hAnsi="Arial" w:cs="Arial"/>
            </w:rPr>
            <w:t>Table of Contents</w:t>
          </w:r>
        </w:p>
        <w:p w14:paraId="683801F0" w14:textId="77777777" w:rsidR="00817DFD" w:rsidRPr="00A75522" w:rsidRDefault="00817DFD" w:rsidP="00677435">
          <w:pPr>
            <w:rPr>
              <w:rFonts w:ascii="Arial" w:hAnsi="Arial" w:cs="Arial"/>
            </w:rPr>
          </w:pPr>
        </w:p>
        <w:p w14:paraId="6CA9BADB" w14:textId="358F2DB6" w:rsidR="00F145FD" w:rsidRPr="00A75522" w:rsidRDefault="00F145FD">
          <w:pPr>
            <w:pStyle w:val="TOC1"/>
            <w:rPr>
              <w:rFonts w:ascii="Arial" w:eastAsiaTheme="minorEastAsia" w:hAnsi="Arial" w:cs="Arial"/>
              <w:szCs w:val="22"/>
            </w:rPr>
          </w:pPr>
          <w:r w:rsidRPr="00A75522">
            <w:rPr>
              <w:rFonts w:ascii="Arial" w:hAnsi="Arial" w:cs="Arial"/>
            </w:rPr>
            <w:fldChar w:fldCharType="begin"/>
          </w:r>
          <w:r w:rsidRPr="00A75522">
            <w:rPr>
              <w:rFonts w:ascii="Arial" w:hAnsi="Arial" w:cs="Arial"/>
            </w:rPr>
            <w:instrText xml:space="preserve"> TOC \o "1-1" \h \z \u </w:instrText>
          </w:r>
          <w:r w:rsidRPr="00A75522">
            <w:rPr>
              <w:rFonts w:ascii="Arial" w:hAnsi="Arial" w:cs="Arial"/>
            </w:rPr>
            <w:fldChar w:fldCharType="separate"/>
          </w:r>
          <w:hyperlink w:anchor="_Toc513464569" w:history="1">
            <w:r w:rsidRPr="00A75522">
              <w:rPr>
                <w:rStyle w:val="Hyperlink"/>
                <w:rFonts w:ascii="Arial" w:hAnsi="Arial" w:cs="Arial"/>
              </w:rPr>
              <w:t>1.</w:t>
            </w:r>
            <w:r w:rsidRPr="00A75522">
              <w:rPr>
                <w:rFonts w:ascii="Arial" w:eastAsiaTheme="minorEastAsia" w:hAnsi="Arial" w:cs="Arial"/>
                <w:szCs w:val="22"/>
              </w:rPr>
              <w:tab/>
            </w:r>
            <w:r w:rsidRPr="00A75522">
              <w:rPr>
                <w:rStyle w:val="Hyperlink"/>
                <w:rFonts w:ascii="Arial" w:hAnsi="Arial" w:cs="Arial"/>
              </w:rPr>
              <w:t>Introduction</w:t>
            </w:r>
            <w:r w:rsidRPr="00A75522">
              <w:rPr>
                <w:rFonts w:ascii="Arial" w:hAnsi="Arial" w:cs="Arial"/>
                <w:webHidden/>
              </w:rPr>
              <w:tab/>
            </w:r>
            <w:r w:rsidRPr="00A75522">
              <w:rPr>
                <w:rFonts w:ascii="Arial" w:hAnsi="Arial" w:cs="Arial"/>
                <w:webHidden/>
              </w:rPr>
              <w:fldChar w:fldCharType="begin"/>
            </w:r>
            <w:r w:rsidRPr="00A75522">
              <w:rPr>
                <w:rFonts w:ascii="Arial" w:hAnsi="Arial" w:cs="Arial"/>
                <w:webHidden/>
              </w:rPr>
              <w:instrText xml:space="preserve"> PAGEREF _Toc513464569 \h </w:instrText>
            </w:r>
            <w:r w:rsidRPr="00A75522">
              <w:rPr>
                <w:rFonts w:ascii="Arial" w:hAnsi="Arial" w:cs="Arial"/>
                <w:webHidden/>
              </w:rPr>
            </w:r>
            <w:r w:rsidRPr="00A75522">
              <w:rPr>
                <w:rFonts w:ascii="Arial" w:hAnsi="Arial" w:cs="Arial"/>
                <w:webHidden/>
              </w:rPr>
              <w:fldChar w:fldCharType="separate"/>
            </w:r>
            <w:r w:rsidR="00611B67" w:rsidRPr="00A75522">
              <w:rPr>
                <w:rFonts w:ascii="Arial" w:hAnsi="Arial" w:cs="Arial"/>
                <w:webHidden/>
              </w:rPr>
              <w:t>3</w:t>
            </w:r>
            <w:r w:rsidRPr="00A75522">
              <w:rPr>
                <w:rFonts w:ascii="Arial" w:hAnsi="Arial" w:cs="Arial"/>
                <w:webHidden/>
              </w:rPr>
              <w:fldChar w:fldCharType="end"/>
            </w:r>
          </w:hyperlink>
        </w:p>
        <w:p w14:paraId="46725AFF" w14:textId="0F18B92E" w:rsidR="00F145FD" w:rsidRPr="00A75522" w:rsidRDefault="00ED3C67">
          <w:pPr>
            <w:pStyle w:val="TOC1"/>
            <w:rPr>
              <w:rFonts w:ascii="Arial" w:eastAsiaTheme="minorEastAsia" w:hAnsi="Arial" w:cs="Arial"/>
              <w:szCs w:val="22"/>
            </w:rPr>
          </w:pPr>
          <w:hyperlink w:anchor="_Toc513464570" w:history="1">
            <w:r w:rsidR="00F145FD" w:rsidRPr="00A75522">
              <w:rPr>
                <w:rStyle w:val="Hyperlink"/>
                <w:rFonts w:ascii="Arial" w:hAnsi="Arial" w:cs="Arial"/>
              </w:rPr>
              <w:t>2.</w:t>
            </w:r>
            <w:r w:rsidR="00F145FD" w:rsidRPr="00A75522">
              <w:rPr>
                <w:rFonts w:ascii="Arial" w:eastAsiaTheme="minorEastAsia" w:hAnsi="Arial" w:cs="Arial"/>
                <w:szCs w:val="22"/>
              </w:rPr>
              <w:tab/>
            </w:r>
            <w:r w:rsidR="00F145FD" w:rsidRPr="00A75522">
              <w:rPr>
                <w:rStyle w:val="Hyperlink"/>
                <w:rFonts w:ascii="Arial" w:hAnsi="Arial" w:cs="Arial"/>
              </w:rPr>
              <w:t>Review Agenda</w:t>
            </w:r>
            <w:r w:rsidR="00F145FD" w:rsidRPr="00A75522">
              <w:rPr>
                <w:rFonts w:ascii="Arial" w:hAnsi="Arial" w:cs="Arial"/>
                <w:webHidden/>
              </w:rPr>
              <w:tab/>
            </w:r>
            <w:r w:rsidR="00F145FD" w:rsidRPr="00A75522">
              <w:rPr>
                <w:rFonts w:ascii="Arial" w:hAnsi="Arial" w:cs="Arial"/>
                <w:webHidden/>
              </w:rPr>
              <w:fldChar w:fldCharType="begin"/>
            </w:r>
            <w:r w:rsidR="00F145FD" w:rsidRPr="00A75522">
              <w:rPr>
                <w:rFonts w:ascii="Arial" w:hAnsi="Arial" w:cs="Arial"/>
                <w:webHidden/>
              </w:rPr>
              <w:instrText xml:space="preserve"> PAGEREF _Toc513464570 \h </w:instrText>
            </w:r>
            <w:r w:rsidR="00F145FD" w:rsidRPr="00A75522">
              <w:rPr>
                <w:rFonts w:ascii="Arial" w:hAnsi="Arial" w:cs="Arial"/>
                <w:webHidden/>
              </w:rPr>
            </w:r>
            <w:r w:rsidR="00F145FD" w:rsidRPr="00A75522">
              <w:rPr>
                <w:rFonts w:ascii="Arial" w:hAnsi="Arial" w:cs="Arial"/>
                <w:webHidden/>
              </w:rPr>
              <w:fldChar w:fldCharType="separate"/>
            </w:r>
            <w:r w:rsidR="00611B67" w:rsidRPr="00A75522">
              <w:rPr>
                <w:rFonts w:ascii="Arial" w:hAnsi="Arial" w:cs="Arial"/>
                <w:webHidden/>
              </w:rPr>
              <w:t>3</w:t>
            </w:r>
            <w:r w:rsidR="00F145FD" w:rsidRPr="00A75522">
              <w:rPr>
                <w:rFonts w:ascii="Arial" w:hAnsi="Arial" w:cs="Arial"/>
                <w:webHidden/>
              </w:rPr>
              <w:fldChar w:fldCharType="end"/>
            </w:r>
          </w:hyperlink>
        </w:p>
        <w:p w14:paraId="2C19B0CB" w14:textId="7D7B2831" w:rsidR="00F145FD" w:rsidRPr="00A75522" w:rsidRDefault="00ED3C67">
          <w:pPr>
            <w:pStyle w:val="TOC1"/>
            <w:rPr>
              <w:rFonts w:ascii="Arial" w:eastAsiaTheme="minorEastAsia" w:hAnsi="Arial" w:cs="Arial"/>
              <w:szCs w:val="22"/>
            </w:rPr>
          </w:pPr>
          <w:hyperlink w:anchor="_Toc513464571" w:history="1">
            <w:r w:rsidR="00F145FD" w:rsidRPr="00A75522">
              <w:rPr>
                <w:rStyle w:val="Hyperlink"/>
                <w:rFonts w:ascii="Arial" w:hAnsi="Arial" w:cs="Arial"/>
              </w:rPr>
              <w:t>3.</w:t>
            </w:r>
            <w:r w:rsidR="00F145FD" w:rsidRPr="00A75522">
              <w:rPr>
                <w:rFonts w:ascii="Arial" w:eastAsiaTheme="minorEastAsia" w:hAnsi="Arial" w:cs="Arial"/>
                <w:szCs w:val="22"/>
              </w:rPr>
              <w:tab/>
            </w:r>
            <w:r w:rsidR="00F145FD" w:rsidRPr="00A75522">
              <w:rPr>
                <w:rStyle w:val="Hyperlink"/>
                <w:rFonts w:ascii="Arial" w:hAnsi="Arial" w:cs="Arial"/>
              </w:rPr>
              <w:t>Review Charge Statement</w:t>
            </w:r>
            <w:r w:rsidR="00F145FD" w:rsidRPr="00A75522">
              <w:rPr>
                <w:rFonts w:ascii="Arial" w:hAnsi="Arial" w:cs="Arial"/>
                <w:webHidden/>
              </w:rPr>
              <w:tab/>
            </w:r>
            <w:r w:rsidR="00F145FD" w:rsidRPr="00A75522">
              <w:rPr>
                <w:rFonts w:ascii="Arial" w:hAnsi="Arial" w:cs="Arial"/>
                <w:webHidden/>
              </w:rPr>
              <w:fldChar w:fldCharType="begin"/>
            </w:r>
            <w:r w:rsidR="00F145FD" w:rsidRPr="00A75522">
              <w:rPr>
                <w:rFonts w:ascii="Arial" w:hAnsi="Arial" w:cs="Arial"/>
                <w:webHidden/>
              </w:rPr>
              <w:instrText xml:space="preserve"> PAGEREF _Toc513464571 \h </w:instrText>
            </w:r>
            <w:r w:rsidR="00F145FD" w:rsidRPr="00A75522">
              <w:rPr>
                <w:rFonts w:ascii="Arial" w:hAnsi="Arial" w:cs="Arial"/>
                <w:webHidden/>
              </w:rPr>
            </w:r>
            <w:r w:rsidR="00F145FD" w:rsidRPr="00A75522">
              <w:rPr>
                <w:rFonts w:ascii="Arial" w:hAnsi="Arial" w:cs="Arial"/>
                <w:webHidden/>
              </w:rPr>
              <w:fldChar w:fldCharType="separate"/>
            </w:r>
            <w:r w:rsidR="00611B67" w:rsidRPr="00A75522">
              <w:rPr>
                <w:rFonts w:ascii="Arial" w:hAnsi="Arial" w:cs="Arial"/>
                <w:webHidden/>
              </w:rPr>
              <w:t>4</w:t>
            </w:r>
            <w:r w:rsidR="00F145FD" w:rsidRPr="00A75522">
              <w:rPr>
                <w:rFonts w:ascii="Arial" w:hAnsi="Arial" w:cs="Arial"/>
                <w:webHidden/>
              </w:rPr>
              <w:fldChar w:fldCharType="end"/>
            </w:r>
          </w:hyperlink>
        </w:p>
        <w:p w14:paraId="70A03283" w14:textId="3D8AFCD7" w:rsidR="00F145FD" w:rsidRPr="00A75522" w:rsidRDefault="00ED3C67">
          <w:pPr>
            <w:pStyle w:val="TOC1"/>
            <w:rPr>
              <w:rFonts w:ascii="Arial" w:eastAsiaTheme="minorEastAsia" w:hAnsi="Arial" w:cs="Arial"/>
              <w:szCs w:val="22"/>
            </w:rPr>
          </w:pPr>
          <w:hyperlink w:anchor="_Toc513464572" w:history="1">
            <w:r w:rsidR="00F145FD" w:rsidRPr="00A75522">
              <w:rPr>
                <w:rStyle w:val="Hyperlink"/>
                <w:rFonts w:ascii="Arial" w:hAnsi="Arial" w:cs="Arial"/>
              </w:rPr>
              <w:t>4.</w:t>
            </w:r>
            <w:r w:rsidR="00F145FD" w:rsidRPr="00A75522">
              <w:rPr>
                <w:rFonts w:ascii="Arial" w:eastAsiaTheme="minorEastAsia" w:hAnsi="Arial" w:cs="Arial"/>
                <w:szCs w:val="22"/>
              </w:rPr>
              <w:tab/>
            </w:r>
            <w:r w:rsidR="00F145FD" w:rsidRPr="00A75522">
              <w:rPr>
                <w:rStyle w:val="Hyperlink"/>
                <w:rFonts w:ascii="Arial" w:hAnsi="Arial" w:cs="Arial"/>
              </w:rPr>
              <w:t>Acronyms</w:t>
            </w:r>
            <w:r w:rsidR="00F145FD" w:rsidRPr="00A75522">
              <w:rPr>
                <w:rFonts w:ascii="Arial" w:hAnsi="Arial" w:cs="Arial"/>
                <w:webHidden/>
              </w:rPr>
              <w:tab/>
            </w:r>
            <w:r w:rsidR="00F145FD" w:rsidRPr="00A75522">
              <w:rPr>
                <w:rFonts w:ascii="Arial" w:hAnsi="Arial" w:cs="Arial"/>
                <w:webHidden/>
              </w:rPr>
              <w:fldChar w:fldCharType="begin"/>
            </w:r>
            <w:r w:rsidR="00F145FD" w:rsidRPr="00A75522">
              <w:rPr>
                <w:rFonts w:ascii="Arial" w:hAnsi="Arial" w:cs="Arial"/>
                <w:webHidden/>
              </w:rPr>
              <w:instrText xml:space="preserve"> PAGEREF _Toc513464572 \h </w:instrText>
            </w:r>
            <w:r w:rsidR="00F145FD" w:rsidRPr="00A75522">
              <w:rPr>
                <w:rFonts w:ascii="Arial" w:hAnsi="Arial" w:cs="Arial"/>
                <w:webHidden/>
              </w:rPr>
            </w:r>
            <w:r w:rsidR="00F145FD" w:rsidRPr="00A75522">
              <w:rPr>
                <w:rFonts w:ascii="Arial" w:hAnsi="Arial" w:cs="Arial"/>
                <w:webHidden/>
              </w:rPr>
              <w:fldChar w:fldCharType="separate"/>
            </w:r>
            <w:r w:rsidR="00611B67" w:rsidRPr="00A75522">
              <w:rPr>
                <w:rFonts w:ascii="Arial" w:hAnsi="Arial" w:cs="Arial"/>
                <w:webHidden/>
              </w:rPr>
              <w:t>4</w:t>
            </w:r>
            <w:r w:rsidR="00F145FD" w:rsidRPr="00A75522">
              <w:rPr>
                <w:rFonts w:ascii="Arial" w:hAnsi="Arial" w:cs="Arial"/>
                <w:webHidden/>
              </w:rPr>
              <w:fldChar w:fldCharType="end"/>
            </w:r>
          </w:hyperlink>
        </w:p>
        <w:p w14:paraId="4CBEB277" w14:textId="1B6AB3CC" w:rsidR="00F145FD" w:rsidRPr="00A75522" w:rsidRDefault="00ED3C67">
          <w:pPr>
            <w:pStyle w:val="TOC1"/>
            <w:rPr>
              <w:rFonts w:ascii="Arial" w:eastAsiaTheme="minorEastAsia" w:hAnsi="Arial" w:cs="Arial"/>
              <w:szCs w:val="22"/>
            </w:rPr>
          </w:pPr>
          <w:hyperlink w:anchor="_Toc513464573" w:history="1">
            <w:r w:rsidR="00F145FD" w:rsidRPr="00A75522">
              <w:rPr>
                <w:rStyle w:val="Hyperlink"/>
                <w:rFonts w:ascii="Arial" w:hAnsi="Arial" w:cs="Arial"/>
              </w:rPr>
              <w:t>5.</w:t>
            </w:r>
            <w:r w:rsidR="00F145FD" w:rsidRPr="00A75522">
              <w:rPr>
                <w:rFonts w:ascii="Arial" w:eastAsiaTheme="minorEastAsia" w:hAnsi="Arial" w:cs="Arial"/>
                <w:szCs w:val="22"/>
              </w:rPr>
              <w:tab/>
            </w:r>
            <w:r w:rsidR="00F145FD" w:rsidRPr="00A75522">
              <w:rPr>
                <w:rStyle w:val="Hyperlink"/>
                <w:rFonts w:ascii="Arial" w:hAnsi="Arial" w:cs="Arial"/>
              </w:rPr>
              <w:t>Reference Documents</w:t>
            </w:r>
            <w:r w:rsidR="00F145FD" w:rsidRPr="00A75522">
              <w:rPr>
                <w:rFonts w:ascii="Arial" w:hAnsi="Arial" w:cs="Arial"/>
                <w:webHidden/>
              </w:rPr>
              <w:tab/>
            </w:r>
            <w:r w:rsidR="00F145FD" w:rsidRPr="00A75522">
              <w:rPr>
                <w:rFonts w:ascii="Arial" w:hAnsi="Arial" w:cs="Arial"/>
                <w:webHidden/>
              </w:rPr>
              <w:fldChar w:fldCharType="begin"/>
            </w:r>
            <w:r w:rsidR="00F145FD" w:rsidRPr="00A75522">
              <w:rPr>
                <w:rFonts w:ascii="Arial" w:hAnsi="Arial" w:cs="Arial"/>
                <w:webHidden/>
              </w:rPr>
              <w:instrText xml:space="preserve"> PAGEREF _Toc513464573 \h </w:instrText>
            </w:r>
            <w:r w:rsidR="00F145FD" w:rsidRPr="00A75522">
              <w:rPr>
                <w:rFonts w:ascii="Arial" w:hAnsi="Arial" w:cs="Arial"/>
                <w:webHidden/>
              </w:rPr>
            </w:r>
            <w:r w:rsidR="00F145FD" w:rsidRPr="00A75522">
              <w:rPr>
                <w:rFonts w:ascii="Arial" w:hAnsi="Arial" w:cs="Arial"/>
                <w:webHidden/>
              </w:rPr>
              <w:fldChar w:fldCharType="separate"/>
            </w:r>
            <w:r w:rsidR="00611B67" w:rsidRPr="00A75522">
              <w:rPr>
                <w:rFonts w:ascii="Arial" w:hAnsi="Arial" w:cs="Arial"/>
                <w:webHidden/>
              </w:rPr>
              <w:t>5</w:t>
            </w:r>
            <w:r w:rsidR="00F145FD" w:rsidRPr="00A75522">
              <w:rPr>
                <w:rFonts w:ascii="Arial" w:hAnsi="Arial" w:cs="Arial"/>
                <w:webHidden/>
              </w:rPr>
              <w:fldChar w:fldCharType="end"/>
            </w:r>
          </w:hyperlink>
        </w:p>
        <w:p w14:paraId="38600A69" w14:textId="6CF9C7CC" w:rsidR="00A0665F" w:rsidRPr="00A75522" w:rsidRDefault="00F145FD" w:rsidP="00A0665F">
          <w:pPr>
            <w:rPr>
              <w:rFonts w:ascii="Arial" w:hAnsi="Arial" w:cs="Arial"/>
              <w:sz w:val="22"/>
            </w:rPr>
          </w:pPr>
          <w:r w:rsidRPr="00A75522">
            <w:rPr>
              <w:rFonts w:ascii="Arial" w:hAnsi="Arial" w:cs="Arial"/>
              <w:noProof/>
              <w:sz w:val="22"/>
            </w:rPr>
            <w:fldChar w:fldCharType="end"/>
          </w:r>
        </w:p>
        <w:p w14:paraId="577C3150" w14:textId="77777777" w:rsidR="00A0665F" w:rsidRPr="00A75522" w:rsidRDefault="00A0665F" w:rsidP="00A0665F">
          <w:pPr>
            <w:rPr>
              <w:rFonts w:ascii="Arial" w:hAnsi="Arial" w:cs="Arial"/>
            </w:rPr>
          </w:pPr>
        </w:p>
        <w:p w14:paraId="56D98797" w14:textId="7E69093D" w:rsidR="005B1C2F" w:rsidRPr="00A75522" w:rsidRDefault="00ED3C67" w:rsidP="00A0665F">
          <w:pPr>
            <w:rPr>
              <w:rFonts w:ascii="Arial" w:hAnsi="Arial" w:cs="Arial"/>
            </w:rPr>
          </w:pPr>
        </w:p>
      </w:sdtContent>
    </w:sdt>
    <w:p w14:paraId="4026721C" w14:textId="14BEB8B2" w:rsidR="00193770" w:rsidRPr="00A75522" w:rsidRDefault="003002EB" w:rsidP="00C13503">
      <w:pPr>
        <w:pStyle w:val="Heading1"/>
        <w:rPr>
          <w:rFonts w:ascii="Arial" w:hAnsi="Arial" w:cs="Arial"/>
        </w:rPr>
      </w:pPr>
      <w:bookmarkStart w:id="0" w:name="_Toc513464569"/>
      <w:r w:rsidRPr="00A75522">
        <w:rPr>
          <w:rFonts w:ascii="Arial" w:hAnsi="Arial" w:cs="Arial"/>
        </w:rPr>
        <w:lastRenderedPageBreak/>
        <w:t>Introduction</w:t>
      </w:r>
      <w:bookmarkEnd w:id="0"/>
    </w:p>
    <w:p w14:paraId="55E30614" w14:textId="77777777" w:rsidR="00A75522" w:rsidRPr="00A75522" w:rsidRDefault="00A75522" w:rsidP="00A75522">
      <w:pPr>
        <w:rPr>
          <w:rFonts w:ascii="Arial" w:hAnsi="Arial" w:cs="Arial"/>
          <w:sz w:val="22"/>
          <w:szCs w:val="22"/>
        </w:rPr>
      </w:pPr>
      <w:bookmarkStart w:id="1" w:name="_Toc513464570"/>
      <w:r w:rsidRPr="00A75522">
        <w:rPr>
          <w:rFonts w:ascii="Arial" w:hAnsi="Arial" w:cs="Arial"/>
          <w:sz w:val="22"/>
          <w:szCs w:val="22"/>
        </w:rPr>
        <w:t>This QC plan covers the work to be performed on the procurement, testing and installation of the 650MHz HPRF distribution system to be used at PIP2IT. In the scope of this QC plan, there will be 6 usable distribution lines, each line contains transmission lines, two directional couplers and a circulator.</w:t>
      </w:r>
    </w:p>
    <w:p w14:paraId="562848CB" w14:textId="31468D99" w:rsidR="002A2203" w:rsidRPr="00A75522" w:rsidRDefault="002A2203" w:rsidP="002A2203">
      <w:pPr>
        <w:pStyle w:val="BodyText"/>
        <w:ind w:left="0" w:firstLine="0"/>
      </w:pPr>
    </w:p>
    <w:bookmarkEnd w:id="1"/>
    <w:p w14:paraId="682642D5" w14:textId="000C62CF" w:rsidR="009B6597" w:rsidRPr="00A75522" w:rsidRDefault="009B6597" w:rsidP="009B6597">
      <w:pPr>
        <w:pStyle w:val="Heading1"/>
        <w:rPr>
          <w:rFonts w:ascii="Arial" w:hAnsi="Arial" w:cs="Arial"/>
        </w:rPr>
      </w:pPr>
      <w:r w:rsidRPr="00A75522">
        <w:rPr>
          <w:rFonts w:ascii="Arial" w:hAnsi="Arial" w:cs="Arial"/>
        </w:rPr>
        <w:t>Travelers and Procedures</w:t>
      </w:r>
    </w:p>
    <w:p w14:paraId="1EDEC13E" w14:textId="689ABA56" w:rsidR="009B6597" w:rsidRPr="00A75522" w:rsidRDefault="008771B4" w:rsidP="009B6597">
      <w:pPr>
        <w:rPr>
          <w:rFonts w:ascii="Arial" w:hAnsi="Arial" w:cs="Arial"/>
          <w:sz w:val="22"/>
          <w:szCs w:val="22"/>
        </w:rPr>
      </w:pPr>
      <w:r w:rsidRPr="00A75522">
        <w:rPr>
          <w:rFonts w:ascii="Arial" w:hAnsi="Arial" w:cs="Arial"/>
          <w:sz w:val="22"/>
          <w:szCs w:val="22"/>
        </w:rPr>
        <w:t xml:space="preserve">Circulator testing is based off </w:t>
      </w:r>
      <w:r w:rsidR="00A75522">
        <w:rPr>
          <w:rFonts w:ascii="Arial" w:hAnsi="Arial" w:cs="Arial"/>
          <w:sz w:val="22"/>
          <w:szCs w:val="22"/>
        </w:rPr>
        <w:t xml:space="preserve">procedure </w:t>
      </w:r>
      <w:r w:rsidRPr="00A75522">
        <w:rPr>
          <w:rFonts w:ascii="Arial" w:hAnsi="Arial" w:cs="Arial"/>
          <w:sz w:val="22"/>
          <w:szCs w:val="22"/>
        </w:rPr>
        <w:t xml:space="preserve">ED0012540 “650 MHz circulator acceptance test” </w:t>
      </w:r>
      <w:r w:rsidR="009B6597" w:rsidRPr="00A75522">
        <w:rPr>
          <w:rFonts w:ascii="Arial" w:hAnsi="Arial" w:cs="Arial"/>
          <w:sz w:val="22"/>
          <w:szCs w:val="22"/>
        </w:rPr>
        <w:t xml:space="preserve">All data collected </w:t>
      </w:r>
      <w:r w:rsidR="007C6242" w:rsidRPr="00A75522">
        <w:rPr>
          <w:rFonts w:ascii="Arial" w:hAnsi="Arial" w:cs="Arial"/>
          <w:sz w:val="22"/>
          <w:szCs w:val="22"/>
        </w:rPr>
        <w:t xml:space="preserve">during QC tests and measurements </w:t>
      </w:r>
      <w:r w:rsidR="009B6597" w:rsidRPr="00A75522">
        <w:rPr>
          <w:rFonts w:ascii="Arial" w:hAnsi="Arial" w:cs="Arial"/>
          <w:sz w:val="22"/>
          <w:szCs w:val="22"/>
        </w:rPr>
        <w:t xml:space="preserve">will be captured in the “650MHz HPRF Distribution Acceptance” vector traveler. </w:t>
      </w:r>
      <w:r w:rsidRPr="00A75522">
        <w:rPr>
          <w:rFonts w:ascii="Arial" w:hAnsi="Arial" w:cs="Arial"/>
          <w:sz w:val="22"/>
          <w:szCs w:val="22"/>
        </w:rPr>
        <w:t xml:space="preserve">There will be six travelers, each will be dedicated to one distribution line containing data for one </w:t>
      </w:r>
      <w:r w:rsidR="009B6597" w:rsidRPr="00A75522">
        <w:rPr>
          <w:rFonts w:ascii="Arial" w:hAnsi="Arial" w:cs="Arial"/>
          <w:sz w:val="22"/>
          <w:szCs w:val="22"/>
        </w:rPr>
        <w:t xml:space="preserve">circulator and </w:t>
      </w:r>
      <w:r w:rsidRPr="00A75522">
        <w:rPr>
          <w:rFonts w:ascii="Arial" w:hAnsi="Arial" w:cs="Arial"/>
          <w:sz w:val="22"/>
          <w:szCs w:val="22"/>
        </w:rPr>
        <w:t xml:space="preserve">two </w:t>
      </w:r>
      <w:r w:rsidR="009B6597" w:rsidRPr="00A75522">
        <w:rPr>
          <w:rFonts w:ascii="Arial" w:hAnsi="Arial" w:cs="Arial"/>
          <w:sz w:val="22"/>
          <w:szCs w:val="22"/>
        </w:rPr>
        <w:t xml:space="preserve">directional couplers. </w:t>
      </w:r>
    </w:p>
    <w:p w14:paraId="087AC00C" w14:textId="77777777" w:rsidR="009B6597" w:rsidRPr="00A75522" w:rsidRDefault="009B6597" w:rsidP="009B6597">
      <w:pPr>
        <w:pStyle w:val="Heading1"/>
        <w:numPr>
          <w:ilvl w:val="0"/>
          <w:numId w:val="0"/>
        </w:numPr>
        <w:ind w:left="360" w:hanging="360"/>
        <w:rPr>
          <w:rFonts w:ascii="Arial" w:hAnsi="Arial" w:cs="Arial"/>
        </w:rPr>
      </w:pPr>
    </w:p>
    <w:p w14:paraId="631368A0" w14:textId="728F8F56" w:rsidR="009377E3" w:rsidRPr="00A75522" w:rsidRDefault="002A2203" w:rsidP="002D72C2">
      <w:pPr>
        <w:pStyle w:val="Heading1"/>
        <w:rPr>
          <w:rFonts w:ascii="Arial" w:hAnsi="Arial" w:cs="Arial"/>
        </w:rPr>
      </w:pPr>
      <w:r w:rsidRPr="00A75522">
        <w:rPr>
          <w:rFonts w:ascii="Arial" w:hAnsi="Arial" w:cs="Arial"/>
        </w:rPr>
        <w:t xml:space="preserve">QC test and </w:t>
      </w:r>
      <w:r w:rsidR="0059412C" w:rsidRPr="00A75522">
        <w:rPr>
          <w:rFonts w:ascii="Arial" w:hAnsi="Arial" w:cs="Arial"/>
        </w:rPr>
        <w:t>m</w:t>
      </w:r>
      <w:r w:rsidRPr="00A75522">
        <w:rPr>
          <w:rFonts w:ascii="Arial" w:hAnsi="Arial" w:cs="Arial"/>
        </w:rPr>
        <w:t>easurements</w:t>
      </w:r>
    </w:p>
    <w:p w14:paraId="64BE52C2" w14:textId="4C733F00" w:rsidR="008771B4" w:rsidRPr="00A75522" w:rsidRDefault="009C03EE" w:rsidP="008771B4">
      <w:pPr>
        <w:pStyle w:val="NotesBody11pt"/>
        <w:rPr>
          <w:rFonts w:ascii="Arial" w:hAnsi="Arial" w:cs="Arial"/>
        </w:rPr>
      </w:pPr>
      <w:r w:rsidRPr="00A75522">
        <w:rPr>
          <w:rFonts w:ascii="Arial" w:hAnsi="Arial" w:cs="Arial"/>
        </w:rPr>
        <w:t xml:space="preserve">Transmission lines, directional couplers and circulators shall be inspected upon receipt. </w:t>
      </w:r>
      <w:r w:rsidR="008771B4" w:rsidRPr="00A75522">
        <w:rPr>
          <w:rFonts w:ascii="Arial" w:hAnsi="Arial" w:cs="Arial"/>
        </w:rPr>
        <w:t xml:space="preserve">All circulators and directional couplers will be serialized </w:t>
      </w:r>
      <w:r w:rsidR="00A75522">
        <w:rPr>
          <w:rFonts w:ascii="Arial" w:hAnsi="Arial" w:cs="Arial"/>
        </w:rPr>
        <w:t xml:space="preserve">and labelled </w:t>
      </w:r>
      <w:r w:rsidR="008771B4" w:rsidRPr="00A75522">
        <w:rPr>
          <w:rFonts w:ascii="Arial" w:hAnsi="Arial" w:cs="Arial"/>
        </w:rPr>
        <w:t>upon this initial inspection. All data collected will be captured in the “650MHz HPRF Distribution Acceptance” vector traveler.</w:t>
      </w:r>
    </w:p>
    <w:p w14:paraId="599A4C87" w14:textId="7479B5DD" w:rsidR="009C03EE" w:rsidRPr="00A75522" w:rsidRDefault="009C03EE" w:rsidP="00FD423C">
      <w:pPr>
        <w:rPr>
          <w:rFonts w:ascii="Arial" w:hAnsi="Arial" w:cs="Arial"/>
          <w:sz w:val="22"/>
          <w:szCs w:val="22"/>
        </w:rPr>
      </w:pPr>
    </w:p>
    <w:p w14:paraId="419E446D" w14:textId="1475118E" w:rsidR="00FD423C" w:rsidRPr="00A75522" w:rsidRDefault="0059412C" w:rsidP="00FD423C">
      <w:pPr>
        <w:rPr>
          <w:rFonts w:ascii="Arial" w:hAnsi="Arial" w:cs="Arial"/>
          <w:sz w:val="22"/>
          <w:szCs w:val="22"/>
        </w:rPr>
      </w:pPr>
      <w:r w:rsidRPr="00A75522">
        <w:rPr>
          <w:rFonts w:ascii="Arial" w:hAnsi="Arial" w:cs="Arial"/>
          <w:sz w:val="22"/>
          <w:szCs w:val="22"/>
        </w:rPr>
        <w:t>Each circulator should go through three step examination before being used in a distribution line</w:t>
      </w:r>
      <w:r w:rsidR="007C6242" w:rsidRPr="00A75522">
        <w:rPr>
          <w:rFonts w:ascii="Arial" w:hAnsi="Arial" w:cs="Arial"/>
          <w:sz w:val="22"/>
          <w:szCs w:val="22"/>
        </w:rPr>
        <w:t>;</w:t>
      </w:r>
      <w:r w:rsidR="009C03EE" w:rsidRPr="00A75522">
        <w:rPr>
          <w:rFonts w:ascii="Arial" w:hAnsi="Arial" w:cs="Arial"/>
          <w:sz w:val="22"/>
          <w:szCs w:val="22"/>
        </w:rPr>
        <w:t xml:space="preserve"> </w:t>
      </w:r>
      <w:r w:rsidR="007C6242" w:rsidRPr="00A75522">
        <w:rPr>
          <w:rFonts w:ascii="Arial" w:hAnsi="Arial" w:cs="Arial"/>
          <w:sz w:val="22"/>
          <w:szCs w:val="22"/>
        </w:rPr>
        <w:t xml:space="preserve">an inspection, a set of network analyzer measurements, and set of </w:t>
      </w:r>
      <w:proofErr w:type="gramStart"/>
      <w:r w:rsidR="007C6242" w:rsidRPr="00A75522">
        <w:rPr>
          <w:rFonts w:ascii="Arial" w:hAnsi="Arial" w:cs="Arial"/>
          <w:sz w:val="22"/>
          <w:szCs w:val="22"/>
        </w:rPr>
        <w:t>high power</w:t>
      </w:r>
      <w:proofErr w:type="gramEnd"/>
      <w:r w:rsidR="007C6242" w:rsidRPr="00A75522">
        <w:rPr>
          <w:rFonts w:ascii="Arial" w:hAnsi="Arial" w:cs="Arial"/>
          <w:sz w:val="22"/>
          <w:szCs w:val="22"/>
        </w:rPr>
        <w:t xml:space="preserve"> tests. T</w:t>
      </w:r>
      <w:r w:rsidR="009C03EE" w:rsidRPr="00A75522">
        <w:rPr>
          <w:rFonts w:ascii="Arial" w:hAnsi="Arial" w:cs="Arial"/>
          <w:sz w:val="22"/>
          <w:szCs w:val="22"/>
        </w:rPr>
        <w:t xml:space="preserve">he acceptance test criteria </w:t>
      </w:r>
      <w:proofErr w:type="gramStart"/>
      <w:r w:rsidR="009C03EE" w:rsidRPr="00A75522">
        <w:rPr>
          <w:rFonts w:ascii="Arial" w:hAnsi="Arial" w:cs="Arial"/>
          <w:sz w:val="22"/>
          <w:szCs w:val="22"/>
        </w:rPr>
        <w:t>is</w:t>
      </w:r>
      <w:proofErr w:type="gramEnd"/>
      <w:r w:rsidR="009C03EE" w:rsidRPr="00A75522">
        <w:rPr>
          <w:rFonts w:ascii="Arial" w:hAnsi="Arial" w:cs="Arial"/>
          <w:sz w:val="22"/>
          <w:szCs w:val="22"/>
        </w:rPr>
        <w:t xml:space="preserve"> d</w:t>
      </w:r>
      <w:r w:rsidR="00FD423C" w:rsidRPr="00A75522">
        <w:rPr>
          <w:rFonts w:ascii="Arial" w:hAnsi="Arial" w:cs="Arial"/>
          <w:sz w:val="22"/>
          <w:szCs w:val="22"/>
        </w:rPr>
        <w:t>etail</w:t>
      </w:r>
      <w:r w:rsidR="009C03EE" w:rsidRPr="00A75522">
        <w:rPr>
          <w:rFonts w:ascii="Arial" w:hAnsi="Arial" w:cs="Arial"/>
          <w:sz w:val="22"/>
          <w:szCs w:val="22"/>
        </w:rPr>
        <w:t>ed</w:t>
      </w:r>
      <w:r w:rsidR="00FD423C" w:rsidRPr="00A75522">
        <w:rPr>
          <w:rFonts w:ascii="Arial" w:hAnsi="Arial" w:cs="Arial"/>
          <w:sz w:val="22"/>
          <w:szCs w:val="22"/>
        </w:rPr>
        <w:t xml:space="preserve"> in </w:t>
      </w:r>
      <w:r w:rsidR="00EB1DAF" w:rsidRPr="00A75522">
        <w:rPr>
          <w:rFonts w:ascii="Arial" w:hAnsi="Arial" w:cs="Arial"/>
          <w:sz w:val="22"/>
          <w:szCs w:val="22"/>
        </w:rPr>
        <w:t>ED</w:t>
      </w:r>
      <w:r w:rsidR="009C03EE" w:rsidRPr="00A75522">
        <w:rPr>
          <w:rFonts w:ascii="Arial" w:hAnsi="Arial" w:cs="Arial"/>
          <w:sz w:val="22"/>
          <w:szCs w:val="22"/>
        </w:rPr>
        <w:t>00</w:t>
      </w:r>
      <w:r w:rsidR="00EB1DAF" w:rsidRPr="00A75522">
        <w:rPr>
          <w:rFonts w:ascii="Arial" w:hAnsi="Arial" w:cs="Arial"/>
          <w:sz w:val="22"/>
          <w:szCs w:val="22"/>
        </w:rPr>
        <w:t>12</w:t>
      </w:r>
      <w:r w:rsidR="009C03EE" w:rsidRPr="00A75522">
        <w:rPr>
          <w:rFonts w:ascii="Arial" w:hAnsi="Arial" w:cs="Arial"/>
          <w:sz w:val="22"/>
          <w:szCs w:val="22"/>
        </w:rPr>
        <w:t xml:space="preserve">540 </w:t>
      </w:r>
      <w:r w:rsidR="00FD423C" w:rsidRPr="00A75522">
        <w:rPr>
          <w:rFonts w:ascii="Arial" w:hAnsi="Arial" w:cs="Arial"/>
          <w:sz w:val="22"/>
          <w:szCs w:val="22"/>
        </w:rPr>
        <w:t>“650 MHz circulator acceptance test</w:t>
      </w:r>
      <w:r w:rsidR="007C6242" w:rsidRPr="00A75522">
        <w:rPr>
          <w:rFonts w:ascii="Arial" w:hAnsi="Arial" w:cs="Arial"/>
          <w:sz w:val="22"/>
          <w:szCs w:val="22"/>
        </w:rPr>
        <w:t>”</w:t>
      </w:r>
      <w:r w:rsidR="00FD423C" w:rsidRPr="00A75522">
        <w:rPr>
          <w:rFonts w:ascii="Arial" w:hAnsi="Arial" w:cs="Arial"/>
          <w:sz w:val="22"/>
          <w:szCs w:val="22"/>
        </w:rPr>
        <w:t xml:space="preserve"> documentation. </w:t>
      </w:r>
    </w:p>
    <w:p w14:paraId="6366FC98" w14:textId="00F54244" w:rsidR="009C03EE" w:rsidRPr="00A75522" w:rsidRDefault="009C03EE" w:rsidP="00FD423C">
      <w:pPr>
        <w:rPr>
          <w:rFonts w:ascii="Arial" w:hAnsi="Arial" w:cs="Arial"/>
          <w:sz w:val="22"/>
          <w:szCs w:val="22"/>
        </w:rPr>
      </w:pPr>
    </w:p>
    <w:p w14:paraId="69A10FB5" w14:textId="29D2B1F4" w:rsidR="009C03EE" w:rsidRDefault="009C03EE" w:rsidP="009C03EE">
      <w:pPr>
        <w:pStyle w:val="NotesBody11pt"/>
        <w:rPr>
          <w:rFonts w:ascii="Arial" w:hAnsi="Arial" w:cs="Arial"/>
        </w:rPr>
      </w:pPr>
      <w:r w:rsidRPr="00A75522">
        <w:rPr>
          <w:rFonts w:ascii="Arial" w:hAnsi="Arial" w:cs="Arial"/>
        </w:rPr>
        <w:t xml:space="preserve">Each dual directional </w:t>
      </w:r>
      <w:proofErr w:type="gramStart"/>
      <w:r w:rsidRPr="00A75522">
        <w:rPr>
          <w:rFonts w:ascii="Arial" w:hAnsi="Arial" w:cs="Arial"/>
        </w:rPr>
        <w:t>couplers</w:t>
      </w:r>
      <w:proofErr w:type="gramEnd"/>
      <w:r w:rsidRPr="00A75522">
        <w:rPr>
          <w:rFonts w:ascii="Arial" w:hAnsi="Arial" w:cs="Arial"/>
        </w:rPr>
        <w:t xml:space="preserve"> should be measured with a </w:t>
      </w:r>
      <w:r w:rsidR="007C6242" w:rsidRPr="00A75522">
        <w:rPr>
          <w:rFonts w:ascii="Arial" w:hAnsi="Arial" w:cs="Arial"/>
        </w:rPr>
        <w:t>n</w:t>
      </w:r>
      <w:r w:rsidRPr="00A75522">
        <w:rPr>
          <w:rFonts w:ascii="Arial" w:hAnsi="Arial" w:cs="Arial"/>
        </w:rPr>
        <w:t xml:space="preserve">etwork </w:t>
      </w:r>
      <w:r w:rsidR="007C6242" w:rsidRPr="00A75522">
        <w:rPr>
          <w:rFonts w:ascii="Arial" w:hAnsi="Arial" w:cs="Arial"/>
        </w:rPr>
        <w:t>a</w:t>
      </w:r>
      <w:r w:rsidRPr="00A75522">
        <w:rPr>
          <w:rFonts w:ascii="Arial" w:hAnsi="Arial" w:cs="Arial"/>
        </w:rPr>
        <w:t>nalyzer before being used in the distribution system. The parameters to be measured include return loss at all 4 ports, insertion loss, coupling ratio and directivity. All data for directional couplers will be added to the “650MHz HPRF Distribution Acceptance” vector traveler.</w:t>
      </w:r>
    </w:p>
    <w:p w14:paraId="1301B5FC" w14:textId="43AF4972" w:rsidR="006D6B0A" w:rsidRDefault="006D6B0A" w:rsidP="009C03EE">
      <w:pPr>
        <w:pStyle w:val="NotesBody11pt"/>
        <w:rPr>
          <w:rFonts w:ascii="Arial" w:hAnsi="Arial" w:cs="Arial"/>
        </w:rPr>
      </w:pPr>
    </w:p>
    <w:p w14:paraId="36A161C9" w14:textId="4C3F022C" w:rsidR="006D6B0A" w:rsidRDefault="006D6B0A" w:rsidP="009C03EE">
      <w:pPr>
        <w:pStyle w:val="NotesBody11pt"/>
        <w:rPr>
          <w:rFonts w:ascii="Arial" w:hAnsi="Arial" w:cs="Arial"/>
        </w:rPr>
      </w:pPr>
      <w:r>
        <w:rPr>
          <w:rFonts w:ascii="Arial" w:hAnsi="Arial" w:cs="Arial"/>
        </w:rPr>
        <w:t>Needed equipment</w:t>
      </w:r>
    </w:p>
    <w:p w14:paraId="28432827" w14:textId="7736D3CC" w:rsidR="006D6B0A" w:rsidRDefault="006D6B0A" w:rsidP="006D6B0A">
      <w:pPr>
        <w:pStyle w:val="NotesBody11pt"/>
        <w:numPr>
          <w:ilvl w:val="0"/>
          <w:numId w:val="43"/>
        </w:numPr>
        <w:rPr>
          <w:rFonts w:ascii="Arial" w:hAnsi="Arial" w:cs="Arial"/>
        </w:rPr>
      </w:pPr>
      <w:r>
        <w:rPr>
          <w:rFonts w:ascii="Arial" w:hAnsi="Arial" w:cs="Arial"/>
        </w:rPr>
        <w:t>Network Analyzer</w:t>
      </w:r>
    </w:p>
    <w:p w14:paraId="0D6834AB" w14:textId="27DFDEE1" w:rsidR="006D6B0A" w:rsidRDefault="006D6B0A" w:rsidP="006D6B0A">
      <w:pPr>
        <w:pStyle w:val="NotesBody11pt"/>
        <w:numPr>
          <w:ilvl w:val="0"/>
          <w:numId w:val="43"/>
        </w:numPr>
        <w:rPr>
          <w:rFonts w:ascii="Arial" w:hAnsi="Arial" w:cs="Arial"/>
        </w:rPr>
      </w:pPr>
      <w:r>
        <w:rPr>
          <w:rFonts w:ascii="Arial" w:hAnsi="Arial" w:cs="Arial"/>
        </w:rPr>
        <w:t>Power Meters</w:t>
      </w:r>
    </w:p>
    <w:p w14:paraId="52761BDA" w14:textId="551C3238" w:rsidR="006D6B0A" w:rsidRDefault="006D6B0A" w:rsidP="006D6B0A">
      <w:pPr>
        <w:pStyle w:val="NotesBody11pt"/>
        <w:numPr>
          <w:ilvl w:val="0"/>
          <w:numId w:val="43"/>
        </w:numPr>
        <w:rPr>
          <w:rFonts w:ascii="Arial" w:hAnsi="Arial" w:cs="Arial"/>
        </w:rPr>
      </w:pPr>
      <w:r>
        <w:rPr>
          <w:rFonts w:ascii="Arial" w:hAnsi="Arial" w:cs="Arial"/>
        </w:rPr>
        <w:t>WR1150 short and load</w:t>
      </w:r>
    </w:p>
    <w:p w14:paraId="35BF6DBA" w14:textId="218A2B25" w:rsidR="006D6B0A" w:rsidRPr="00A75522" w:rsidRDefault="006D6B0A" w:rsidP="006D6B0A">
      <w:pPr>
        <w:pStyle w:val="NotesBody11pt"/>
        <w:numPr>
          <w:ilvl w:val="0"/>
          <w:numId w:val="43"/>
        </w:numPr>
        <w:rPr>
          <w:rFonts w:ascii="Arial" w:hAnsi="Arial" w:cs="Arial"/>
        </w:rPr>
      </w:pPr>
      <w:r>
        <w:rPr>
          <w:rFonts w:ascii="Arial" w:hAnsi="Arial" w:cs="Arial"/>
        </w:rPr>
        <w:t>Temperature regulated water system</w:t>
      </w:r>
    </w:p>
    <w:p w14:paraId="181A28BD" w14:textId="77777777" w:rsidR="008771B4" w:rsidRPr="00A75522" w:rsidRDefault="008771B4" w:rsidP="008771B4">
      <w:pPr>
        <w:pStyle w:val="Heading1"/>
        <w:numPr>
          <w:ilvl w:val="0"/>
          <w:numId w:val="0"/>
        </w:numPr>
        <w:ind w:left="360" w:hanging="360"/>
        <w:rPr>
          <w:rFonts w:ascii="Arial" w:hAnsi="Arial" w:cs="Arial"/>
        </w:rPr>
      </w:pPr>
    </w:p>
    <w:p w14:paraId="73917D02" w14:textId="000698A2" w:rsidR="007C6242" w:rsidRPr="00A75522" w:rsidRDefault="007C6242" w:rsidP="007C6242">
      <w:pPr>
        <w:pStyle w:val="Heading1"/>
        <w:rPr>
          <w:rFonts w:ascii="Arial" w:hAnsi="Arial" w:cs="Arial"/>
        </w:rPr>
      </w:pPr>
      <w:r w:rsidRPr="00A75522">
        <w:rPr>
          <w:rFonts w:ascii="Arial" w:hAnsi="Arial" w:cs="Arial"/>
        </w:rPr>
        <w:t>Vendor communication</w:t>
      </w:r>
    </w:p>
    <w:p w14:paraId="0591E58B" w14:textId="4331DFFA" w:rsidR="007C6242" w:rsidRDefault="007C6242" w:rsidP="007C6242">
      <w:pPr>
        <w:pStyle w:val="NotesBody11pt"/>
        <w:rPr>
          <w:rFonts w:ascii="Arial" w:hAnsi="Arial" w:cs="Arial"/>
        </w:rPr>
      </w:pPr>
      <w:r w:rsidRPr="00A75522">
        <w:rPr>
          <w:rFonts w:ascii="Arial" w:hAnsi="Arial" w:cs="Arial"/>
        </w:rPr>
        <w:t xml:space="preserve">FNAL will receive 1 circulator before the production phase begins, upon receiving FNAL will complete the acceptance testing and approve </w:t>
      </w:r>
      <w:r w:rsidR="00A75522">
        <w:rPr>
          <w:rFonts w:ascii="Arial" w:hAnsi="Arial" w:cs="Arial"/>
        </w:rPr>
        <w:t>the</w:t>
      </w:r>
      <w:r w:rsidRPr="00A75522">
        <w:rPr>
          <w:rFonts w:ascii="Arial" w:hAnsi="Arial" w:cs="Arial"/>
        </w:rPr>
        <w:t xml:space="preserve"> continuation of production. This condition will be negotiated in the purchasing contract</w:t>
      </w:r>
    </w:p>
    <w:p w14:paraId="6B6A48CB" w14:textId="67777ED1" w:rsidR="00DE6270" w:rsidRDefault="00DE6270" w:rsidP="007C6242">
      <w:pPr>
        <w:pStyle w:val="NotesBody11pt"/>
        <w:rPr>
          <w:rFonts w:ascii="Arial" w:hAnsi="Arial" w:cs="Arial"/>
        </w:rPr>
      </w:pPr>
    </w:p>
    <w:p w14:paraId="6E49077E" w14:textId="629A4AF8" w:rsidR="00DE6270" w:rsidRPr="00A75522" w:rsidRDefault="00DE6270" w:rsidP="007C6242">
      <w:pPr>
        <w:pStyle w:val="NotesBody11pt"/>
        <w:rPr>
          <w:rFonts w:ascii="Arial" w:hAnsi="Arial" w:cs="Arial"/>
        </w:rPr>
      </w:pPr>
      <w:r>
        <w:t>Vendor</w:t>
      </w:r>
      <w:r>
        <w:t xml:space="preserve"> will provide test results which shall be stored</w:t>
      </w:r>
      <w:r>
        <w:t xml:space="preserve"> in</w:t>
      </w:r>
      <w:r>
        <w:t xml:space="preserve"> </w:t>
      </w:r>
      <w:r>
        <w:t>“</w:t>
      </w:r>
      <w:r w:rsidRPr="00A75522">
        <w:rPr>
          <w:rFonts w:ascii="Arial" w:hAnsi="Arial" w:cs="Arial"/>
        </w:rPr>
        <w:t>650MHz HPRF Distribution Acceptance” vector traveler</w:t>
      </w:r>
      <w:r>
        <w:t>.</w:t>
      </w:r>
      <w:r w:rsidRPr="009D0C34">
        <w:t xml:space="preserve">  The L3 manager shall review and approve the results of the validation testing prior to shipping to Fermilab. </w:t>
      </w:r>
      <w:r>
        <w:t xml:space="preserve"> </w:t>
      </w:r>
    </w:p>
    <w:p w14:paraId="5F2526D9" w14:textId="77777777" w:rsidR="007C6242" w:rsidRPr="00A75522" w:rsidRDefault="007C6242" w:rsidP="007C6242">
      <w:pPr>
        <w:pStyle w:val="NotesBody11pt"/>
        <w:rPr>
          <w:rFonts w:ascii="Arial" w:hAnsi="Arial" w:cs="Arial"/>
        </w:rPr>
      </w:pPr>
    </w:p>
    <w:p w14:paraId="2F503C08" w14:textId="77777777" w:rsidR="007C6242" w:rsidRPr="00A75522" w:rsidRDefault="007C6242" w:rsidP="007C6242">
      <w:pPr>
        <w:pStyle w:val="Heading1"/>
        <w:rPr>
          <w:rFonts w:ascii="Arial" w:hAnsi="Arial" w:cs="Arial"/>
        </w:rPr>
      </w:pPr>
      <w:r w:rsidRPr="00A75522">
        <w:rPr>
          <w:rFonts w:ascii="Arial" w:hAnsi="Arial" w:cs="Arial"/>
        </w:rPr>
        <w:t>Installation</w:t>
      </w:r>
    </w:p>
    <w:p w14:paraId="6B84B486" w14:textId="3B9CAA40" w:rsidR="007C6242" w:rsidRPr="00A75522" w:rsidRDefault="007C6242" w:rsidP="007C6242">
      <w:pPr>
        <w:pStyle w:val="NotesBody11pt"/>
        <w:spacing w:line="240" w:lineRule="auto"/>
        <w:rPr>
          <w:rFonts w:ascii="Arial" w:hAnsi="Arial" w:cs="Arial"/>
        </w:rPr>
      </w:pPr>
      <w:r w:rsidRPr="00A75522">
        <w:rPr>
          <w:rFonts w:ascii="Arial" w:hAnsi="Arial" w:cs="Arial"/>
        </w:rPr>
        <w:t xml:space="preserve">Mechanical support structures should comply with the standard described in documents of Fermilab Engineering Manual and ESH </w:t>
      </w:r>
      <w:proofErr w:type="spellStart"/>
      <w:r w:rsidRPr="00A75522">
        <w:rPr>
          <w:rFonts w:ascii="Arial" w:hAnsi="Arial" w:cs="Arial"/>
        </w:rPr>
        <w:t>DocDB</w:t>
      </w:r>
      <w:proofErr w:type="spellEnd"/>
      <w:r w:rsidRPr="00A75522">
        <w:rPr>
          <w:rFonts w:ascii="Arial" w:hAnsi="Arial" w:cs="Arial"/>
        </w:rPr>
        <w:t xml:space="preserve"> Document 4112-v1, FESHM 5100 - Structural Safety FINAL.</w:t>
      </w:r>
    </w:p>
    <w:p w14:paraId="5D0E71C3" w14:textId="043C33C4" w:rsidR="007C6242" w:rsidRPr="00A75522" w:rsidRDefault="007C6242" w:rsidP="007C6242">
      <w:pPr>
        <w:pStyle w:val="NotesBody11pt"/>
        <w:spacing w:line="240" w:lineRule="auto"/>
        <w:rPr>
          <w:rFonts w:ascii="Arial" w:hAnsi="Arial" w:cs="Arial"/>
        </w:rPr>
      </w:pPr>
      <w:r w:rsidRPr="00A75522">
        <w:rPr>
          <w:rFonts w:ascii="Arial" w:hAnsi="Arial" w:cs="Arial"/>
        </w:rPr>
        <w:t>Critical lift point documentation will be produced for circulator and large transmission lines.</w:t>
      </w:r>
    </w:p>
    <w:p w14:paraId="2AB595AA" w14:textId="332D5264" w:rsidR="007C6242" w:rsidRPr="00A75522" w:rsidRDefault="007C6242" w:rsidP="009C03EE">
      <w:pPr>
        <w:pStyle w:val="NotesBody11pt"/>
        <w:rPr>
          <w:rFonts w:ascii="Arial" w:hAnsi="Arial" w:cs="Arial"/>
        </w:rPr>
      </w:pPr>
      <w:r w:rsidRPr="00A75522">
        <w:rPr>
          <w:rFonts w:ascii="Arial" w:hAnsi="Arial" w:cs="Arial"/>
        </w:rPr>
        <w:t>.</w:t>
      </w:r>
    </w:p>
    <w:p w14:paraId="2E1B7186" w14:textId="77777777" w:rsidR="009C03EE" w:rsidRPr="00A75522" w:rsidRDefault="009C03EE" w:rsidP="009C03EE">
      <w:pPr>
        <w:pStyle w:val="Heading1"/>
        <w:rPr>
          <w:rFonts w:ascii="Arial" w:hAnsi="Arial" w:cs="Arial"/>
        </w:rPr>
      </w:pPr>
      <w:r w:rsidRPr="00A75522">
        <w:rPr>
          <w:rFonts w:ascii="Arial" w:hAnsi="Arial" w:cs="Arial"/>
        </w:rPr>
        <w:t>Control of Non conformances</w:t>
      </w:r>
    </w:p>
    <w:p w14:paraId="6DDEEB08" w14:textId="40E804E0" w:rsidR="009C03EE" w:rsidRPr="00A75522" w:rsidRDefault="009C03EE" w:rsidP="009C03EE">
      <w:pPr>
        <w:pStyle w:val="NotesBody11pt"/>
        <w:rPr>
          <w:rFonts w:ascii="Arial" w:hAnsi="Arial" w:cs="Arial"/>
        </w:rPr>
      </w:pPr>
      <w:r w:rsidRPr="00A75522">
        <w:rPr>
          <w:rFonts w:ascii="Arial" w:hAnsi="Arial" w:cs="Arial"/>
        </w:rPr>
        <w:t>Nonconformances which are identified while completing the “</w:t>
      </w:r>
      <w:r w:rsidR="007C6242" w:rsidRPr="00A75522">
        <w:rPr>
          <w:rFonts w:ascii="Arial" w:hAnsi="Arial" w:cs="Arial"/>
        </w:rPr>
        <w:t>650MHz HPRF Distribution Acceptance</w:t>
      </w:r>
      <w:r w:rsidRPr="00A75522">
        <w:rPr>
          <w:rFonts w:ascii="Arial" w:hAnsi="Arial" w:cs="Arial"/>
        </w:rPr>
        <w:t xml:space="preserve">” traveler shall be documented via a Discrepancy Report in Vector.  Any nonconformance’s identified outside of a traveler shall be documented in the PIP-II SharePoint site’s Nonconformance list.  </w:t>
      </w:r>
    </w:p>
    <w:p w14:paraId="1BEB8B71" w14:textId="77777777" w:rsidR="009C03EE" w:rsidRPr="00A75522" w:rsidRDefault="009C03EE" w:rsidP="009C03EE">
      <w:pPr>
        <w:pStyle w:val="NotesBody11pt"/>
        <w:rPr>
          <w:rFonts w:ascii="Arial" w:hAnsi="Arial" w:cs="Arial"/>
        </w:rPr>
      </w:pPr>
      <w:r w:rsidRPr="00A75522">
        <w:rPr>
          <w:rFonts w:ascii="Arial" w:hAnsi="Arial" w:cs="Arial"/>
        </w:rPr>
        <w:t>All Nonconformances identified by DAE shall be communicated to the L3 primarily via email.</w:t>
      </w:r>
    </w:p>
    <w:p w14:paraId="3830042D" w14:textId="28A88706" w:rsidR="002A2203" w:rsidRDefault="002A2203" w:rsidP="002A2203">
      <w:pPr>
        <w:pStyle w:val="NotesBody11pt"/>
        <w:rPr>
          <w:rFonts w:ascii="Arial" w:hAnsi="Arial" w:cs="Arial"/>
        </w:rPr>
      </w:pPr>
    </w:p>
    <w:p w14:paraId="0938FF9F" w14:textId="440744A1" w:rsidR="006D6B0A" w:rsidRPr="009E1AE2" w:rsidRDefault="006D6B0A" w:rsidP="006D6B0A">
      <w:pPr>
        <w:pStyle w:val="Heading1"/>
        <w:pBdr>
          <w:bottom w:val="single" w:sz="4" w:space="1" w:color="auto"/>
        </w:pBdr>
        <w:rPr>
          <w:rFonts w:ascii="Arial" w:hAnsi="Arial" w:cs="Arial"/>
          <w:szCs w:val="22"/>
        </w:rPr>
      </w:pPr>
      <w:bookmarkStart w:id="2" w:name="_Toc21006505"/>
      <w:r w:rsidRPr="009E1AE2">
        <w:rPr>
          <w:rFonts w:ascii="Arial" w:hAnsi="Arial" w:cs="Arial"/>
          <w:szCs w:val="22"/>
        </w:rPr>
        <w:t xml:space="preserve"> Training and Qualification</w:t>
      </w:r>
      <w:bookmarkEnd w:id="2"/>
    </w:p>
    <w:p w14:paraId="6AB33F97" w14:textId="1A11230C" w:rsidR="006D6B0A" w:rsidRPr="009E1AE2" w:rsidRDefault="006D6B0A" w:rsidP="006D6B0A">
      <w:pPr>
        <w:rPr>
          <w:rFonts w:ascii="Arial" w:hAnsi="Arial" w:cs="Arial"/>
          <w:i/>
          <w:sz w:val="22"/>
          <w:szCs w:val="22"/>
        </w:rPr>
      </w:pPr>
      <w:r w:rsidRPr="009E1AE2">
        <w:rPr>
          <w:rFonts w:ascii="Arial" w:hAnsi="Arial" w:cs="Arial"/>
          <w:sz w:val="22"/>
          <w:szCs w:val="22"/>
        </w:rPr>
        <w:t>D</w:t>
      </w:r>
      <w:r w:rsidRPr="009E1AE2">
        <w:rPr>
          <w:rFonts w:ascii="Arial" w:hAnsi="Arial" w:cs="Arial"/>
          <w:sz w:val="22"/>
          <w:szCs w:val="22"/>
        </w:rPr>
        <w:t xml:space="preserve">ing Sun </w:t>
      </w:r>
      <w:r w:rsidRPr="009E1AE2">
        <w:rPr>
          <w:rFonts w:ascii="Arial" w:hAnsi="Arial" w:cs="Arial"/>
          <w:sz w:val="22"/>
          <w:szCs w:val="22"/>
        </w:rPr>
        <w:t xml:space="preserve">will be performing the acceptance testing of the </w:t>
      </w:r>
      <w:r w:rsidRPr="009E1AE2">
        <w:rPr>
          <w:rFonts w:ascii="Arial" w:hAnsi="Arial" w:cs="Arial"/>
          <w:sz w:val="22"/>
          <w:szCs w:val="22"/>
        </w:rPr>
        <w:t>circulators</w:t>
      </w:r>
      <w:r w:rsidRPr="009E1AE2">
        <w:rPr>
          <w:rFonts w:ascii="Arial" w:hAnsi="Arial" w:cs="Arial"/>
          <w:sz w:val="22"/>
          <w:szCs w:val="22"/>
        </w:rPr>
        <w:t>.  D</w:t>
      </w:r>
      <w:r w:rsidRPr="009E1AE2">
        <w:rPr>
          <w:rFonts w:ascii="Arial" w:hAnsi="Arial" w:cs="Arial"/>
          <w:sz w:val="22"/>
          <w:szCs w:val="22"/>
        </w:rPr>
        <w:t>ing</w:t>
      </w:r>
      <w:r w:rsidRPr="009E1AE2">
        <w:rPr>
          <w:rFonts w:ascii="Arial" w:hAnsi="Arial" w:cs="Arial"/>
          <w:sz w:val="22"/>
          <w:szCs w:val="22"/>
        </w:rPr>
        <w:t xml:space="preserve"> has prior work experience in testing amplifiers, working in the RF department of the Accelerator Division.</w:t>
      </w:r>
    </w:p>
    <w:p w14:paraId="6450C240" w14:textId="3B155A34" w:rsidR="006D6B0A" w:rsidRDefault="006D6B0A" w:rsidP="002A2203">
      <w:pPr>
        <w:pStyle w:val="NotesBody11pt"/>
        <w:rPr>
          <w:rFonts w:ascii="Arial" w:hAnsi="Arial" w:cs="Arial"/>
        </w:rPr>
      </w:pPr>
    </w:p>
    <w:p w14:paraId="3D323ED4" w14:textId="77777777" w:rsidR="009E1AE2" w:rsidRPr="00A75522" w:rsidRDefault="009E1AE2" w:rsidP="002A2203">
      <w:pPr>
        <w:pStyle w:val="NotesBody11pt"/>
        <w:rPr>
          <w:rFonts w:ascii="Arial" w:hAnsi="Arial" w:cs="Arial"/>
        </w:rPr>
      </w:pPr>
      <w:bookmarkStart w:id="3" w:name="_GoBack"/>
      <w:bookmarkEnd w:id="3"/>
    </w:p>
    <w:sectPr w:rsidR="009E1AE2" w:rsidRPr="00A75522" w:rsidSect="00701F2D">
      <w:headerReference w:type="even" r:id="rId8"/>
      <w:headerReference w:type="default" r:id="rId9"/>
      <w:footerReference w:type="even" r:id="rId10"/>
      <w:footerReference w:type="default" r:id="rId11"/>
      <w:headerReference w:type="first" r:id="rId12"/>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FB55" w14:textId="77777777" w:rsidR="00ED3C67" w:rsidRDefault="00ED3C67" w:rsidP="008C6B3A">
      <w:r>
        <w:separator/>
      </w:r>
    </w:p>
    <w:p w14:paraId="1BFFD588" w14:textId="77777777" w:rsidR="00ED3C67" w:rsidRDefault="00ED3C67"/>
    <w:p w14:paraId="40AF7A3A" w14:textId="77777777" w:rsidR="00ED3C67" w:rsidRDefault="00ED3C67" w:rsidP="00D346FA"/>
  </w:endnote>
  <w:endnote w:type="continuationSeparator" w:id="0">
    <w:p w14:paraId="0331F2FB" w14:textId="77777777" w:rsidR="00ED3C67" w:rsidRDefault="00ED3C67" w:rsidP="008C6B3A">
      <w:r>
        <w:continuationSeparator/>
      </w:r>
    </w:p>
    <w:p w14:paraId="2E4344C7" w14:textId="77777777" w:rsidR="00ED3C67" w:rsidRDefault="00ED3C67"/>
    <w:p w14:paraId="65B2459C" w14:textId="77777777" w:rsidR="00ED3C67" w:rsidRDefault="00ED3C67" w:rsidP="00D3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3B8A"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3F31F7F2"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ABF6" w14:textId="31DAB20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F34C47">
      <w:rPr>
        <w:rStyle w:val="PageNumber"/>
        <w:noProof/>
        <w:sz w:val="15"/>
        <w:szCs w:val="15"/>
      </w:rPr>
      <w:t>5</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EC7A" w14:textId="77777777" w:rsidR="00ED3C67" w:rsidRDefault="00ED3C67" w:rsidP="008C6B3A">
      <w:r>
        <w:separator/>
      </w:r>
    </w:p>
    <w:p w14:paraId="2834A9DC" w14:textId="77777777" w:rsidR="00ED3C67" w:rsidRDefault="00ED3C67"/>
    <w:p w14:paraId="076536D7" w14:textId="77777777" w:rsidR="00ED3C67" w:rsidRDefault="00ED3C67" w:rsidP="00D346FA"/>
  </w:footnote>
  <w:footnote w:type="continuationSeparator" w:id="0">
    <w:p w14:paraId="767DECDE" w14:textId="77777777" w:rsidR="00ED3C67" w:rsidRDefault="00ED3C67" w:rsidP="008C6B3A">
      <w:r>
        <w:continuationSeparator/>
      </w:r>
    </w:p>
    <w:p w14:paraId="57F4F59C" w14:textId="77777777" w:rsidR="00ED3C67" w:rsidRDefault="00ED3C67"/>
    <w:p w14:paraId="6B7F5057" w14:textId="77777777" w:rsidR="00ED3C67" w:rsidRDefault="00ED3C67" w:rsidP="00D3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AA8A" w14:textId="77777777" w:rsidR="001D2562" w:rsidRDefault="001D2562" w:rsidP="008738F9">
    <w:pPr>
      <w:pStyle w:val="Header"/>
    </w:pPr>
    <w:r>
      <w:t>[Type text]</w:t>
    </w:r>
    <w:r>
      <w:rPr>
        <w:color w:val="auto"/>
      </w:rPr>
      <w:tab/>
    </w:r>
    <w:r>
      <w:t>[Type text]</w:t>
    </w:r>
    <w:r>
      <w:rPr>
        <w:color w:val="auto"/>
      </w:rPr>
      <w:tab/>
    </w:r>
    <w:r>
      <w:t>[Type text]</w:t>
    </w:r>
  </w:p>
  <w:p w14:paraId="48761872" w14:textId="77777777" w:rsidR="001D2562" w:rsidRDefault="001D2562" w:rsidP="008738F9">
    <w:pPr>
      <w:pStyle w:val="Header"/>
    </w:pPr>
    <w:r>
      <w:t>[Type text]</w:t>
    </w:r>
    <w:r>
      <w:tab/>
      <w:t>[Type text]</w:t>
    </w:r>
    <w:r>
      <w:tab/>
      <w:t>[Type text]</w:t>
    </w:r>
  </w:p>
  <w:p w14:paraId="7594B39D"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8E3" w14:textId="77777777" w:rsidR="00F9052E" w:rsidRDefault="001D2562" w:rsidP="00F9052E">
    <w:pPr>
      <w:pStyle w:val="Header"/>
    </w:pPr>
    <w:r w:rsidRPr="008738F9">
      <w:rPr>
        <w:noProof/>
      </w:rPr>
      <w:drawing>
        <wp:anchor distT="0" distB="0" distL="114300" distR="114300" simplePos="0" relativeHeight="251663360"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E5">
      <w:t xml:space="preserve">PIP2IT </w:t>
    </w:r>
    <w:r w:rsidR="00F9052E">
      <w:t xml:space="preserve">650MHz </w:t>
    </w:r>
    <w:r w:rsidR="00BB56E5">
      <w:t xml:space="preserve">HPRF Distribution </w:t>
    </w:r>
    <w:r w:rsidR="0072674F">
      <w:t>F</w:t>
    </w:r>
    <w:r w:rsidR="00BB56E5">
      <w:t>DR Charge</w:t>
    </w:r>
  </w:p>
  <w:p w14:paraId="08E81BF2" w14:textId="3F5701EC" w:rsidR="001D2562" w:rsidRPr="008738F9" w:rsidRDefault="001D2562" w:rsidP="00F9052E">
    <w:pPr>
      <w:pStyle w:val="Header"/>
      <w:ind w:left="0"/>
    </w:pP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CE85" w14:textId="77777777" w:rsidR="001D2562" w:rsidRDefault="001D2562" w:rsidP="008738F9">
    <w:pPr>
      <w:pStyle w:val="Header"/>
    </w:pPr>
    <w:r>
      <w:rPr>
        <w:noProof/>
      </w:rPr>
      <w:drawing>
        <wp:anchor distT="0" distB="0" distL="114300" distR="114300" simplePos="0" relativeHeight="251657216"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B0F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5577EBA"/>
    <w:multiLevelType w:val="hybridMultilevel"/>
    <w:tmpl w:val="113A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2842EE"/>
    <w:multiLevelType w:val="multilevel"/>
    <w:tmpl w:val="4AB0ABC8"/>
    <w:lvl w:ilvl="0">
      <w:start w:val="1"/>
      <w:numFmt w:val="upperRoman"/>
      <w:pStyle w:val="Heading2"/>
      <w:lvlText w:val="%1."/>
      <w:lvlJc w:val="left"/>
      <w:pPr>
        <w:ind w:left="1116" w:hanging="576"/>
      </w:pPr>
      <w:rPr>
        <w:rFonts w:hint="default"/>
        <w:color w:val="4F81BD" w:themeColor="accent1"/>
        <w:sz w:val="28"/>
      </w:rPr>
    </w:lvl>
    <w:lvl w:ilvl="1">
      <w:start w:val="1"/>
      <w:numFmt w:val="lowerLetter"/>
      <w:pStyle w:val="Heading3"/>
      <w:lvlText w:val="%2."/>
      <w:lvlJc w:val="left"/>
      <w:pPr>
        <w:ind w:left="-144" w:hanging="288"/>
      </w:pPr>
      <w:rPr>
        <w:rFonts w:hint="default"/>
      </w:rPr>
    </w:lvl>
    <w:lvl w:ilvl="2">
      <w:start w:val="1"/>
      <w:numFmt w:val="lowerRoman"/>
      <w:pStyle w:val="Heading4"/>
      <w:lvlText w:val="%3."/>
      <w:lvlJc w:val="left"/>
      <w:pPr>
        <w:ind w:left="72" w:hanging="360"/>
      </w:pPr>
      <w:rPr>
        <w:rFonts w:hint="default"/>
      </w:rPr>
    </w:lvl>
    <w:lvl w:ilvl="3">
      <w:start w:val="1"/>
      <w:numFmt w:val="decimal"/>
      <w:pStyle w:val="Heading5"/>
      <w:lvlText w:val="%4."/>
      <w:lvlJc w:val="left"/>
      <w:pPr>
        <w:ind w:left="432" w:hanging="360"/>
      </w:pPr>
      <w:rPr>
        <w:rFonts w:hint="default"/>
      </w:rPr>
    </w:lvl>
    <w:lvl w:ilvl="4">
      <w:start w:val="1"/>
      <w:numFmt w:val="lowerLetter"/>
      <w:pStyle w:val="Heading6"/>
      <w:lvlText w:val="%5)"/>
      <w:lvlJc w:val="left"/>
      <w:pPr>
        <w:ind w:left="792" w:hanging="360"/>
      </w:pPr>
      <w:rPr>
        <w:rFonts w:hint="default"/>
      </w:rPr>
    </w:lvl>
    <w:lvl w:ilvl="5">
      <w:start w:val="1"/>
      <w:numFmt w:val="lowerRoman"/>
      <w:pStyle w:val="Heading7"/>
      <w:lvlText w:val="%6)"/>
      <w:lvlJc w:val="left"/>
      <w:pPr>
        <w:ind w:left="1152" w:hanging="360"/>
      </w:pPr>
      <w:rPr>
        <w:rFonts w:hint="default"/>
      </w:rPr>
    </w:lvl>
    <w:lvl w:ilvl="6">
      <w:start w:val="1"/>
      <w:numFmt w:val="decimal"/>
      <w:pStyle w:val="Heading8"/>
      <w:lvlText w:val="%7)"/>
      <w:lvlJc w:val="left"/>
      <w:pPr>
        <w:ind w:left="1512" w:hanging="360"/>
      </w:pPr>
      <w:rPr>
        <w:rFonts w:hint="default"/>
      </w:rPr>
    </w:lvl>
    <w:lvl w:ilvl="7">
      <w:start w:val="1"/>
      <w:numFmt w:val="lowerLetter"/>
      <w:pStyle w:val="Heading9"/>
      <w:lvlText w:val="(%8)"/>
      <w:lvlJc w:val="left"/>
      <w:pPr>
        <w:ind w:left="1872" w:hanging="360"/>
      </w:pPr>
      <w:rPr>
        <w:rFonts w:hint="default"/>
      </w:rPr>
    </w:lvl>
    <w:lvl w:ilvl="8">
      <w:start w:val="1"/>
      <w:numFmt w:val="lowerRoman"/>
      <w:lvlText w:val="(%9)"/>
      <w:lvlJc w:val="left"/>
      <w:pPr>
        <w:ind w:left="2232" w:hanging="360"/>
      </w:pPr>
      <w:rPr>
        <w:rFonts w:hint="default"/>
      </w:rPr>
    </w:lvl>
  </w:abstractNum>
  <w:abstractNum w:abstractNumId="7"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7F34F63"/>
    <w:multiLevelType w:val="hybridMultilevel"/>
    <w:tmpl w:val="C6D457E8"/>
    <w:lvl w:ilvl="0" w:tplc="1AAA5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38956139"/>
    <w:multiLevelType w:val="hybridMultilevel"/>
    <w:tmpl w:val="49B2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4C5"/>
    <w:multiLevelType w:val="hybridMultilevel"/>
    <w:tmpl w:val="1C3C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5154BDE"/>
    <w:multiLevelType w:val="multilevel"/>
    <w:tmpl w:val="6C300568"/>
    <w:lvl w:ilvl="0">
      <w:start w:val="1"/>
      <w:numFmt w:val="decimal"/>
      <w:lvlText w:val="%1.0"/>
      <w:lvlJc w:val="left"/>
      <w:pPr>
        <w:ind w:left="396" w:hanging="396"/>
      </w:pPr>
      <w:rPr>
        <w:rFonts w:hint="default"/>
      </w:rPr>
    </w:lvl>
    <w:lvl w:ilvl="1">
      <w:start w:val="1"/>
      <w:numFmt w:val="decimal"/>
      <w:lvlText w:val="%1.%2"/>
      <w:lvlJc w:val="left"/>
      <w:pPr>
        <w:ind w:left="828" w:hanging="396"/>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1"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5C5C73A0"/>
    <w:multiLevelType w:val="hybridMultilevel"/>
    <w:tmpl w:val="E278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6975D2B"/>
    <w:multiLevelType w:val="hybridMultilevel"/>
    <w:tmpl w:val="AB52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22"/>
  </w:num>
  <w:num w:numId="3">
    <w:abstractNumId w:val="35"/>
  </w:num>
  <w:num w:numId="4">
    <w:abstractNumId w:val="24"/>
  </w:num>
  <w:num w:numId="5">
    <w:abstractNumId w:val="29"/>
  </w:num>
  <w:num w:numId="6">
    <w:abstractNumId w:val="27"/>
  </w:num>
  <w:num w:numId="7">
    <w:abstractNumId w:val="2"/>
  </w:num>
  <w:num w:numId="8">
    <w:abstractNumId w:val="7"/>
  </w:num>
  <w:num w:numId="9">
    <w:abstractNumId w:val="11"/>
  </w:num>
  <w:num w:numId="10">
    <w:abstractNumId w:val="28"/>
  </w:num>
  <w:num w:numId="11">
    <w:abstractNumId w:val="8"/>
  </w:num>
  <w:num w:numId="12">
    <w:abstractNumId w:val="25"/>
  </w:num>
  <w:num w:numId="13">
    <w:abstractNumId w:val="19"/>
  </w:num>
  <w:num w:numId="14">
    <w:abstractNumId w:val="36"/>
  </w:num>
  <w:num w:numId="15">
    <w:abstractNumId w:val="14"/>
  </w:num>
  <w:num w:numId="16">
    <w:abstractNumId w:val="31"/>
  </w:num>
  <w:num w:numId="17">
    <w:abstractNumId w:val="15"/>
  </w:num>
  <w:num w:numId="18">
    <w:abstractNumId w:val="10"/>
  </w:num>
  <w:num w:numId="19">
    <w:abstractNumId w:val="21"/>
  </w:num>
  <w:num w:numId="20">
    <w:abstractNumId w:val="33"/>
  </w:num>
  <w:num w:numId="21">
    <w:abstractNumId w:val="16"/>
  </w:num>
  <w:num w:numId="22">
    <w:abstractNumId w:val="13"/>
  </w:num>
  <w:num w:numId="23">
    <w:abstractNumId w:val="13"/>
  </w:num>
  <w:num w:numId="24">
    <w:abstractNumId w:val="35"/>
  </w:num>
  <w:num w:numId="25">
    <w:abstractNumId w:val="35"/>
  </w:num>
  <w:num w:numId="26">
    <w:abstractNumId w:val="35"/>
  </w:num>
  <w:num w:numId="27">
    <w:abstractNumId w:val="5"/>
  </w:num>
  <w:num w:numId="28">
    <w:abstractNumId w:val="30"/>
  </w:num>
  <w:num w:numId="29">
    <w:abstractNumId w:val="1"/>
  </w:num>
  <w:num w:numId="30">
    <w:abstractNumId w:val="4"/>
  </w:num>
  <w:num w:numId="31">
    <w:abstractNumId w:val="23"/>
  </w:num>
  <w:num w:numId="32">
    <w:abstractNumId w:val="17"/>
  </w:num>
  <w:num w:numId="33">
    <w:abstractNumId w:val="6"/>
  </w:num>
  <w:num w:numId="34">
    <w:abstractNumId w:val="6"/>
  </w:num>
  <w:num w:numId="35">
    <w:abstractNumId w:val="34"/>
  </w:num>
  <w:num w:numId="36">
    <w:abstractNumId w:val="26"/>
  </w:num>
  <w:num w:numId="37">
    <w:abstractNumId w:val="9"/>
  </w:num>
  <w:num w:numId="38">
    <w:abstractNumId w:val="12"/>
  </w:num>
  <w:num w:numId="39">
    <w:abstractNumId w:val="0"/>
  </w:num>
  <w:num w:numId="40">
    <w:abstractNumId w:val="20"/>
  </w:num>
  <w:num w:numId="41">
    <w:abstractNumId w:val="32"/>
  </w:num>
  <w:num w:numId="42">
    <w:abstractNumId w:val="3"/>
  </w:num>
  <w:num w:numId="4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5C3B"/>
    <w:rsid w:val="00027B21"/>
    <w:rsid w:val="00027F12"/>
    <w:rsid w:val="000414EB"/>
    <w:rsid w:val="0004685C"/>
    <w:rsid w:val="00050A5A"/>
    <w:rsid w:val="00063CE7"/>
    <w:rsid w:val="00063CFB"/>
    <w:rsid w:val="00067F4F"/>
    <w:rsid w:val="000732C6"/>
    <w:rsid w:val="00076FBE"/>
    <w:rsid w:val="0008072A"/>
    <w:rsid w:val="00081407"/>
    <w:rsid w:val="000879A7"/>
    <w:rsid w:val="00093169"/>
    <w:rsid w:val="00095418"/>
    <w:rsid w:val="000A04F0"/>
    <w:rsid w:val="000A326B"/>
    <w:rsid w:val="000B3500"/>
    <w:rsid w:val="000B40F6"/>
    <w:rsid w:val="000B529B"/>
    <w:rsid w:val="000B6145"/>
    <w:rsid w:val="000C1D9D"/>
    <w:rsid w:val="000D1025"/>
    <w:rsid w:val="000D515B"/>
    <w:rsid w:val="000D7374"/>
    <w:rsid w:val="000D7680"/>
    <w:rsid w:val="000E380B"/>
    <w:rsid w:val="000E6F03"/>
    <w:rsid w:val="000F1653"/>
    <w:rsid w:val="00100DF3"/>
    <w:rsid w:val="0010186E"/>
    <w:rsid w:val="00101AA4"/>
    <w:rsid w:val="00102551"/>
    <w:rsid w:val="00104D99"/>
    <w:rsid w:val="00105DC5"/>
    <w:rsid w:val="001107F7"/>
    <w:rsid w:val="00110A9C"/>
    <w:rsid w:val="00112694"/>
    <w:rsid w:val="001158AC"/>
    <w:rsid w:val="0012353F"/>
    <w:rsid w:val="0012536C"/>
    <w:rsid w:val="001314BE"/>
    <w:rsid w:val="00134954"/>
    <w:rsid w:val="00140082"/>
    <w:rsid w:val="00140851"/>
    <w:rsid w:val="00142DF9"/>
    <w:rsid w:val="00143C3C"/>
    <w:rsid w:val="00147C42"/>
    <w:rsid w:val="00152972"/>
    <w:rsid w:val="001602A7"/>
    <w:rsid w:val="0016253E"/>
    <w:rsid w:val="001650F7"/>
    <w:rsid w:val="00166DBE"/>
    <w:rsid w:val="00170C35"/>
    <w:rsid w:val="00170E1A"/>
    <w:rsid w:val="00172F94"/>
    <w:rsid w:val="001747CF"/>
    <w:rsid w:val="00177150"/>
    <w:rsid w:val="001774E6"/>
    <w:rsid w:val="00187355"/>
    <w:rsid w:val="00193770"/>
    <w:rsid w:val="001937B1"/>
    <w:rsid w:val="00194C60"/>
    <w:rsid w:val="001967B2"/>
    <w:rsid w:val="001975FA"/>
    <w:rsid w:val="001B3A34"/>
    <w:rsid w:val="001C6F5E"/>
    <w:rsid w:val="001C74E9"/>
    <w:rsid w:val="001C7AD5"/>
    <w:rsid w:val="001D1A1A"/>
    <w:rsid w:val="001D2562"/>
    <w:rsid w:val="001D3070"/>
    <w:rsid w:val="001E2492"/>
    <w:rsid w:val="001E31DB"/>
    <w:rsid w:val="001F739C"/>
    <w:rsid w:val="001F7C54"/>
    <w:rsid w:val="00201659"/>
    <w:rsid w:val="002037D0"/>
    <w:rsid w:val="002067C9"/>
    <w:rsid w:val="00207BB9"/>
    <w:rsid w:val="0021028F"/>
    <w:rsid w:val="00210650"/>
    <w:rsid w:val="00235AB7"/>
    <w:rsid w:val="00243D22"/>
    <w:rsid w:val="002451D1"/>
    <w:rsid w:val="0024751E"/>
    <w:rsid w:val="00254955"/>
    <w:rsid w:val="0025745C"/>
    <w:rsid w:val="0026047E"/>
    <w:rsid w:val="0026461B"/>
    <w:rsid w:val="002706DD"/>
    <w:rsid w:val="00275299"/>
    <w:rsid w:val="00291D53"/>
    <w:rsid w:val="00296141"/>
    <w:rsid w:val="00297CC8"/>
    <w:rsid w:val="002A2203"/>
    <w:rsid w:val="002B1998"/>
    <w:rsid w:val="002B6167"/>
    <w:rsid w:val="002C481E"/>
    <w:rsid w:val="002D0732"/>
    <w:rsid w:val="002D72C2"/>
    <w:rsid w:val="002E385F"/>
    <w:rsid w:val="002F305D"/>
    <w:rsid w:val="003002EB"/>
    <w:rsid w:val="00305BC1"/>
    <w:rsid w:val="0030707D"/>
    <w:rsid w:val="00334AFB"/>
    <w:rsid w:val="00342BD6"/>
    <w:rsid w:val="003470CD"/>
    <w:rsid w:val="003610FF"/>
    <w:rsid w:val="00362CD0"/>
    <w:rsid w:val="00365D98"/>
    <w:rsid w:val="0036657D"/>
    <w:rsid w:val="00382C7C"/>
    <w:rsid w:val="0038319B"/>
    <w:rsid w:val="00384AA0"/>
    <w:rsid w:val="003A0651"/>
    <w:rsid w:val="003A6CC2"/>
    <w:rsid w:val="003B0980"/>
    <w:rsid w:val="003B22E3"/>
    <w:rsid w:val="003B2D13"/>
    <w:rsid w:val="003B306C"/>
    <w:rsid w:val="003B744E"/>
    <w:rsid w:val="003C2AF5"/>
    <w:rsid w:val="003C4343"/>
    <w:rsid w:val="003C5A3A"/>
    <w:rsid w:val="003F2ED1"/>
    <w:rsid w:val="003F55EA"/>
    <w:rsid w:val="00402E14"/>
    <w:rsid w:val="00432143"/>
    <w:rsid w:val="00442729"/>
    <w:rsid w:val="00444609"/>
    <w:rsid w:val="00453FDF"/>
    <w:rsid w:val="0045717D"/>
    <w:rsid w:val="0046336F"/>
    <w:rsid w:val="00465865"/>
    <w:rsid w:val="00466A87"/>
    <w:rsid w:val="00467791"/>
    <w:rsid w:val="00483AF8"/>
    <w:rsid w:val="004904CF"/>
    <w:rsid w:val="004908A3"/>
    <w:rsid w:val="00493391"/>
    <w:rsid w:val="004A211C"/>
    <w:rsid w:val="004A7B7F"/>
    <w:rsid w:val="004B1023"/>
    <w:rsid w:val="004C4255"/>
    <w:rsid w:val="004D0EE8"/>
    <w:rsid w:val="004D3ED7"/>
    <w:rsid w:val="004D707B"/>
    <w:rsid w:val="004D7764"/>
    <w:rsid w:val="004D78D0"/>
    <w:rsid w:val="004E6E66"/>
    <w:rsid w:val="004F4722"/>
    <w:rsid w:val="00501F50"/>
    <w:rsid w:val="00507AD3"/>
    <w:rsid w:val="00510B7A"/>
    <w:rsid w:val="00512BCB"/>
    <w:rsid w:val="00533616"/>
    <w:rsid w:val="00534410"/>
    <w:rsid w:val="00536578"/>
    <w:rsid w:val="0053735B"/>
    <w:rsid w:val="00540A46"/>
    <w:rsid w:val="00542A6E"/>
    <w:rsid w:val="005454C8"/>
    <w:rsid w:val="00545914"/>
    <w:rsid w:val="00556C4C"/>
    <w:rsid w:val="00567357"/>
    <w:rsid w:val="00581327"/>
    <w:rsid w:val="005858E8"/>
    <w:rsid w:val="0059412C"/>
    <w:rsid w:val="00596237"/>
    <w:rsid w:val="00597C5C"/>
    <w:rsid w:val="005A0745"/>
    <w:rsid w:val="005A536A"/>
    <w:rsid w:val="005A6215"/>
    <w:rsid w:val="005B1C2F"/>
    <w:rsid w:val="005B4499"/>
    <w:rsid w:val="005B5B8D"/>
    <w:rsid w:val="005C373D"/>
    <w:rsid w:val="005C4B11"/>
    <w:rsid w:val="005D094C"/>
    <w:rsid w:val="005D2F6C"/>
    <w:rsid w:val="005E1151"/>
    <w:rsid w:val="005E6307"/>
    <w:rsid w:val="005F25A8"/>
    <w:rsid w:val="005F29CB"/>
    <w:rsid w:val="005F4965"/>
    <w:rsid w:val="005F643E"/>
    <w:rsid w:val="005F76BD"/>
    <w:rsid w:val="006053B0"/>
    <w:rsid w:val="00605BC2"/>
    <w:rsid w:val="006077F8"/>
    <w:rsid w:val="00611B67"/>
    <w:rsid w:val="00611DD3"/>
    <w:rsid w:val="00620E3C"/>
    <w:rsid w:val="00623255"/>
    <w:rsid w:val="006242CC"/>
    <w:rsid w:val="006274B3"/>
    <w:rsid w:val="00630287"/>
    <w:rsid w:val="00634CD6"/>
    <w:rsid w:val="0064217A"/>
    <w:rsid w:val="0064337E"/>
    <w:rsid w:val="00645DBD"/>
    <w:rsid w:val="0064657C"/>
    <w:rsid w:val="00646D88"/>
    <w:rsid w:val="00646FD6"/>
    <w:rsid w:val="00650769"/>
    <w:rsid w:val="00653C48"/>
    <w:rsid w:val="0066168E"/>
    <w:rsid w:val="00663FFF"/>
    <w:rsid w:val="006715E9"/>
    <w:rsid w:val="006738A8"/>
    <w:rsid w:val="00677435"/>
    <w:rsid w:val="00682383"/>
    <w:rsid w:val="00686E8C"/>
    <w:rsid w:val="00690F1C"/>
    <w:rsid w:val="00693F88"/>
    <w:rsid w:val="00696033"/>
    <w:rsid w:val="006A09AA"/>
    <w:rsid w:val="006B4405"/>
    <w:rsid w:val="006D6B0A"/>
    <w:rsid w:val="006E26F3"/>
    <w:rsid w:val="006E5B2C"/>
    <w:rsid w:val="006F10CE"/>
    <w:rsid w:val="006F2319"/>
    <w:rsid w:val="007011E4"/>
    <w:rsid w:val="00701F2D"/>
    <w:rsid w:val="007062DF"/>
    <w:rsid w:val="007126EC"/>
    <w:rsid w:val="00712F7E"/>
    <w:rsid w:val="007149A1"/>
    <w:rsid w:val="00716E1A"/>
    <w:rsid w:val="00723D17"/>
    <w:rsid w:val="007240CC"/>
    <w:rsid w:val="00725838"/>
    <w:rsid w:val="0072659D"/>
    <w:rsid w:val="0072674F"/>
    <w:rsid w:val="00727EC8"/>
    <w:rsid w:val="007425E6"/>
    <w:rsid w:val="0075060F"/>
    <w:rsid w:val="007629ED"/>
    <w:rsid w:val="00770CDD"/>
    <w:rsid w:val="0077227E"/>
    <w:rsid w:val="00774D3B"/>
    <w:rsid w:val="00776241"/>
    <w:rsid w:val="0078062A"/>
    <w:rsid w:val="00787547"/>
    <w:rsid w:val="007964E7"/>
    <w:rsid w:val="007A20C4"/>
    <w:rsid w:val="007A7E4F"/>
    <w:rsid w:val="007B2E8F"/>
    <w:rsid w:val="007C195D"/>
    <w:rsid w:val="007C4388"/>
    <w:rsid w:val="007C6242"/>
    <w:rsid w:val="007D4C35"/>
    <w:rsid w:val="007D60D4"/>
    <w:rsid w:val="007D753F"/>
    <w:rsid w:val="007D7DC3"/>
    <w:rsid w:val="007D7EDE"/>
    <w:rsid w:val="007E5AFC"/>
    <w:rsid w:val="007E69EF"/>
    <w:rsid w:val="007F4081"/>
    <w:rsid w:val="007F442C"/>
    <w:rsid w:val="007F51F0"/>
    <w:rsid w:val="0080271D"/>
    <w:rsid w:val="0081341C"/>
    <w:rsid w:val="00817DFD"/>
    <w:rsid w:val="00820E6B"/>
    <w:rsid w:val="00821A60"/>
    <w:rsid w:val="008247C7"/>
    <w:rsid w:val="008248FF"/>
    <w:rsid w:val="00824B41"/>
    <w:rsid w:val="00825A50"/>
    <w:rsid w:val="00831EEC"/>
    <w:rsid w:val="00835B8F"/>
    <w:rsid w:val="00840BBF"/>
    <w:rsid w:val="008455C1"/>
    <w:rsid w:val="0085201D"/>
    <w:rsid w:val="008657C5"/>
    <w:rsid w:val="008660DF"/>
    <w:rsid w:val="00871778"/>
    <w:rsid w:val="00871AE0"/>
    <w:rsid w:val="00872203"/>
    <w:rsid w:val="008738F9"/>
    <w:rsid w:val="00874713"/>
    <w:rsid w:val="00875918"/>
    <w:rsid w:val="008771B4"/>
    <w:rsid w:val="0087764D"/>
    <w:rsid w:val="00882654"/>
    <w:rsid w:val="00882B97"/>
    <w:rsid w:val="008849B6"/>
    <w:rsid w:val="00885A1B"/>
    <w:rsid w:val="008942AA"/>
    <w:rsid w:val="008A0F62"/>
    <w:rsid w:val="008A3470"/>
    <w:rsid w:val="008B1172"/>
    <w:rsid w:val="008B2340"/>
    <w:rsid w:val="008B5CCF"/>
    <w:rsid w:val="008C6B3A"/>
    <w:rsid w:val="008D3005"/>
    <w:rsid w:val="008E0F57"/>
    <w:rsid w:val="008E1A43"/>
    <w:rsid w:val="008F015D"/>
    <w:rsid w:val="008F4073"/>
    <w:rsid w:val="00903EA7"/>
    <w:rsid w:val="009127E2"/>
    <w:rsid w:val="0091657E"/>
    <w:rsid w:val="00916B3E"/>
    <w:rsid w:val="00921DA4"/>
    <w:rsid w:val="009249B4"/>
    <w:rsid w:val="00927A0D"/>
    <w:rsid w:val="009377E3"/>
    <w:rsid w:val="009416DF"/>
    <w:rsid w:val="009476B2"/>
    <w:rsid w:val="00964325"/>
    <w:rsid w:val="00972C83"/>
    <w:rsid w:val="00983303"/>
    <w:rsid w:val="00990A11"/>
    <w:rsid w:val="00996DDF"/>
    <w:rsid w:val="009A4119"/>
    <w:rsid w:val="009A553A"/>
    <w:rsid w:val="009A5680"/>
    <w:rsid w:val="009A5DA0"/>
    <w:rsid w:val="009B2C8A"/>
    <w:rsid w:val="009B6597"/>
    <w:rsid w:val="009C03EE"/>
    <w:rsid w:val="009C0743"/>
    <w:rsid w:val="009C1A25"/>
    <w:rsid w:val="009C1EE0"/>
    <w:rsid w:val="009D1DB3"/>
    <w:rsid w:val="009E1AE2"/>
    <w:rsid w:val="009F2E60"/>
    <w:rsid w:val="009F528B"/>
    <w:rsid w:val="009F5982"/>
    <w:rsid w:val="009F6E73"/>
    <w:rsid w:val="00A0207B"/>
    <w:rsid w:val="00A065A6"/>
    <w:rsid w:val="00A0665F"/>
    <w:rsid w:val="00A06EFF"/>
    <w:rsid w:val="00A0751F"/>
    <w:rsid w:val="00A101F9"/>
    <w:rsid w:val="00A1084F"/>
    <w:rsid w:val="00A10877"/>
    <w:rsid w:val="00A12E82"/>
    <w:rsid w:val="00A131A9"/>
    <w:rsid w:val="00A16405"/>
    <w:rsid w:val="00A16910"/>
    <w:rsid w:val="00A24B9F"/>
    <w:rsid w:val="00A24CF7"/>
    <w:rsid w:val="00A251C4"/>
    <w:rsid w:val="00A42842"/>
    <w:rsid w:val="00A43000"/>
    <w:rsid w:val="00A5162D"/>
    <w:rsid w:val="00A540C2"/>
    <w:rsid w:val="00A54D5D"/>
    <w:rsid w:val="00A64B42"/>
    <w:rsid w:val="00A66435"/>
    <w:rsid w:val="00A75522"/>
    <w:rsid w:val="00A830EB"/>
    <w:rsid w:val="00A84F05"/>
    <w:rsid w:val="00A90405"/>
    <w:rsid w:val="00A95CC6"/>
    <w:rsid w:val="00A97999"/>
    <w:rsid w:val="00AA1574"/>
    <w:rsid w:val="00AB6FC3"/>
    <w:rsid w:val="00AC13F5"/>
    <w:rsid w:val="00AC35ED"/>
    <w:rsid w:val="00AD0B13"/>
    <w:rsid w:val="00AD6E33"/>
    <w:rsid w:val="00AD7112"/>
    <w:rsid w:val="00AF0FB1"/>
    <w:rsid w:val="00AF3DE1"/>
    <w:rsid w:val="00AF3E4B"/>
    <w:rsid w:val="00AF60CC"/>
    <w:rsid w:val="00AF7310"/>
    <w:rsid w:val="00B04789"/>
    <w:rsid w:val="00B10421"/>
    <w:rsid w:val="00B10A13"/>
    <w:rsid w:val="00B10BB0"/>
    <w:rsid w:val="00B10E94"/>
    <w:rsid w:val="00B10FD2"/>
    <w:rsid w:val="00B1702C"/>
    <w:rsid w:val="00B177E3"/>
    <w:rsid w:val="00B2383D"/>
    <w:rsid w:val="00B24F16"/>
    <w:rsid w:val="00B25406"/>
    <w:rsid w:val="00B2722B"/>
    <w:rsid w:val="00B31794"/>
    <w:rsid w:val="00B32282"/>
    <w:rsid w:val="00B33B89"/>
    <w:rsid w:val="00B40ADB"/>
    <w:rsid w:val="00B4298F"/>
    <w:rsid w:val="00B47F54"/>
    <w:rsid w:val="00B633A5"/>
    <w:rsid w:val="00B63DBD"/>
    <w:rsid w:val="00B6495B"/>
    <w:rsid w:val="00B64E1B"/>
    <w:rsid w:val="00B671E5"/>
    <w:rsid w:val="00B71AE4"/>
    <w:rsid w:val="00B76B06"/>
    <w:rsid w:val="00B8602D"/>
    <w:rsid w:val="00B9083B"/>
    <w:rsid w:val="00B912B0"/>
    <w:rsid w:val="00B95548"/>
    <w:rsid w:val="00B95FB3"/>
    <w:rsid w:val="00B9785E"/>
    <w:rsid w:val="00BB0A47"/>
    <w:rsid w:val="00BB56E5"/>
    <w:rsid w:val="00BC6FD1"/>
    <w:rsid w:val="00BD58E7"/>
    <w:rsid w:val="00BE3A73"/>
    <w:rsid w:val="00BE601E"/>
    <w:rsid w:val="00BF1527"/>
    <w:rsid w:val="00BF1F9E"/>
    <w:rsid w:val="00C070F2"/>
    <w:rsid w:val="00C13503"/>
    <w:rsid w:val="00C22C67"/>
    <w:rsid w:val="00C42210"/>
    <w:rsid w:val="00C43E12"/>
    <w:rsid w:val="00C46129"/>
    <w:rsid w:val="00C50A94"/>
    <w:rsid w:val="00C51377"/>
    <w:rsid w:val="00C51B43"/>
    <w:rsid w:val="00C73FD2"/>
    <w:rsid w:val="00C7422F"/>
    <w:rsid w:val="00C808BC"/>
    <w:rsid w:val="00C90AE4"/>
    <w:rsid w:val="00C97494"/>
    <w:rsid w:val="00CB59D9"/>
    <w:rsid w:val="00CB7CB5"/>
    <w:rsid w:val="00CC2F76"/>
    <w:rsid w:val="00CC5A81"/>
    <w:rsid w:val="00CD1AB6"/>
    <w:rsid w:val="00CD2A5E"/>
    <w:rsid w:val="00CD68A7"/>
    <w:rsid w:val="00CF2B5A"/>
    <w:rsid w:val="00CF6A5D"/>
    <w:rsid w:val="00D05FFF"/>
    <w:rsid w:val="00D060AD"/>
    <w:rsid w:val="00D127BE"/>
    <w:rsid w:val="00D1492C"/>
    <w:rsid w:val="00D15B94"/>
    <w:rsid w:val="00D17411"/>
    <w:rsid w:val="00D202E3"/>
    <w:rsid w:val="00D30E80"/>
    <w:rsid w:val="00D346FA"/>
    <w:rsid w:val="00D435B5"/>
    <w:rsid w:val="00D4787E"/>
    <w:rsid w:val="00D60D0F"/>
    <w:rsid w:val="00D63F7A"/>
    <w:rsid w:val="00D76049"/>
    <w:rsid w:val="00D772B7"/>
    <w:rsid w:val="00D7758B"/>
    <w:rsid w:val="00D80213"/>
    <w:rsid w:val="00D80F96"/>
    <w:rsid w:val="00D81085"/>
    <w:rsid w:val="00D825A4"/>
    <w:rsid w:val="00D84463"/>
    <w:rsid w:val="00DA18D4"/>
    <w:rsid w:val="00DB0678"/>
    <w:rsid w:val="00DB0FF6"/>
    <w:rsid w:val="00DB404B"/>
    <w:rsid w:val="00DB565D"/>
    <w:rsid w:val="00DD3B2E"/>
    <w:rsid w:val="00DD76C2"/>
    <w:rsid w:val="00DE17E8"/>
    <w:rsid w:val="00DE2F47"/>
    <w:rsid w:val="00DE30B6"/>
    <w:rsid w:val="00DE3AC1"/>
    <w:rsid w:val="00DE6270"/>
    <w:rsid w:val="00DF4268"/>
    <w:rsid w:val="00E00D37"/>
    <w:rsid w:val="00E03446"/>
    <w:rsid w:val="00E04533"/>
    <w:rsid w:val="00E0621E"/>
    <w:rsid w:val="00E11BE2"/>
    <w:rsid w:val="00E1654E"/>
    <w:rsid w:val="00E170F6"/>
    <w:rsid w:val="00E333D4"/>
    <w:rsid w:val="00E44AE2"/>
    <w:rsid w:val="00E45359"/>
    <w:rsid w:val="00E60C48"/>
    <w:rsid w:val="00E62CFE"/>
    <w:rsid w:val="00E71C17"/>
    <w:rsid w:val="00E72535"/>
    <w:rsid w:val="00E7260E"/>
    <w:rsid w:val="00E73B11"/>
    <w:rsid w:val="00E848D5"/>
    <w:rsid w:val="00EA100A"/>
    <w:rsid w:val="00EA1AFA"/>
    <w:rsid w:val="00EA6F8B"/>
    <w:rsid w:val="00EA6FC7"/>
    <w:rsid w:val="00EB04CA"/>
    <w:rsid w:val="00EB1DAF"/>
    <w:rsid w:val="00EB285F"/>
    <w:rsid w:val="00EB6B0F"/>
    <w:rsid w:val="00EB7EFB"/>
    <w:rsid w:val="00EC2BF2"/>
    <w:rsid w:val="00EC3A72"/>
    <w:rsid w:val="00EC7B59"/>
    <w:rsid w:val="00ED0D32"/>
    <w:rsid w:val="00ED2D01"/>
    <w:rsid w:val="00ED3C67"/>
    <w:rsid w:val="00ED6DFD"/>
    <w:rsid w:val="00EF269C"/>
    <w:rsid w:val="00F01014"/>
    <w:rsid w:val="00F03053"/>
    <w:rsid w:val="00F030D3"/>
    <w:rsid w:val="00F10D4A"/>
    <w:rsid w:val="00F1184E"/>
    <w:rsid w:val="00F145FD"/>
    <w:rsid w:val="00F228D7"/>
    <w:rsid w:val="00F25E57"/>
    <w:rsid w:val="00F2722A"/>
    <w:rsid w:val="00F33926"/>
    <w:rsid w:val="00F34C47"/>
    <w:rsid w:val="00F37AE1"/>
    <w:rsid w:val="00F41B71"/>
    <w:rsid w:val="00F41BA6"/>
    <w:rsid w:val="00F50517"/>
    <w:rsid w:val="00F70F3D"/>
    <w:rsid w:val="00F73BBC"/>
    <w:rsid w:val="00F87154"/>
    <w:rsid w:val="00F87F98"/>
    <w:rsid w:val="00F9052E"/>
    <w:rsid w:val="00F90948"/>
    <w:rsid w:val="00F92D2A"/>
    <w:rsid w:val="00F956C3"/>
    <w:rsid w:val="00FA208E"/>
    <w:rsid w:val="00FD423C"/>
    <w:rsid w:val="00FD526C"/>
    <w:rsid w:val="00FE42D6"/>
    <w:rsid w:val="00FE580C"/>
    <w:rsid w:val="6DCA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767CA"/>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aliases w:val="CDMO-Table Grid"/>
    <w:basedOn w:val="TableNormal"/>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87F98"/>
    <w:rPr>
      <w:color w:val="800080" w:themeColor="followedHyperlink"/>
      <w:u w:val="single"/>
    </w:rPr>
  </w:style>
  <w:style w:type="character" w:styleId="UnresolvedMention">
    <w:name w:val="Unresolved Mention"/>
    <w:basedOn w:val="DefaultParagraphFont"/>
    <w:uiPriority w:val="99"/>
    <w:semiHidden/>
    <w:unhideWhenUsed/>
    <w:rsid w:val="0087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15">
      <w:bodyDiv w:val="1"/>
      <w:marLeft w:val="0"/>
      <w:marRight w:val="0"/>
      <w:marTop w:val="0"/>
      <w:marBottom w:val="0"/>
      <w:divBdr>
        <w:top w:val="none" w:sz="0" w:space="0" w:color="auto"/>
        <w:left w:val="none" w:sz="0" w:space="0" w:color="auto"/>
        <w:bottom w:val="none" w:sz="0" w:space="0" w:color="auto"/>
        <w:right w:val="none" w:sz="0" w:space="0" w:color="auto"/>
      </w:divBdr>
    </w:div>
    <w:div w:id="400565224">
      <w:bodyDiv w:val="1"/>
      <w:marLeft w:val="0"/>
      <w:marRight w:val="0"/>
      <w:marTop w:val="0"/>
      <w:marBottom w:val="0"/>
      <w:divBdr>
        <w:top w:val="none" w:sz="0" w:space="0" w:color="auto"/>
        <w:left w:val="none" w:sz="0" w:space="0" w:color="auto"/>
        <w:bottom w:val="none" w:sz="0" w:space="0" w:color="auto"/>
        <w:right w:val="none" w:sz="0" w:space="0" w:color="auto"/>
      </w:divBdr>
    </w:div>
    <w:div w:id="483352145">
      <w:bodyDiv w:val="1"/>
      <w:marLeft w:val="0"/>
      <w:marRight w:val="0"/>
      <w:marTop w:val="0"/>
      <w:marBottom w:val="0"/>
      <w:divBdr>
        <w:top w:val="none" w:sz="0" w:space="0" w:color="auto"/>
        <w:left w:val="none" w:sz="0" w:space="0" w:color="auto"/>
        <w:bottom w:val="none" w:sz="0" w:space="0" w:color="auto"/>
        <w:right w:val="none" w:sz="0" w:space="0" w:color="auto"/>
      </w:divBdr>
    </w:div>
    <w:div w:id="527648372">
      <w:bodyDiv w:val="1"/>
      <w:marLeft w:val="0"/>
      <w:marRight w:val="0"/>
      <w:marTop w:val="0"/>
      <w:marBottom w:val="0"/>
      <w:divBdr>
        <w:top w:val="none" w:sz="0" w:space="0" w:color="auto"/>
        <w:left w:val="none" w:sz="0" w:space="0" w:color="auto"/>
        <w:bottom w:val="none" w:sz="0" w:space="0" w:color="auto"/>
        <w:right w:val="none" w:sz="0" w:space="0" w:color="auto"/>
      </w:divBdr>
    </w:div>
    <w:div w:id="760830877">
      <w:bodyDiv w:val="1"/>
      <w:marLeft w:val="0"/>
      <w:marRight w:val="0"/>
      <w:marTop w:val="0"/>
      <w:marBottom w:val="0"/>
      <w:divBdr>
        <w:top w:val="none" w:sz="0" w:space="0" w:color="auto"/>
        <w:left w:val="none" w:sz="0" w:space="0" w:color="auto"/>
        <w:bottom w:val="none" w:sz="0" w:space="0" w:color="auto"/>
        <w:right w:val="none" w:sz="0" w:space="0" w:color="auto"/>
      </w:divBdr>
    </w:div>
    <w:div w:id="969019697">
      <w:bodyDiv w:val="1"/>
      <w:marLeft w:val="0"/>
      <w:marRight w:val="0"/>
      <w:marTop w:val="0"/>
      <w:marBottom w:val="0"/>
      <w:divBdr>
        <w:top w:val="none" w:sz="0" w:space="0" w:color="auto"/>
        <w:left w:val="none" w:sz="0" w:space="0" w:color="auto"/>
        <w:bottom w:val="none" w:sz="0" w:space="0" w:color="auto"/>
        <w:right w:val="none" w:sz="0" w:space="0" w:color="auto"/>
      </w:divBdr>
    </w:div>
    <w:div w:id="996540658">
      <w:bodyDiv w:val="1"/>
      <w:marLeft w:val="0"/>
      <w:marRight w:val="0"/>
      <w:marTop w:val="0"/>
      <w:marBottom w:val="0"/>
      <w:divBdr>
        <w:top w:val="none" w:sz="0" w:space="0" w:color="auto"/>
        <w:left w:val="none" w:sz="0" w:space="0" w:color="auto"/>
        <w:bottom w:val="none" w:sz="0" w:space="0" w:color="auto"/>
        <w:right w:val="none" w:sz="0" w:space="0" w:color="auto"/>
      </w:divBdr>
    </w:div>
    <w:div w:id="1356882066">
      <w:bodyDiv w:val="1"/>
      <w:marLeft w:val="0"/>
      <w:marRight w:val="0"/>
      <w:marTop w:val="0"/>
      <w:marBottom w:val="0"/>
      <w:divBdr>
        <w:top w:val="none" w:sz="0" w:space="0" w:color="auto"/>
        <w:left w:val="none" w:sz="0" w:space="0" w:color="auto"/>
        <w:bottom w:val="none" w:sz="0" w:space="0" w:color="auto"/>
        <w:right w:val="none" w:sz="0" w:space="0" w:color="auto"/>
      </w:divBdr>
    </w:div>
    <w:div w:id="1452287066">
      <w:bodyDiv w:val="1"/>
      <w:marLeft w:val="0"/>
      <w:marRight w:val="0"/>
      <w:marTop w:val="0"/>
      <w:marBottom w:val="0"/>
      <w:divBdr>
        <w:top w:val="none" w:sz="0" w:space="0" w:color="auto"/>
        <w:left w:val="none" w:sz="0" w:space="0" w:color="auto"/>
        <w:bottom w:val="none" w:sz="0" w:space="0" w:color="auto"/>
        <w:right w:val="none" w:sz="0" w:space="0" w:color="auto"/>
      </w:divBdr>
    </w:div>
    <w:div w:id="1650942932">
      <w:bodyDiv w:val="1"/>
      <w:marLeft w:val="0"/>
      <w:marRight w:val="0"/>
      <w:marTop w:val="0"/>
      <w:marBottom w:val="0"/>
      <w:divBdr>
        <w:top w:val="none" w:sz="0" w:space="0" w:color="auto"/>
        <w:left w:val="none" w:sz="0" w:space="0" w:color="auto"/>
        <w:bottom w:val="none" w:sz="0" w:space="0" w:color="auto"/>
        <w:right w:val="none" w:sz="0" w:space="0" w:color="auto"/>
      </w:divBdr>
    </w:div>
    <w:div w:id="206622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EED33FC-3368-4018-8849-AE37131F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Victor Grzelak</cp:lastModifiedBy>
  <cp:revision>6</cp:revision>
  <cp:lastPrinted>2019-05-23T14:17:00Z</cp:lastPrinted>
  <dcterms:created xsi:type="dcterms:W3CDTF">2020-08-24T20:15:00Z</dcterms:created>
  <dcterms:modified xsi:type="dcterms:W3CDTF">2020-08-24T22:09:00Z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