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D1" w:rsidRPr="006C54EA" w:rsidRDefault="001C42D1" w:rsidP="001C42D1">
      <w:pPr>
        <w:spacing w:before="120"/>
        <w:jc w:val="center"/>
        <w:rPr>
          <w:rStyle w:val="TitleChar"/>
          <w:rFonts w:ascii="Arial" w:hAnsi="Arial" w:cs="Arial"/>
          <w:sz w:val="24"/>
        </w:rPr>
      </w:pPr>
      <w:r w:rsidRPr="006C54EA">
        <w:rPr>
          <w:rStyle w:val="TitleChar"/>
          <w:rFonts w:ascii="Arial" w:hAnsi="Arial" w:cs="Arial"/>
          <w:sz w:val="24"/>
        </w:rPr>
        <w:t>DOE IPv6 Implementation Taskforce</w:t>
      </w:r>
    </w:p>
    <w:p w:rsidR="00A51FB6" w:rsidRPr="006C54EA" w:rsidRDefault="00A51FB6" w:rsidP="001C42D1">
      <w:pPr>
        <w:spacing w:before="120"/>
        <w:jc w:val="center"/>
        <w:rPr>
          <w:rStyle w:val="TitleChar"/>
          <w:rFonts w:ascii="Arial" w:hAnsi="Arial" w:cs="Arial"/>
          <w:sz w:val="24"/>
        </w:rPr>
      </w:pPr>
      <w:r w:rsidRPr="006C54EA">
        <w:rPr>
          <w:rStyle w:val="TitleChar"/>
          <w:rFonts w:ascii="Arial" w:hAnsi="Arial" w:cs="Arial"/>
          <w:sz w:val="24"/>
        </w:rPr>
        <w:t>Meeting</w:t>
      </w:r>
      <w:r w:rsidR="007577E6" w:rsidRPr="006C54EA">
        <w:rPr>
          <w:rStyle w:val="TitleChar"/>
          <w:rFonts w:ascii="Arial" w:hAnsi="Arial" w:cs="Arial"/>
          <w:sz w:val="24"/>
        </w:rPr>
        <w:t xml:space="preserve"> Notes</w:t>
      </w:r>
    </w:p>
    <w:p w:rsidR="0054057A" w:rsidRPr="001C42D1" w:rsidRDefault="0054057A" w:rsidP="001C42D1">
      <w:pPr>
        <w:spacing w:before="120"/>
        <w:jc w:val="center"/>
        <w:rPr>
          <w:rStyle w:val="TitleChar"/>
          <w:rFonts w:ascii="Arial" w:hAnsi="Arial" w:cs="Arial"/>
          <w:sz w:val="24"/>
        </w:rPr>
      </w:pPr>
      <w:r w:rsidRPr="001C42D1">
        <w:rPr>
          <w:rFonts w:ascii="Arial" w:hAnsi="Arial" w:cs="Arial"/>
          <w:bCs/>
        </w:rPr>
        <w:t>January 25, 2011</w:t>
      </w:r>
    </w:p>
    <w:p w:rsidR="003E633B" w:rsidRPr="006C54EA" w:rsidRDefault="003E633B" w:rsidP="00A160E6">
      <w:pPr>
        <w:rPr>
          <w:rFonts w:ascii="Arial" w:hAnsi="Arial" w:cs="Arial"/>
          <w:b/>
          <w:u w:val="single"/>
        </w:rPr>
      </w:pPr>
    </w:p>
    <w:p w:rsidR="006C54EA" w:rsidRDefault="006C54EA" w:rsidP="006E517C">
      <w:pPr>
        <w:pStyle w:val="PlainText"/>
        <w:spacing w:before="120" w:after="120"/>
        <w:rPr>
          <w:rFonts w:ascii="Arial" w:hAnsi="Arial" w:cs="Arial"/>
          <w:b/>
          <w:bCs/>
          <w:sz w:val="24"/>
          <w:szCs w:val="24"/>
          <w:u w:val="single"/>
        </w:rPr>
      </w:pPr>
      <w:r w:rsidRPr="00141266">
        <w:rPr>
          <w:rFonts w:ascii="Arial" w:hAnsi="Arial" w:cs="Arial"/>
          <w:b/>
          <w:bCs/>
          <w:sz w:val="24"/>
          <w:szCs w:val="24"/>
          <w:u w:val="single"/>
        </w:rPr>
        <w:t>Next Steps</w:t>
      </w:r>
    </w:p>
    <w:p w:rsidR="006E517C" w:rsidRPr="006E517C" w:rsidRDefault="006C54EA" w:rsidP="006E517C">
      <w:pPr>
        <w:pStyle w:val="ListParagraph"/>
        <w:numPr>
          <w:ilvl w:val="0"/>
          <w:numId w:val="24"/>
        </w:numPr>
        <w:spacing w:before="120" w:after="120"/>
        <w:rPr>
          <w:rFonts w:ascii="Arial" w:hAnsi="Arial" w:cs="Arial"/>
          <w:sz w:val="22"/>
          <w:szCs w:val="22"/>
        </w:rPr>
      </w:pPr>
      <w:r w:rsidRPr="006C54EA">
        <w:rPr>
          <w:rFonts w:ascii="Arial" w:hAnsi="Arial" w:cs="Arial"/>
          <w:sz w:val="22"/>
          <w:szCs w:val="22"/>
        </w:rPr>
        <w:t>Provide additional comments on OMB draft data call spreadsheet, “Transition Manager”  tab (</w:t>
      </w:r>
      <w:r w:rsidRPr="00CD241C">
        <w:rPr>
          <w:rFonts w:ascii="Arial" w:hAnsi="Arial" w:cs="Arial"/>
          <w:i/>
          <w:sz w:val="22"/>
          <w:szCs w:val="22"/>
        </w:rPr>
        <w:t>Taskforce Members</w:t>
      </w:r>
      <w:r w:rsidRPr="006C54EA">
        <w:rPr>
          <w:rFonts w:ascii="Arial" w:hAnsi="Arial" w:cs="Arial"/>
          <w:sz w:val="22"/>
          <w:szCs w:val="22"/>
        </w:rPr>
        <w:t>)</w:t>
      </w:r>
    </w:p>
    <w:p w:rsidR="006C54EA" w:rsidRPr="006C54EA" w:rsidRDefault="006C54EA" w:rsidP="006E517C">
      <w:pPr>
        <w:pStyle w:val="ListParagraph"/>
        <w:numPr>
          <w:ilvl w:val="0"/>
          <w:numId w:val="24"/>
        </w:numPr>
        <w:spacing w:before="120" w:after="120"/>
        <w:rPr>
          <w:rFonts w:ascii="Arial" w:hAnsi="Arial" w:cs="Arial"/>
          <w:sz w:val="22"/>
          <w:szCs w:val="22"/>
        </w:rPr>
      </w:pPr>
      <w:r w:rsidRPr="006C54EA">
        <w:rPr>
          <w:rFonts w:ascii="Arial" w:hAnsi="Arial" w:cs="Arial"/>
          <w:sz w:val="22"/>
          <w:szCs w:val="22"/>
        </w:rPr>
        <w:t>Review CIO Council Roadmap for background information (</w:t>
      </w:r>
      <w:r w:rsidRPr="00CD241C">
        <w:rPr>
          <w:rFonts w:ascii="Arial" w:hAnsi="Arial" w:cs="Arial"/>
          <w:i/>
          <w:sz w:val="22"/>
          <w:szCs w:val="22"/>
        </w:rPr>
        <w:t>Taskforce Members</w:t>
      </w:r>
      <w:r w:rsidRPr="006C54EA">
        <w:rPr>
          <w:rFonts w:ascii="Arial" w:hAnsi="Arial" w:cs="Arial"/>
          <w:sz w:val="22"/>
          <w:szCs w:val="22"/>
        </w:rPr>
        <w:t>)</w:t>
      </w:r>
    </w:p>
    <w:p w:rsidR="006C54EA" w:rsidRPr="006C54EA" w:rsidRDefault="006C54EA" w:rsidP="006E517C">
      <w:pPr>
        <w:pStyle w:val="ListParagraph"/>
        <w:numPr>
          <w:ilvl w:val="0"/>
          <w:numId w:val="24"/>
        </w:numPr>
        <w:spacing w:before="120" w:after="120"/>
        <w:rPr>
          <w:rFonts w:ascii="Arial" w:hAnsi="Arial" w:cs="Arial"/>
          <w:sz w:val="22"/>
          <w:szCs w:val="22"/>
        </w:rPr>
      </w:pPr>
      <w:r w:rsidRPr="006C54EA">
        <w:rPr>
          <w:rFonts w:ascii="Arial" w:hAnsi="Arial" w:cs="Arial"/>
          <w:sz w:val="22"/>
          <w:szCs w:val="22"/>
        </w:rPr>
        <w:t xml:space="preserve">Develop a draft DOE IPv6 transition scope statement for the FY12 milestone </w:t>
      </w:r>
      <w:r w:rsidRPr="006C54EA">
        <w:rPr>
          <w:rFonts w:ascii="Arial" w:hAnsi="Arial" w:cs="Arial"/>
          <w:bCs/>
          <w:sz w:val="22"/>
          <w:szCs w:val="22"/>
        </w:rPr>
        <w:t>(</w:t>
      </w:r>
      <w:r w:rsidRPr="00CD241C">
        <w:rPr>
          <w:rFonts w:ascii="Arial" w:hAnsi="Arial" w:cs="Arial"/>
          <w:bCs/>
          <w:i/>
          <w:sz w:val="22"/>
          <w:szCs w:val="22"/>
        </w:rPr>
        <w:t>IPv6</w:t>
      </w:r>
      <w:r w:rsidRPr="006C54EA">
        <w:rPr>
          <w:rFonts w:ascii="Arial" w:hAnsi="Arial" w:cs="Arial"/>
          <w:bCs/>
          <w:sz w:val="22"/>
          <w:szCs w:val="22"/>
        </w:rPr>
        <w:t xml:space="preserve"> </w:t>
      </w:r>
      <w:r w:rsidRPr="00CD241C">
        <w:rPr>
          <w:rFonts w:ascii="Arial" w:hAnsi="Arial" w:cs="Arial"/>
          <w:bCs/>
          <w:i/>
          <w:sz w:val="22"/>
          <w:szCs w:val="22"/>
        </w:rPr>
        <w:t>Transition Lead</w:t>
      </w:r>
      <w:r w:rsidRPr="006C54EA">
        <w:rPr>
          <w:rFonts w:ascii="Arial" w:hAnsi="Arial" w:cs="Arial"/>
          <w:bCs/>
          <w:sz w:val="22"/>
          <w:szCs w:val="22"/>
        </w:rPr>
        <w:t>)</w:t>
      </w:r>
    </w:p>
    <w:p w:rsidR="006C54EA" w:rsidRPr="006C54EA" w:rsidRDefault="006C54EA" w:rsidP="006E517C">
      <w:pPr>
        <w:pStyle w:val="ListParagraph"/>
        <w:numPr>
          <w:ilvl w:val="0"/>
          <w:numId w:val="24"/>
        </w:numPr>
        <w:spacing w:before="120" w:after="120"/>
        <w:rPr>
          <w:rFonts w:ascii="Arial" w:hAnsi="Arial" w:cs="Arial"/>
          <w:sz w:val="22"/>
          <w:szCs w:val="22"/>
        </w:rPr>
      </w:pPr>
      <w:r w:rsidRPr="006C54EA">
        <w:rPr>
          <w:rFonts w:ascii="Arial" w:hAnsi="Arial" w:cs="Arial"/>
          <w:sz w:val="22"/>
          <w:szCs w:val="22"/>
        </w:rPr>
        <w:t xml:space="preserve">Develop a </w:t>
      </w:r>
      <w:r w:rsidRPr="006C54EA">
        <w:rPr>
          <w:rFonts w:ascii="Arial" w:hAnsi="Arial" w:cs="Arial"/>
          <w:bCs/>
          <w:sz w:val="22"/>
          <w:szCs w:val="22"/>
        </w:rPr>
        <w:t>draft break out of activities supporting the high level milestones for review by the taskforce (</w:t>
      </w:r>
      <w:r w:rsidRPr="00CD241C">
        <w:rPr>
          <w:rFonts w:ascii="Arial" w:hAnsi="Arial" w:cs="Arial"/>
          <w:bCs/>
          <w:i/>
          <w:sz w:val="22"/>
          <w:szCs w:val="22"/>
        </w:rPr>
        <w:t>IPv6 Transition Lead</w:t>
      </w:r>
      <w:r w:rsidRPr="006C54EA">
        <w:rPr>
          <w:rFonts w:ascii="Arial" w:hAnsi="Arial" w:cs="Arial"/>
          <w:bCs/>
          <w:sz w:val="22"/>
          <w:szCs w:val="22"/>
        </w:rPr>
        <w:t>)</w:t>
      </w:r>
    </w:p>
    <w:p w:rsidR="006C54EA" w:rsidRPr="006C54EA" w:rsidRDefault="006C54EA" w:rsidP="006E517C">
      <w:pPr>
        <w:pStyle w:val="PlainText"/>
        <w:spacing w:before="120"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6E71A7" w:rsidRPr="006C54EA" w:rsidRDefault="0051097D" w:rsidP="006E517C">
      <w:pPr>
        <w:pStyle w:val="PlainText"/>
        <w:spacing w:before="120" w:after="120"/>
        <w:rPr>
          <w:rFonts w:ascii="Arial" w:hAnsi="Arial" w:cs="Arial"/>
          <w:b/>
          <w:bCs/>
          <w:sz w:val="24"/>
          <w:szCs w:val="24"/>
          <w:u w:val="single"/>
        </w:rPr>
      </w:pPr>
      <w:r w:rsidRPr="006C54EA">
        <w:rPr>
          <w:rFonts w:ascii="Arial" w:hAnsi="Arial" w:cs="Arial"/>
          <w:b/>
          <w:bCs/>
          <w:sz w:val="24"/>
          <w:szCs w:val="24"/>
          <w:u w:val="single"/>
        </w:rPr>
        <w:t>Agenda</w:t>
      </w:r>
      <w:r w:rsidR="00E94A3D" w:rsidRPr="006C54EA">
        <w:rPr>
          <w:rFonts w:ascii="Arial" w:hAnsi="Arial" w:cs="Arial"/>
          <w:b/>
          <w:bCs/>
          <w:sz w:val="24"/>
          <w:szCs w:val="24"/>
          <w:u w:val="single"/>
        </w:rPr>
        <w:t xml:space="preserve"> &amp; Comments</w:t>
      </w:r>
    </w:p>
    <w:p w:rsidR="00E94A3D" w:rsidRPr="006C54EA" w:rsidRDefault="00E94A3D" w:rsidP="006E517C">
      <w:pPr>
        <w:pStyle w:val="PlainText"/>
        <w:numPr>
          <w:ilvl w:val="0"/>
          <w:numId w:val="23"/>
        </w:num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6C54EA">
        <w:rPr>
          <w:rFonts w:ascii="Arial" w:hAnsi="Arial" w:cs="Arial"/>
          <w:bCs/>
          <w:sz w:val="22"/>
          <w:szCs w:val="22"/>
        </w:rPr>
        <w:t xml:space="preserve">Scope </w:t>
      </w:r>
      <w:r w:rsidR="00F716DE" w:rsidRPr="006C54EA">
        <w:rPr>
          <w:rFonts w:ascii="Arial" w:hAnsi="Arial" w:cs="Arial"/>
          <w:bCs/>
          <w:sz w:val="22"/>
          <w:szCs w:val="22"/>
        </w:rPr>
        <w:t>c</w:t>
      </w:r>
      <w:r w:rsidRPr="006C54EA">
        <w:rPr>
          <w:rFonts w:ascii="Arial" w:hAnsi="Arial" w:cs="Arial"/>
          <w:bCs/>
          <w:sz w:val="22"/>
          <w:szCs w:val="22"/>
        </w:rPr>
        <w:t>larification</w:t>
      </w:r>
      <w:r w:rsidR="00F716DE" w:rsidRPr="006C54EA">
        <w:rPr>
          <w:rFonts w:ascii="Arial" w:hAnsi="Arial" w:cs="Arial"/>
          <w:bCs/>
          <w:sz w:val="22"/>
          <w:szCs w:val="22"/>
        </w:rPr>
        <w:t xml:space="preserve"> for FY12 OMB requirement</w:t>
      </w:r>
    </w:p>
    <w:p w:rsidR="00E94A3D" w:rsidRPr="006C54EA" w:rsidRDefault="00E94A3D" w:rsidP="006E517C">
      <w:pPr>
        <w:pStyle w:val="PlainText"/>
        <w:numPr>
          <w:ilvl w:val="1"/>
          <w:numId w:val="23"/>
        </w:num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6C54EA">
        <w:rPr>
          <w:rFonts w:ascii="Arial" w:hAnsi="Arial" w:cs="Arial"/>
          <w:sz w:val="22"/>
          <w:szCs w:val="22"/>
        </w:rPr>
        <w:t xml:space="preserve">“Public Facing Servers/Services” should be clarified to exclude collaborative space and/or publically available services not intended for the general public </w:t>
      </w:r>
    </w:p>
    <w:p w:rsidR="000641CB" w:rsidRPr="006C54EA" w:rsidRDefault="000641CB" w:rsidP="006E517C">
      <w:pPr>
        <w:pStyle w:val="PlainText"/>
        <w:numPr>
          <w:ilvl w:val="2"/>
          <w:numId w:val="23"/>
        </w:numPr>
        <w:spacing w:before="120" w:after="120"/>
        <w:ind w:left="1080"/>
        <w:rPr>
          <w:rFonts w:ascii="Arial" w:hAnsi="Arial" w:cs="Arial"/>
          <w:sz w:val="22"/>
          <w:szCs w:val="22"/>
        </w:rPr>
      </w:pPr>
      <w:r w:rsidRPr="006C54EA">
        <w:rPr>
          <w:rFonts w:ascii="Arial" w:hAnsi="Arial" w:cs="Arial"/>
          <w:sz w:val="22"/>
          <w:szCs w:val="22"/>
        </w:rPr>
        <w:t>For example, super computing environments are considered out of scope</w:t>
      </w:r>
    </w:p>
    <w:p w:rsidR="00E94A3D" w:rsidRPr="006C54EA" w:rsidRDefault="00E94A3D" w:rsidP="006E517C">
      <w:pPr>
        <w:pStyle w:val="PlainText"/>
        <w:numPr>
          <w:ilvl w:val="1"/>
          <w:numId w:val="23"/>
        </w:num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6C54EA">
        <w:rPr>
          <w:rFonts w:ascii="Arial" w:hAnsi="Arial" w:cs="Arial"/>
          <w:sz w:val="22"/>
          <w:szCs w:val="22"/>
        </w:rPr>
        <w:t>Secondary service providers, such as those solely utilized for COOP/Disaster Recovery/Fault Tolerance, should be addressed in the overall transition scope; however, they should not necessarily be</w:t>
      </w:r>
      <w:r w:rsidR="000641CB" w:rsidRPr="006C54EA">
        <w:rPr>
          <w:rFonts w:ascii="Arial" w:hAnsi="Arial" w:cs="Arial"/>
          <w:sz w:val="22"/>
          <w:szCs w:val="22"/>
        </w:rPr>
        <w:t xml:space="preserve"> required for the 2012 deadline</w:t>
      </w:r>
    </w:p>
    <w:p w:rsidR="00E94A3D" w:rsidRPr="006C54EA" w:rsidRDefault="00E94A3D" w:rsidP="006E517C">
      <w:pPr>
        <w:pStyle w:val="PlainText"/>
        <w:numPr>
          <w:ilvl w:val="1"/>
          <w:numId w:val="23"/>
        </w:num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6C54EA">
        <w:rPr>
          <w:rFonts w:ascii="Arial" w:hAnsi="Arial" w:cs="Arial"/>
          <w:sz w:val="22"/>
          <w:szCs w:val="22"/>
        </w:rPr>
        <w:t>One potential approach to defining scope is via classes of services (e.g. web services, mail services, DNS services), protocols (e.g. SMTP, DNS, HTTP, FTP, NTP), and/or via port (e.g. 80 &amp; 443 for web traffic, 21 &amp; 23 for FTP, etc).</w:t>
      </w:r>
    </w:p>
    <w:p w:rsidR="00F716DE" w:rsidRPr="006C54EA" w:rsidRDefault="00F716DE" w:rsidP="006E517C">
      <w:pPr>
        <w:pStyle w:val="PlainText"/>
        <w:numPr>
          <w:ilvl w:val="0"/>
          <w:numId w:val="23"/>
        </w:num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6C54EA">
        <w:rPr>
          <w:rFonts w:ascii="Arial" w:hAnsi="Arial" w:cs="Arial"/>
          <w:bCs/>
          <w:sz w:val="22"/>
          <w:szCs w:val="22"/>
        </w:rPr>
        <w:t>Review of scope and schedule for high level milestones</w:t>
      </w:r>
    </w:p>
    <w:p w:rsidR="00F716DE" w:rsidRPr="006C54EA" w:rsidRDefault="00D560AD" w:rsidP="006E517C">
      <w:pPr>
        <w:pStyle w:val="PlainText"/>
        <w:numPr>
          <w:ilvl w:val="1"/>
          <w:numId w:val="23"/>
        </w:num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6C54EA">
        <w:rPr>
          <w:rFonts w:ascii="Arial" w:hAnsi="Arial" w:cs="Arial"/>
          <w:sz w:val="22"/>
          <w:szCs w:val="22"/>
        </w:rPr>
        <w:t>Review NIST tool and determine whether DOE should leverage to track implementation progress</w:t>
      </w:r>
    </w:p>
    <w:p w:rsidR="00D560AD" w:rsidRPr="006C54EA" w:rsidRDefault="00D560AD" w:rsidP="006E517C">
      <w:pPr>
        <w:pStyle w:val="PlainText"/>
        <w:numPr>
          <w:ilvl w:val="1"/>
          <w:numId w:val="23"/>
        </w:num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6C54EA">
        <w:rPr>
          <w:rFonts w:ascii="Arial" w:hAnsi="Arial" w:cs="Arial"/>
          <w:sz w:val="22"/>
          <w:szCs w:val="22"/>
        </w:rPr>
        <w:t>Recognize that the labs will use a different approach to acquiring IPv6 addresses</w:t>
      </w:r>
    </w:p>
    <w:p w:rsidR="00D560AD" w:rsidRPr="006C54EA" w:rsidRDefault="00D560AD" w:rsidP="006E517C">
      <w:pPr>
        <w:pStyle w:val="PlainText"/>
        <w:numPr>
          <w:ilvl w:val="1"/>
          <w:numId w:val="23"/>
        </w:num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6C54EA">
        <w:rPr>
          <w:rFonts w:ascii="Arial" w:hAnsi="Arial" w:cs="Arial"/>
          <w:sz w:val="22"/>
          <w:szCs w:val="22"/>
        </w:rPr>
        <w:t>Add cyber security monitoring and forensics</w:t>
      </w:r>
    </w:p>
    <w:p w:rsidR="00D560AD" w:rsidRPr="006C54EA" w:rsidRDefault="00D560AD" w:rsidP="006E517C">
      <w:pPr>
        <w:pStyle w:val="PlainText"/>
        <w:numPr>
          <w:ilvl w:val="1"/>
          <w:numId w:val="23"/>
        </w:num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6C54EA">
        <w:rPr>
          <w:rFonts w:ascii="Arial" w:hAnsi="Arial" w:cs="Arial"/>
          <w:sz w:val="22"/>
          <w:szCs w:val="22"/>
        </w:rPr>
        <w:t>A draft break out of activities supporting the high level milestones is being developed and will be provided for discussion at the working session on 2/8</w:t>
      </w:r>
    </w:p>
    <w:p w:rsidR="00F716DE" w:rsidRPr="006C54EA" w:rsidRDefault="00F716DE" w:rsidP="006E517C">
      <w:pPr>
        <w:pStyle w:val="PlainText"/>
        <w:numPr>
          <w:ilvl w:val="0"/>
          <w:numId w:val="23"/>
        </w:num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6C54EA">
        <w:rPr>
          <w:rFonts w:ascii="Arial" w:hAnsi="Arial" w:cs="Arial"/>
          <w:bCs/>
          <w:sz w:val="22"/>
          <w:szCs w:val="22"/>
        </w:rPr>
        <w:t>Comments on Draft OMB Data Call:</w:t>
      </w:r>
    </w:p>
    <w:p w:rsidR="00F716DE" w:rsidRPr="006C54EA" w:rsidRDefault="00F716DE" w:rsidP="006E517C">
      <w:pPr>
        <w:pStyle w:val="PlainText"/>
        <w:numPr>
          <w:ilvl w:val="1"/>
          <w:numId w:val="23"/>
        </w:num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6C54EA">
        <w:rPr>
          <w:rFonts w:ascii="Arial" w:hAnsi="Arial" w:cs="Arial"/>
          <w:sz w:val="22"/>
          <w:szCs w:val="22"/>
        </w:rPr>
        <w:t>Rename “Primary Services” to “Public Facing Services”</w:t>
      </w:r>
    </w:p>
    <w:p w:rsidR="00746A7A" w:rsidRPr="006C54EA" w:rsidRDefault="00746A7A" w:rsidP="006E517C">
      <w:pPr>
        <w:pStyle w:val="PlainText"/>
        <w:numPr>
          <w:ilvl w:val="1"/>
          <w:numId w:val="23"/>
        </w:num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6C54EA">
        <w:rPr>
          <w:rFonts w:ascii="Arial" w:hAnsi="Arial" w:cs="Arial"/>
          <w:sz w:val="22"/>
          <w:szCs w:val="22"/>
        </w:rPr>
        <w:t>Suggest providing information on classes of services instead of enumerating each one, an evaluation tool such as the NIST tool can be used to enumerate details if needed</w:t>
      </w:r>
    </w:p>
    <w:p w:rsidR="00F716DE" w:rsidRPr="006C54EA" w:rsidRDefault="00746A7A" w:rsidP="006E517C">
      <w:pPr>
        <w:pStyle w:val="PlainText"/>
        <w:numPr>
          <w:ilvl w:val="1"/>
          <w:numId w:val="23"/>
        </w:num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6C54EA">
        <w:rPr>
          <w:rFonts w:ascii="Arial" w:hAnsi="Arial" w:cs="Arial"/>
          <w:sz w:val="22"/>
          <w:szCs w:val="22"/>
        </w:rPr>
        <w:t>For the “Internal Client Apps” tab, suggest focusing on FY12 and including a row stating FY14 is not yet defined but part of the planning activity</w:t>
      </w:r>
    </w:p>
    <w:p w:rsidR="00953917" w:rsidRPr="006C54EA" w:rsidRDefault="00953917" w:rsidP="006E517C">
      <w:pPr>
        <w:pStyle w:val="PlainText"/>
        <w:keepNext/>
        <w:keepLines/>
        <w:numPr>
          <w:ilvl w:val="0"/>
          <w:numId w:val="23"/>
        </w:num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6C54EA">
        <w:rPr>
          <w:rFonts w:ascii="Arial" w:hAnsi="Arial" w:cs="Arial"/>
          <w:bCs/>
          <w:sz w:val="22"/>
          <w:szCs w:val="22"/>
        </w:rPr>
        <w:lastRenderedPageBreak/>
        <w:t>IMC IPv6 Presentation</w:t>
      </w:r>
      <w:r w:rsidR="00D731A0" w:rsidRPr="006C54EA">
        <w:rPr>
          <w:rFonts w:ascii="Arial" w:hAnsi="Arial" w:cs="Arial"/>
          <w:bCs/>
          <w:sz w:val="22"/>
          <w:szCs w:val="22"/>
        </w:rPr>
        <w:t xml:space="preserve"> Suggestion</w:t>
      </w:r>
      <w:r w:rsidRPr="006C54EA">
        <w:rPr>
          <w:rFonts w:ascii="Arial" w:hAnsi="Arial" w:cs="Arial"/>
          <w:bCs/>
          <w:sz w:val="22"/>
          <w:szCs w:val="22"/>
        </w:rPr>
        <w:t>s</w:t>
      </w:r>
    </w:p>
    <w:p w:rsidR="00953917" w:rsidRPr="006C54EA" w:rsidRDefault="00D731A0" w:rsidP="006E517C">
      <w:pPr>
        <w:pStyle w:val="PlainText"/>
        <w:keepNext/>
        <w:keepLines/>
        <w:numPr>
          <w:ilvl w:val="1"/>
          <w:numId w:val="23"/>
        </w:num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6C54EA">
        <w:rPr>
          <w:rFonts w:ascii="Arial" w:hAnsi="Arial" w:cs="Arial"/>
          <w:sz w:val="22"/>
          <w:szCs w:val="22"/>
        </w:rPr>
        <w:t>Provide a high level understanding of implementing IPv6 in parallel with maintaining IPv4</w:t>
      </w:r>
    </w:p>
    <w:p w:rsidR="00D731A0" w:rsidRPr="006C54EA" w:rsidRDefault="00D731A0" w:rsidP="006E517C">
      <w:pPr>
        <w:pStyle w:val="PlainText"/>
        <w:keepNext/>
        <w:keepLines/>
        <w:numPr>
          <w:ilvl w:val="1"/>
          <w:numId w:val="23"/>
        </w:num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6C54EA">
        <w:rPr>
          <w:rFonts w:ascii="Arial" w:hAnsi="Arial" w:cs="Arial"/>
          <w:sz w:val="22"/>
          <w:szCs w:val="22"/>
        </w:rPr>
        <w:t>Cyber security</w:t>
      </w:r>
    </w:p>
    <w:p w:rsidR="00D731A0" w:rsidRPr="006C54EA" w:rsidRDefault="00D731A0" w:rsidP="006E517C">
      <w:pPr>
        <w:pStyle w:val="PlainText"/>
        <w:keepNext/>
        <w:keepLines/>
        <w:numPr>
          <w:ilvl w:val="1"/>
          <w:numId w:val="23"/>
        </w:num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6C54EA">
        <w:rPr>
          <w:rFonts w:ascii="Arial" w:hAnsi="Arial" w:cs="Arial"/>
          <w:sz w:val="22"/>
          <w:szCs w:val="22"/>
        </w:rPr>
        <w:t>Best practices and lessons learned</w:t>
      </w:r>
    </w:p>
    <w:p w:rsidR="00E94A3D" w:rsidRPr="006C54EA" w:rsidRDefault="00E94A3D" w:rsidP="006E517C">
      <w:pPr>
        <w:pStyle w:val="PlainText"/>
        <w:numPr>
          <w:ilvl w:val="0"/>
          <w:numId w:val="23"/>
        </w:num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6C54EA">
        <w:rPr>
          <w:rFonts w:ascii="Arial" w:hAnsi="Arial" w:cs="Arial"/>
          <w:bCs/>
          <w:sz w:val="22"/>
          <w:szCs w:val="22"/>
        </w:rPr>
        <w:t>Other di</w:t>
      </w:r>
      <w:r w:rsidR="006E517C">
        <w:rPr>
          <w:rFonts w:ascii="Arial" w:hAnsi="Arial" w:cs="Arial"/>
          <w:bCs/>
          <w:sz w:val="22"/>
          <w:szCs w:val="22"/>
        </w:rPr>
        <w:t>scussion items and/or questions</w:t>
      </w:r>
    </w:p>
    <w:p w:rsidR="00B52871" w:rsidRPr="006C54EA" w:rsidRDefault="00B52871" w:rsidP="006E517C">
      <w:pPr>
        <w:pStyle w:val="PlainText"/>
        <w:numPr>
          <w:ilvl w:val="1"/>
          <w:numId w:val="23"/>
        </w:num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6C54EA">
        <w:rPr>
          <w:rFonts w:ascii="Arial" w:hAnsi="Arial" w:cs="Arial"/>
          <w:sz w:val="22"/>
          <w:szCs w:val="22"/>
        </w:rPr>
        <w:t>World IPv6 Day - Several popular Web sites have agreed to participate in the first global-scale trial of IPv6.  The trial</w:t>
      </w:r>
      <w:r w:rsidR="006E517C">
        <w:rPr>
          <w:rFonts w:ascii="Arial" w:hAnsi="Arial" w:cs="Arial"/>
          <w:sz w:val="22"/>
          <w:szCs w:val="22"/>
        </w:rPr>
        <w:t xml:space="preserve">, dubbed "World IPv6 Day", </w:t>
      </w:r>
      <w:r w:rsidRPr="006C54EA">
        <w:rPr>
          <w:rFonts w:ascii="Arial" w:hAnsi="Arial" w:cs="Arial"/>
          <w:sz w:val="22"/>
          <w:szCs w:val="22"/>
        </w:rPr>
        <w:t xml:space="preserve">requires participants to support native IPv6 traffic on their main Web sites on June 8, 2011. Leading content delivery networks </w:t>
      </w:r>
      <w:proofErr w:type="spellStart"/>
      <w:r w:rsidRPr="006C54EA">
        <w:rPr>
          <w:rFonts w:ascii="Arial" w:hAnsi="Arial" w:cs="Arial"/>
          <w:sz w:val="22"/>
          <w:szCs w:val="22"/>
        </w:rPr>
        <w:t>Akamai</w:t>
      </w:r>
      <w:proofErr w:type="spellEnd"/>
      <w:r w:rsidRPr="006C54EA">
        <w:rPr>
          <w:rFonts w:ascii="Arial" w:hAnsi="Arial" w:cs="Arial"/>
          <w:sz w:val="22"/>
          <w:szCs w:val="22"/>
        </w:rPr>
        <w:t xml:space="preserve"> and Limelight Networks also committed to the IPv6 trial, which is being sponsored by the Internet Society.</w:t>
      </w:r>
    </w:p>
    <w:p w:rsidR="00B52871" w:rsidRPr="006C54EA" w:rsidRDefault="00B52871" w:rsidP="006E517C">
      <w:pPr>
        <w:pStyle w:val="PlainText"/>
        <w:spacing w:before="120" w:after="120"/>
        <w:ind w:left="720" w:firstLine="360"/>
        <w:rPr>
          <w:rFonts w:ascii="Arial" w:hAnsi="Arial" w:cs="Arial"/>
          <w:sz w:val="22"/>
          <w:szCs w:val="22"/>
        </w:rPr>
      </w:pPr>
      <w:hyperlink r:id="rId8" w:history="1">
        <w:r w:rsidRPr="006C54EA">
          <w:rPr>
            <w:rStyle w:val="Hyperlink"/>
            <w:rFonts w:ascii="Arial" w:hAnsi="Arial" w:cs="Arial"/>
            <w:sz w:val="22"/>
            <w:szCs w:val="22"/>
          </w:rPr>
          <w:t>http://www.networkworld.com/news/2011/011211-world-ipv6-day.html</w:t>
        </w:r>
      </w:hyperlink>
    </w:p>
    <w:p w:rsidR="00E94A3D" w:rsidRPr="006C54EA" w:rsidRDefault="00E94A3D" w:rsidP="006E517C">
      <w:pPr>
        <w:pStyle w:val="PlainText"/>
        <w:numPr>
          <w:ilvl w:val="1"/>
          <w:numId w:val="23"/>
        </w:num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6C54EA">
        <w:rPr>
          <w:rFonts w:ascii="Arial" w:hAnsi="Arial" w:cs="Arial"/>
          <w:sz w:val="22"/>
          <w:szCs w:val="22"/>
        </w:rPr>
        <w:t>If issues arise with Vendor support, those Vendors should be specifically identified to the Federal task force.</w:t>
      </w:r>
    </w:p>
    <w:p w:rsidR="00E94A3D" w:rsidRPr="006C54EA" w:rsidRDefault="00E94A3D" w:rsidP="006E517C">
      <w:pPr>
        <w:pStyle w:val="PlainText"/>
        <w:numPr>
          <w:ilvl w:val="1"/>
          <w:numId w:val="23"/>
        </w:num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6C54EA">
        <w:rPr>
          <w:rFonts w:ascii="Arial" w:hAnsi="Arial" w:cs="Arial"/>
          <w:sz w:val="22"/>
          <w:szCs w:val="22"/>
        </w:rPr>
        <w:t xml:space="preserve">Regarding </w:t>
      </w:r>
      <w:proofErr w:type="spellStart"/>
      <w:r w:rsidRPr="006C54EA">
        <w:rPr>
          <w:rFonts w:ascii="Arial" w:hAnsi="Arial" w:cs="Arial"/>
          <w:sz w:val="22"/>
          <w:szCs w:val="22"/>
        </w:rPr>
        <w:t>DNSSec</w:t>
      </w:r>
      <w:proofErr w:type="spellEnd"/>
      <w:r w:rsidRPr="006C54EA">
        <w:rPr>
          <w:rFonts w:ascii="Arial" w:hAnsi="Arial" w:cs="Arial"/>
          <w:sz w:val="22"/>
          <w:szCs w:val="22"/>
        </w:rPr>
        <w:t>, will delegated domains be considered in scope?</w:t>
      </w:r>
    </w:p>
    <w:p w:rsidR="00E94A3D" w:rsidRPr="006C54EA" w:rsidRDefault="00E94A3D" w:rsidP="006E517C">
      <w:pPr>
        <w:pStyle w:val="PlainText"/>
        <w:numPr>
          <w:ilvl w:val="1"/>
          <w:numId w:val="23"/>
        </w:num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6C54EA">
        <w:rPr>
          <w:rFonts w:ascii="Arial" w:hAnsi="Arial" w:cs="Arial"/>
          <w:sz w:val="22"/>
          <w:szCs w:val="22"/>
        </w:rPr>
        <w:t>Will a testing environment be provided or facilitated by OMB, DOE, or is each organization responsible for their own?</w:t>
      </w:r>
    </w:p>
    <w:p w:rsidR="00141266" w:rsidRPr="00E94A3D" w:rsidRDefault="00141266" w:rsidP="00E11E22">
      <w:pPr>
        <w:rPr>
          <w:rFonts w:ascii="Arial" w:hAnsi="Arial" w:cs="Arial"/>
        </w:rPr>
      </w:pPr>
    </w:p>
    <w:sectPr w:rsidR="00141266" w:rsidRPr="00E94A3D" w:rsidSect="006C54EA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52B" w:rsidRDefault="008A352B">
      <w:r>
        <w:separator/>
      </w:r>
    </w:p>
  </w:endnote>
  <w:endnote w:type="continuationSeparator" w:id="0">
    <w:p w:rsidR="008A352B" w:rsidRDefault="008A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2B" w:rsidRDefault="00343F15" w:rsidP="007941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35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352B" w:rsidRDefault="008A352B" w:rsidP="00DB0B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2B" w:rsidRDefault="00343F15" w:rsidP="007941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35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241C">
      <w:rPr>
        <w:rStyle w:val="PageNumber"/>
        <w:noProof/>
      </w:rPr>
      <w:t>1</w:t>
    </w:r>
    <w:r>
      <w:rPr>
        <w:rStyle w:val="PageNumber"/>
      </w:rPr>
      <w:fldChar w:fldCharType="end"/>
    </w:r>
  </w:p>
  <w:p w:rsidR="008A352B" w:rsidRDefault="008A352B" w:rsidP="00DB0B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52B" w:rsidRDefault="008A352B">
      <w:r>
        <w:separator/>
      </w:r>
    </w:p>
  </w:footnote>
  <w:footnote w:type="continuationSeparator" w:id="0">
    <w:p w:rsidR="008A352B" w:rsidRDefault="008A3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2B" w:rsidRDefault="00343F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34.2pt;width:153pt;height:78.35pt;z-index:-251658752;mso-position-horizontal:center" o:allowoverlap="f">
          <v:imagedata r:id="rId1" o:title=""/>
        </v:shape>
        <o:OLEObject Type="Embed" ProgID="WP9Doc" ShapeID="_x0000_s2049" DrawAspect="Content" ObjectID="_1358082661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70FF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E70B3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7869B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8EA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16009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0E7B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2434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A0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B08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487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33A1C"/>
    <w:multiLevelType w:val="hybridMultilevel"/>
    <w:tmpl w:val="2648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2B6907"/>
    <w:multiLevelType w:val="hybridMultilevel"/>
    <w:tmpl w:val="01C2A7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A20117B"/>
    <w:multiLevelType w:val="hybridMultilevel"/>
    <w:tmpl w:val="EE84C4E6"/>
    <w:lvl w:ilvl="0" w:tplc="F92A5C6C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736EA8"/>
    <w:multiLevelType w:val="multilevel"/>
    <w:tmpl w:val="0DFE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923867"/>
    <w:multiLevelType w:val="hybridMultilevel"/>
    <w:tmpl w:val="0DFE4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8716D6"/>
    <w:multiLevelType w:val="hybridMultilevel"/>
    <w:tmpl w:val="A8EA8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6FD7224"/>
    <w:multiLevelType w:val="hybridMultilevel"/>
    <w:tmpl w:val="55DE8FB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777A21"/>
    <w:multiLevelType w:val="hybridMultilevel"/>
    <w:tmpl w:val="2048CFA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09B709C"/>
    <w:multiLevelType w:val="hybridMultilevel"/>
    <w:tmpl w:val="D92A97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74252"/>
    <w:multiLevelType w:val="hybridMultilevel"/>
    <w:tmpl w:val="0400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DB756B"/>
    <w:multiLevelType w:val="hybridMultilevel"/>
    <w:tmpl w:val="8DD6D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F0453"/>
    <w:multiLevelType w:val="hybridMultilevel"/>
    <w:tmpl w:val="0C2AF48E"/>
    <w:lvl w:ilvl="0" w:tplc="8AA0BB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A664B9"/>
    <w:multiLevelType w:val="hybridMultilevel"/>
    <w:tmpl w:val="7A0ED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11"/>
  </w:num>
  <w:num w:numId="5">
    <w:abstractNumId w:val="17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37EF"/>
    <w:rsid w:val="00027267"/>
    <w:rsid w:val="000527E5"/>
    <w:rsid w:val="000641CB"/>
    <w:rsid w:val="0007107A"/>
    <w:rsid w:val="00076C70"/>
    <w:rsid w:val="00087890"/>
    <w:rsid w:val="00095093"/>
    <w:rsid w:val="000970EE"/>
    <w:rsid w:val="000A5E11"/>
    <w:rsid w:val="000B3683"/>
    <w:rsid w:val="000C62C8"/>
    <w:rsid w:val="000E76CE"/>
    <w:rsid w:val="000E7ED4"/>
    <w:rsid w:val="00136E3D"/>
    <w:rsid w:val="00141266"/>
    <w:rsid w:val="00145C30"/>
    <w:rsid w:val="001733F7"/>
    <w:rsid w:val="00176DDC"/>
    <w:rsid w:val="001845BB"/>
    <w:rsid w:val="0018490E"/>
    <w:rsid w:val="001A3F5F"/>
    <w:rsid w:val="001C42D1"/>
    <w:rsid w:val="001D1066"/>
    <w:rsid w:val="001E1617"/>
    <w:rsid w:val="001E20A6"/>
    <w:rsid w:val="001F170D"/>
    <w:rsid w:val="001F62C9"/>
    <w:rsid w:val="0023659B"/>
    <w:rsid w:val="00286D40"/>
    <w:rsid w:val="0029629F"/>
    <w:rsid w:val="002A7815"/>
    <w:rsid w:val="002C33E9"/>
    <w:rsid w:val="002E294E"/>
    <w:rsid w:val="00304E06"/>
    <w:rsid w:val="003141C5"/>
    <w:rsid w:val="00335116"/>
    <w:rsid w:val="0034102D"/>
    <w:rsid w:val="00343F15"/>
    <w:rsid w:val="00345AC3"/>
    <w:rsid w:val="003545AB"/>
    <w:rsid w:val="00384B4D"/>
    <w:rsid w:val="00385135"/>
    <w:rsid w:val="003C18AF"/>
    <w:rsid w:val="003E633B"/>
    <w:rsid w:val="003E7DE9"/>
    <w:rsid w:val="00423666"/>
    <w:rsid w:val="00434579"/>
    <w:rsid w:val="004737EF"/>
    <w:rsid w:val="004A7411"/>
    <w:rsid w:val="004C018E"/>
    <w:rsid w:val="004C01EF"/>
    <w:rsid w:val="004D4F9E"/>
    <w:rsid w:val="004E1186"/>
    <w:rsid w:val="004F3DBB"/>
    <w:rsid w:val="0051097D"/>
    <w:rsid w:val="0054057A"/>
    <w:rsid w:val="00554373"/>
    <w:rsid w:val="00570F60"/>
    <w:rsid w:val="005B03C7"/>
    <w:rsid w:val="005C72D6"/>
    <w:rsid w:val="005D1FC4"/>
    <w:rsid w:val="005F0553"/>
    <w:rsid w:val="00620DBB"/>
    <w:rsid w:val="006275DB"/>
    <w:rsid w:val="0062786D"/>
    <w:rsid w:val="006360AB"/>
    <w:rsid w:val="0064217B"/>
    <w:rsid w:val="00655978"/>
    <w:rsid w:val="00674093"/>
    <w:rsid w:val="006856C7"/>
    <w:rsid w:val="006C0A77"/>
    <w:rsid w:val="006C54EA"/>
    <w:rsid w:val="006C7CE8"/>
    <w:rsid w:val="006D310F"/>
    <w:rsid w:val="006D54B4"/>
    <w:rsid w:val="006E517C"/>
    <w:rsid w:val="006E71A7"/>
    <w:rsid w:val="006E7A03"/>
    <w:rsid w:val="00701446"/>
    <w:rsid w:val="00705A9B"/>
    <w:rsid w:val="00731A00"/>
    <w:rsid w:val="00746A7A"/>
    <w:rsid w:val="007508BC"/>
    <w:rsid w:val="007577E6"/>
    <w:rsid w:val="0075795E"/>
    <w:rsid w:val="00767E28"/>
    <w:rsid w:val="00786A7C"/>
    <w:rsid w:val="00794139"/>
    <w:rsid w:val="007C0CA8"/>
    <w:rsid w:val="007C7C1B"/>
    <w:rsid w:val="008018E6"/>
    <w:rsid w:val="00804DDA"/>
    <w:rsid w:val="00805EBE"/>
    <w:rsid w:val="008155D1"/>
    <w:rsid w:val="0081582F"/>
    <w:rsid w:val="00824E59"/>
    <w:rsid w:val="0083364E"/>
    <w:rsid w:val="00863E0E"/>
    <w:rsid w:val="00875841"/>
    <w:rsid w:val="00895536"/>
    <w:rsid w:val="0089729D"/>
    <w:rsid w:val="008A053A"/>
    <w:rsid w:val="008A352B"/>
    <w:rsid w:val="008A6170"/>
    <w:rsid w:val="008F075E"/>
    <w:rsid w:val="008F46FA"/>
    <w:rsid w:val="008F69A7"/>
    <w:rsid w:val="008F6E0F"/>
    <w:rsid w:val="009014EC"/>
    <w:rsid w:val="00904D64"/>
    <w:rsid w:val="00916ABB"/>
    <w:rsid w:val="0092772F"/>
    <w:rsid w:val="00952D87"/>
    <w:rsid w:val="00953917"/>
    <w:rsid w:val="00964F8D"/>
    <w:rsid w:val="00972D11"/>
    <w:rsid w:val="00977C04"/>
    <w:rsid w:val="0098255E"/>
    <w:rsid w:val="00991909"/>
    <w:rsid w:val="009C05DE"/>
    <w:rsid w:val="009C7759"/>
    <w:rsid w:val="009D22E5"/>
    <w:rsid w:val="009E17B9"/>
    <w:rsid w:val="00A160E6"/>
    <w:rsid w:val="00A2477B"/>
    <w:rsid w:val="00A4122D"/>
    <w:rsid w:val="00A46C41"/>
    <w:rsid w:val="00A51FB6"/>
    <w:rsid w:val="00A623B0"/>
    <w:rsid w:val="00AB6A57"/>
    <w:rsid w:val="00B07009"/>
    <w:rsid w:val="00B21F1B"/>
    <w:rsid w:val="00B409C5"/>
    <w:rsid w:val="00B51402"/>
    <w:rsid w:val="00B52871"/>
    <w:rsid w:val="00B65417"/>
    <w:rsid w:val="00B65955"/>
    <w:rsid w:val="00B7174F"/>
    <w:rsid w:val="00B86861"/>
    <w:rsid w:val="00B90982"/>
    <w:rsid w:val="00B925A6"/>
    <w:rsid w:val="00BC17E3"/>
    <w:rsid w:val="00BF009D"/>
    <w:rsid w:val="00C17703"/>
    <w:rsid w:val="00C45782"/>
    <w:rsid w:val="00C47AD7"/>
    <w:rsid w:val="00CD241C"/>
    <w:rsid w:val="00CD304B"/>
    <w:rsid w:val="00D05111"/>
    <w:rsid w:val="00D227E2"/>
    <w:rsid w:val="00D31EA4"/>
    <w:rsid w:val="00D47932"/>
    <w:rsid w:val="00D560AD"/>
    <w:rsid w:val="00D56AC0"/>
    <w:rsid w:val="00D731A0"/>
    <w:rsid w:val="00D83279"/>
    <w:rsid w:val="00D9147C"/>
    <w:rsid w:val="00DA43CF"/>
    <w:rsid w:val="00DB0BBE"/>
    <w:rsid w:val="00DB14BB"/>
    <w:rsid w:val="00DB56B6"/>
    <w:rsid w:val="00DC616F"/>
    <w:rsid w:val="00DC6D67"/>
    <w:rsid w:val="00DD174F"/>
    <w:rsid w:val="00DD653B"/>
    <w:rsid w:val="00DE26A8"/>
    <w:rsid w:val="00DF776D"/>
    <w:rsid w:val="00DF7C10"/>
    <w:rsid w:val="00E05D6E"/>
    <w:rsid w:val="00E11E22"/>
    <w:rsid w:val="00E4314E"/>
    <w:rsid w:val="00E81976"/>
    <w:rsid w:val="00E94A3D"/>
    <w:rsid w:val="00EB1FB1"/>
    <w:rsid w:val="00EB766E"/>
    <w:rsid w:val="00EC40EE"/>
    <w:rsid w:val="00EC5E96"/>
    <w:rsid w:val="00ED231F"/>
    <w:rsid w:val="00EE33AA"/>
    <w:rsid w:val="00EF26C1"/>
    <w:rsid w:val="00EF7FDA"/>
    <w:rsid w:val="00F07A3F"/>
    <w:rsid w:val="00F15EA2"/>
    <w:rsid w:val="00F34F74"/>
    <w:rsid w:val="00F46A81"/>
    <w:rsid w:val="00F67105"/>
    <w:rsid w:val="00F716DE"/>
    <w:rsid w:val="00F95015"/>
    <w:rsid w:val="00FC2497"/>
    <w:rsid w:val="00FE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A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A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A9B"/>
    <w:pPr>
      <w:keepNext/>
      <w:jc w:val="center"/>
      <w:outlineLvl w:val="2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14BB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paragraph" w:styleId="EnvelopeAddress">
    <w:name w:val="envelope address"/>
    <w:basedOn w:val="Normal"/>
    <w:rsid w:val="00D9147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705A9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B0BBE"/>
  </w:style>
  <w:style w:type="paragraph" w:styleId="Header">
    <w:name w:val="header"/>
    <w:basedOn w:val="Normal"/>
    <w:rsid w:val="003E633B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4F3DBB"/>
    <w:pPr>
      <w:jc w:val="center"/>
    </w:pPr>
    <w:rPr>
      <w:b/>
      <w:smallCaps/>
      <w:sz w:val="28"/>
    </w:rPr>
  </w:style>
  <w:style w:type="character" w:customStyle="1" w:styleId="TitleChar">
    <w:name w:val="Title Char"/>
    <w:basedOn w:val="DefaultParagraphFont"/>
    <w:link w:val="Title"/>
    <w:rsid w:val="004F3DBB"/>
    <w:rPr>
      <w:b/>
      <w:smallCaps/>
      <w:sz w:val="28"/>
      <w:szCs w:val="24"/>
      <w:lang w:val="en-US" w:eastAsia="en-US" w:bidi="ar-SA"/>
    </w:rPr>
  </w:style>
  <w:style w:type="character" w:styleId="Hyperlink">
    <w:name w:val="Hyperlink"/>
    <w:basedOn w:val="DefaultParagraphFont"/>
    <w:rsid w:val="00D56A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94A3D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4A3D"/>
    <w:rPr>
      <w:rFonts w:ascii="Consolas" w:eastAsiaTheme="minorHAns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41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workworld.com/news/2011/011211-world-ipv6-day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28DB-6D05-470D-B6DA-A94D049A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MEMORANDUM</vt:lpstr>
    </vt:vector>
  </TitlesOfParts>
  <Company>Department of Energy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MEMORANDUM</dc:title>
  <dc:subject/>
  <dc:creator>BOWIE</dc:creator>
  <cp:keywords/>
  <dc:description/>
  <cp:lastModifiedBy>Samara Moore</cp:lastModifiedBy>
  <cp:revision>19</cp:revision>
  <cp:lastPrinted>2010-03-08T20:36:00Z</cp:lastPrinted>
  <dcterms:created xsi:type="dcterms:W3CDTF">2011-02-01T18:53:00Z</dcterms:created>
  <dcterms:modified xsi:type="dcterms:W3CDTF">2011-02-01T21:24:00Z</dcterms:modified>
</cp:coreProperties>
</file>