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41805" w14:textId="77777777" w:rsidR="001602A7" w:rsidRPr="00A42842" w:rsidRDefault="001602A7" w:rsidP="00677435">
      <w:pPr>
        <w:pStyle w:val="NotesBody11pt"/>
        <w:spacing w:line="240" w:lineRule="auto"/>
        <w:rPr>
          <w:color w:val="004C97"/>
        </w:rPr>
      </w:pPr>
    </w:p>
    <w:p w14:paraId="758A7E16" w14:textId="77777777" w:rsidR="00B4298F" w:rsidRPr="00A42842" w:rsidRDefault="00B4298F" w:rsidP="00677435">
      <w:pPr>
        <w:pStyle w:val="NotesBody11pt"/>
        <w:spacing w:line="240" w:lineRule="auto"/>
        <w:rPr>
          <w:color w:val="004C97"/>
        </w:rPr>
      </w:pPr>
    </w:p>
    <w:p w14:paraId="5D13FF03" w14:textId="77777777" w:rsidR="00B4298F" w:rsidRPr="00A42842" w:rsidRDefault="00B4298F" w:rsidP="00677435">
      <w:pPr>
        <w:pStyle w:val="NotesBody11pt"/>
        <w:spacing w:line="240" w:lineRule="auto"/>
        <w:rPr>
          <w:color w:val="004C97"/>
        </w:rPr>
      </w:pPr>
    </w:p>
    <w:p w14:paraId="632AFB04" w14:textId="77777777" w:rsidR="00B4298F" w:rsidRPr="00A42842" w:rsidRDefault="00B4298F" w:rsidP="00677435">
      <w:pPr>
        <w:pStyle w:val="NotesBody11pt"/>
        <w:spacing w:line="240" w:lineRule="auto"/>
        <w:rPr>
          <w:color w:val="004C97"/>
        </w:rPr>
      </w:pPr>
    </w:p>
    <w:p w14:paraId="02ECBBFF" w14:textId="77777777" w:rsidR="00067F4F" w:rsidRPr="00A42842" w:rsidRDefault="00067F4F" w:rsidP="00677435">
      <w:pPr>
        <w:pStyle w:val="NotesBody11pt"/>
        <w:spacing w:line="240" w:lineRule="auto"/>
        <w:rPr>
          <w:color w:val="004C97"/>
        </w:rPr>
      </w:pPr>
    </w:p>
    <w:p w14:paraId="4EF4DC8F" w14:textId="41085D70" w:rsidR="009C1A25" w:rsidRPr="00E60C48" w:rsidRDefault="004908A3" w:rsidP="005C373D">
      <w:pPr>
        <w:pStyle w:val="Title24pt"/>
        <w:spacing w:line="240" w:lineRule="auto"/>
        <w:jc w:val="center"/>
        <w:rPr>
          <w:b w:val="0"/>
        </w:rPr>
      </w:pPr>
      <w:r w:rsidRPr="3FBF57C1">
        <w:fldChar w:fldCharType="begin"/>
      </w:r>
      <w:r>
        <w:rPr>
          <w:b w:val="0"/>
        </w:rPr>
        <w:instrText xml:space="preserve"> DOCPROPERTY  Project  \* MERGEFORMAT </w:instrText>
      </w:r>
      <w:r w:rsidRPr="3FBF57C1">
        <w:rPr>
          <w:b w:val="0"/>
        </w:rPr>
        <w:fldChar w:fldCharType="separate"/>
      </w:r>
      <w:r w:rsidR="00E1654E">
        <w:rPr>
          <w:b w:val="0"/>
        </w:rPr>
        <w:t>PIP-II</w:t>
      </w:r>
      <w:r w:rsidRPr="3FBF57C1">
        <w:fldChar w:fldCharType="end"/>
      </w:r>
      <w:r>
        <w:rPr>
          <w:b w:val="0"/>
        </w:rPr>
        <w:t xml:space="preserve"> </w:t>
      </w:r>
      <w:r w:rsidR="00E60C48" w:rsidRPr="3FBF57C1">
        <w:fldChar w:fldCharType="begin"/>
      </w:r>
      <w:r w:rsidR="00E60C48" w:rsidRPr="00E60C48">
        <w:rPr>
          <w:b w:val="0"/>
        </w:rPr>
        <w:instrText xml:space="preserve"> SUBJECT  \* FirstCap  \* MERGEFORMAT </w:instrText>
      </w:r>
      <w:r w:rsidR="00E60C48" w:rsidRPr="3FBF57C1">
        <w:rPr>
          <w:b w:val="0"/>
        </w:rPr>
        <w:fldChar w:fldCharType="separate"/>
      </w:r>
      <w:r w:rsidR="0008655E">
        <w:rPr>
          <w:b w:val="0"/>
        </w:rPr>
        <w:t>Value Engineering</w:t>
      </w:r>
      <w:r w:rsidR="007B2E8F">
        <w:rPr>
          <w:b w:val="0"/>
        </w:rPr>
        <w:t xml:space="preserve"> Plan</w:t>
      </w:r>
      <w:r w:rsidR="00E60C48" w:rsidRPr="3FBF57C1">
        <w:fldChar w:fldCharType="end"/>
      </w:r>
    </w:p>
    <w:p w14:paraId="22BE3943" w14:textId="77777777" w:rsidR="003002EB" w:rsidRDefault="003002EB" w:rsidP="00677435">
      <w:pPr>
        <w:pStyle w:val="NotesBody11pt"/>
        <w:spacing w:line="240" w:lineRule="auto"/>
        <w:rPr>
          <w:color w:val="004C97"/>
        </w:rPr>
      </w:pPr>
    </w:p>
    <w:p w14:paraId="76A78B9D" w14:textId="77777777" w:rsidR="007B2E8F" w:rsidRDefault="007B2E8F" w:rsidP="00677435">
      <w:pPr>
        <w:pStyle w:val="NotesBody11pt"/>
        <w:spacing w:line="240" w:lineRule="auto"/>
        <w:rPr>
          <w:color w:val="004C97"/>
        </w:rPr>
      </w:pPr>
    </w:p>
    <w:p w14:paraId="14A402CB" w14:textId="77777777" w:rsidR="007B2E8F" w:rsidRDefault="007B2E8F" w:rsidP="00677435">
      <w:pPr>
        <w:pStyle w:val="NotesBody11pt"/>
        <w:spacing w:line="240" w:lineRule="auto"/>
        <w:rPr>
          <w:color w:val="004C97"/>
        </w:rPr>
      </w:pPr>
    </w:p>
    <w:p w14:paraId="730BE9DA" w14:textId="6A3F2BB4" w:rsidR="003002EB" w:rsidRPr="007B2E8F" w:rsidRDefault="45A5486A" w:rsidP="45A5486A">
      <w:pPr>
        <w:pStyle w:val="NotesBody11pt"/>
        <w:spacing w:line="240" w:lineRule="auto"/>
        <w:rPr>
          <w:color w:val="004C97"/>
          <w:sz w:val="24"/>
          <w:szCs w:val="24"/>
        </w:rPr>
      </w:pPr>
      <w:r w:rsidRPr="45A5486A">
        <w:rPr>
          <w:color w:val="004C97"/>
          <w:sz w:val="24"/>
          <w:szCs w:val="24"/>
        </w:rPr>
        <w:t xml:space="preserve">Document number:  </w:t>
      </w:r>
      <w:r w:rsidR="00872D18">
        <w:rPr>
          <w:color w:val="004C97"/>
          <w:sz w:val="24"/>
          <w:szCs w:val="24"/>
        </w:rPr>
        <w:t xml:space="preserve">PIP-II </w:t>
      </w:r>
      <w:proofErr w:type="spellStart"/>
      <w:r w:rsidR="00872D18">
        <w:rPr>
          <w:color w:val="004C97"/>
          <w:sz w:val="24"/>
          <w:szCs w:val="24"/>
        </w:rPr>
        <w:t>DocDB</w:t>
      </w:r>
      <w:proofErr w:type="spellEnd"/>
      <w:r w:rsidR="00872D18">
        <w:rPr>
          <w:color w:val="004C97"/>
          <w:sz w:val="24"/>
          <w:szCs w:val="24"/>
        </w:rPr>
        <w:t xml:space="preserve"> 2830</w:t>
      </w:r>
    </w:p>
    <w:p w14:paraId="2B1754AC" w14:textId="77777777" w:rsidR="003002EB" w:rsidRPr="00A42842" w:rsidRDefault="003002EB" w:rsidP="00677435">
      <w:pPr>
        <w:pStyle w:val="NotesBody11pt"/>
        <w:spacing w:line="240" w:lineRule="auto"/>
        <w:rPr>
          <w:color w:val="004C97"/>
        </w:rPr>
      </w:pPr>
    </w:p>
    <w:p w14:paraId="3918035B" w14:textId="77777777" w:rsidR="003002EB" w:rsidRDefault="003002EB" w:rsidP="00677435">
      <w:pPr>
        <w:pStyle w:val="NotesBody11pt"/>
        <w:spacing w:line="240" w:lineRule="auto"/>
        <w:rPr>
          <w:color w:val="004C97"/>
        </w:rPr>
      </w:pPr>
    </w:p>
    <w:p w14:paraId="69458EBA" w14:textId="77777777" w:rsidR="003002EB" w:rsidRPr="00A42842" w:rsidRDefault="003002EB" w:rsidP="00677435">
      <w:pPr>
        <w:pStyle w:val="NotesBody11pt"/>
        <w:spacing w:line="240" w:lineRule="auto"/>
        <w:rPr>
          <w:color w:val="004C97"/>
        </w:rPr>
      </w:pPr>
    </w:p>
    <w:p w14:paraId="2C05CEDA" w14:textId="2ECEAF63" w:rsidR="00B4298F" w:rsidRPr="00A42842" w:rsidRDefault="3FBF57C1" w:rsidP="00B83FBE">
      <w:pPr>
        <w:pStyle w:val="Subtitle16pt"/>
      </w:pPr>
      <w:r>
        <w:t>Document Approval</w:t>
      </w:r>
    </w:p>
    <w:tbl>
      <w:tblPr>
        <w:tblStyle w:val="PIP-IITable"/>
        <w:tblW w:w="0" w:type="auto"/>
        <w:tblLook w:val="04A0" w:firstRow="1" w:lastRow="0" w:firstColumn="1" w:lastColumn="0" w:noHBand="0" w:noVBand="1"/>
      </w:tblPr>
      <w:tblGrid>
        <w:gridCol w:w="7740"/>
        <w:gridCol w:w="2340"/>
      </w:tblGrid>
      <w:tr w:rsidR="00B83FBE" w:rsidRPr="00B83FBE" w14:paraId="35ED6825" w14:textId="77777777" w:rsidTr="00B47368">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2C8F8F0A" w14:textId="77777777" w:rsidR="00B83FBE" w:rsidRPr="00B83FBE" w:rsidRDefault="00B83FBE" w:rsidP="00B83FBE">
            <w:pPr>
              <w:tabs>
                <w:tab w:val="clear" w:pos="1714"/>
              </w:tabs>
              <w:spacing w:line="240" w:lineRule="auto"/>
            </w:pPr>
            <w:r w:rsidRPr="00B83FBE">
              <w:t>Signatures Required</w:t>
            </w:r>
          </w:p>
        </w:tc>
        <w:tc>
          <w:tcPr>
            <w:tcW w:w="2340" w:type="dxa"/>
          </w:tcPr>
          <w:p w14:paraId="1A6F2BBB" w14:textId="77777777" w:rsidR="00B83FBE" w:rsidRPr="00B83FBE" w:rsidRDefault="00B83FBE" w:rsidP="00B83FBE">
            <w:pPr>
              <w:tabs>
                <w:tab w:val="clear" w:pos="1714"/>
              </w:tabs>
              <w:spacing w:line="240" w:lineRule="auto"/>
            </w:pPr>
            <w:r w:rsidRPr="00B83FBE">
              <w:t>Date Approved</w:t>
            </w:r>
          </w:p>
        </w:tc>
      </w:tr>
      <w:tr w:rsidR="00B83FBE" w:rsidRPr="00B83FBE" w14:paraId="5006C84E" w14:textId="77777777" w:rsidTr="00B47368">
        <w:trPr>
          <w:trHeight w:val="458"/>
        </w:trPr>
        <w:tc>
          <w:tcPr>
            <w:tcW w:w="7740" w:type="dxa"/>
          </w:tcPr>
          <w:p w14:paraId="6FC12AA8" w14:textId="6E31ECE7" w:rsidR="00B83FBE" w:rsidRPr="00B83FBE" w:rsidRDefault="00B83FBE" w:rsidP="00B83FBE">
            <w:pPr>
              <w:tabs>
                <w:tab w:val="clear" w:pos="1714"/>
              </w:tabs>
              <w:spacing w:line="240" w:lineRule="auto"/>
            </w:pPr>
            <w:r w:rsidRPr="00B83FBE">
              <w:t xml:space="preserve">Originator: </w:t>
            </w:r>
            <w:r w:rsidR="003925FA">
              <w:t>Allan Rowe, Project Engineer</w:t>
            </w:r>
          </w:p>
        </w:tc>
        <w:tc>
          <w:tcPr>
            <w:tcW w:w="2340" w:type="dxa"/>
          </w:tcPr>
          <w:p w14:paraId="608E595A" w14:textId="41A065DD" w:rsidR="00B83FBE" w:rsidRPr="00B83FBE" w:rsidRDefault="000A4298" w:rsidP="00B83FBE">
            <w:pPr>
              <w:tabs>
                <w:tab w:val="clear" w:pos="1714"/>
              </w:tabs>
              <w:spacing w:line="240" w:lineRule="auto"/>
            </w:pPr>
            <w:r>
              <w:t xml:space="preserve">As in </w:t>
            </w:r>
            <w:proofErr w:type="spellStart"/>
            <w:r>
              <w:t>DocDB</w:t>
            </w:r>
            <w:proofErr w:type="spellEnd"/>
          </w:p>
        </w:tc>
      </w:tr>
      <w:tr w:rsidR="00B83FBE" w:rsidRPr="00B83FBE" w14:paraId="2480B51B" w14:textId="77777777" w:rsidTr="00B47368">
        <w:trPr>
          <w:trHeight w:val="458"/>
        </w:trPr>
        <w:tc>
          <w:tcPr>
            <w:tcW w:w="7740" w:type="dxa"/>
          </w:tcPr>
          <w:p w14:paraId="19903364" w14:textId="77777777" w:rsidR="00B83FBE" w:rsidRPr="00B83FBE" w:rsidRDefault="00B83FBE" w:rsidP="00B83FBE">
            <w:pPr>
              <w:tabs>
                <w:tab w:val="clear" w:pos="1714"/>
              </w:tabs>
              <w:spacing w:line="240" w:lineRule="auto"/>
            </w:pPr>
            <w:r w:rsidRPr="00B83FBE">
              <w:t>Approver: Marc Kaducak, Project Manager</w:t>
            </w:r>
          </w:p>
        </w:tc>
        <w:tc>
          <w:tcPr>
            <w:tcW w:w="2340" w:type="dxa"/>
          </w:tcPr>
          <w:p w14:paraId="4C1032FB" w14:textId="78E4D7D7" w:rsidR="00B83FBE" w:rsidRPr="00B83FBE" w:rsidRDefault="000A4298" w:rsidP="00B83FBE">
            <w:pPr>
              <w:tabs>
                <w:tab w:val="clear" w:pos="1714"/>
              </w:tabs>
              <w:spacing w:line="240" w:lineRule="auto"/>
            </w:pPr>
            <w:r>
              <w:t xml:space="preserve">As in </w:t>
            </w:r>
            <w:proofErr w:type="spellStart"/>
            <w:r>
              <w:t>DocDB</w:t>
            </w:r>
            <w:proofErr w:type="spellEnd"/>
          </w:p>
        </w:tc>
      </w:tr>
      <w:tr w:rsidR="00B83FBE" w:rsidRPr="00B83FBE" w14:paraId="7E530721" w14:textId="77777777" w:rsidTr="00B47368">
        <w:trPr>
          <w:trHeight w:val="458"/>
        </w:trPr>
        <w:tc>
          <w:tcPr>
            <w:tcW w:w="7740" w:type="dxa"/>
          </w:tcPr>
          <w:p w14:paraId="78B09230" w14:textId="77777777" w:rsidR="00B83FBE" w:rsidRPr="00B83FBE" w:rsidRDefault="00B83FBE" w:rsidP="00B83FBE">
            <w:pPr>
              <w:tabs>
                <w:tab w:val="clear" w:pos="1714"/>
              </w:tabs>
              <w:spacing w:line="240" w:lineRule="auto"/>
            </w:pPr>
            <w:r w:rsidRPr="00B83FBE">
              <w:t>Approver: Arkadiy Klebaner, Technical Director</w:t>
            </w:r>
          </w:p>
        </w:tc>
        <w:tc>
          <w:tcPr>
            <w:tcW w:w="2340" w:type="dxa"/>
          </w:tcPr>
          <w:p w14:paraId="28E54349" w14:textId="7E394A8A" w:rsidR="00B83FBE" w:rsidRPr="00B83FBE" w:rsidRDefault="000A4298" w:rsidP="00B83FBE">
            <w:pPr>
              <w:tabs>
                <w:tab w:val="clear" w:pos="1714"/>
              </w:tabs>
              <w:spacing w:line="240" w:lineRule="auto"/>
            </w:pPr>
            <w:r>
              <w:t xml:space="preserve">As in </w:t>
            </w:r>
            <w:proofErr w:type="spellStart"/>
            <w:r>
              <w:t>DocDB</w:t>
            </w:r>
            <w:proofErr w:type="spellEnd"/>
          </w:p>
        </w:tc>
      </w:tr>
      <w:tr w:rsidR="00B83FBE" w:rsidRPr="00B83FBE" w14:paraId="0C5B1B6F" w14:textId="77777777" w:rsidTr="00B47368">
        <w:trPr>
          <w:trHeight w:val="458"/>
        </w:trPr>
        <w:tc>
          <w:tcPr>
            <w:tcW w:w="7740" w:type="dxa"/>
          </w:tcPr>
          <w:p w14:paraId="5245855B" w14:textId="77777777" w:rsidR="00B83FBE" w:rsidRPr="00B83FBE" w:rsidRDefault="00B83FBE" w:rsidP="00B83FBE">
            <w:pPr>
              <w:tabs>
                <w:tab w:val="clear" w:pos="1714"/>
              </w:tabs>
              <w:spacing w:line="240" w:lineRule="auto"/>
            </w:pPr>
            <w:r w:rsidRPr="00B83FBE">
              <w:t>Approver: Lia Merminga, Project Director</w:t>
            </w:r>
          </w:p>
        </w:tc>
        <w:tc>
          <w:tcPr>
            <w:tcW w:w="2340" w:type="dxa"/>
          </w:tcPr>
          <w:p w14:paraId="5019E460" w14:textId="76ED7EA6" w:rsidR="00B83FBE" w:rsidRPr="00B83FBE" w:rsidRDefault="000A4298" w:rsidP="00B83FBE">
            <w:pPr>
              <w:tabs>
                <w:tab w:val="clear" w:pos="1714"/>
              </w:tabs>
              <w:spacing w:line="240" w:lineRule="auto"/>
            </w:pPr>
            <w:r>
              <w:t xml:space="preserve">As in </w:t>
            </w:r>
            <w:proofErr w:type="spellStart"/>
            <w:r>
              <w:t>DocDB</w:t>
            </w:r>
            <w:proofErr w:type="spellEnd"/>
          </w:p>
        </w:tc>
      </w:tr>
    </w:tbl>
    <w:p w14:paraId="75DD3C50" w14:textId="77777777" w:rsidR="00B4298F" w:rsidRDefault="00B4298F" w:rsidP="00677435">
      <w:pPr>
        <w:pStyle w:val="NotesBody11pt"/>
        <w:spacing w:line="240" w:lineRule="auto"/>
        <w:rPr>
          <w:color w:val="004C97"/>
        </w:rPr>
      </w:pPr>
    </w:p>
    <w:p w14:paraId="435FAEF7" w14:textId="77777777" w:rsidR="007B2E8F" w:rsidRDefault="007B2E8F" w:rsidP="00677435">
      <w:pPr>
        <w:pStyle w:val="NotesBody11pt"/>
        <w:spacing w:line="240" w:lineRule="auto"/>
        <w:rPr>
          <w:color w:val="004C97"/>
        </w:rPr>
      </w:pPr>
    </w:p>
    <w:p w14:paraId="48C814C5" w14:textId="77777777" w:rsidR="007B2E8F" w:rsidRDefault="007B2E8F" w:rsidP="00677435">
      <w:pPr>
        <w:pStyle w:val="NotesBody11pt"/>
        <w:spacing w:line="240" w:lineRule="auto"/>
        <w:rPr>
          <w:color w:val="004C97"/>
        </w:rPr>
      </w:pPr>
    </w:p>
    <w:p w14:paraId="3ED197A4" w14:textId="77777777" w:rsidR="007B2E8F" w:rsidRDefault="007B2E8F" w:rsidP="00677435">
      <w:pPr>
        <w:pStyle w:val="NotesBody11pt"/>
        <w:spacing w:line="240" w:lineRule="auto"/>
        <w:rPr>
          <w:color w:val="004C97"/>
        </w:rPr>
      </w:pPr>
    </w:p>
    <w:p w14:paraId="09B352C3" w14:textId="77777777" w:rsidR="007B2E8F" w:rsidRDefault="007B2E8F" w:rsidP="00677435">
      <w:pPr>
        <w:pStyle w:val="NotesBody11pt"/>
        <w:spacing w:line="240" w:lineRule="auto"/>
        <w:rPr>
          <w:color w:val="004C97"/>
        </w:rPr>
      </w:pPr>
    </w:p>
    <w:p w14:paraId="3F7AB0B2" w14:textId="77777777" w:rsidR="007B2E8F" w:rsidRDefault="007B2E8F" w:rsidP="00677435">
      <w:pPr>
        <w:pStyle w:val="NotesBody11pt"/>
        <w:spacing w:line="240" w:lineRule="auto"/>
        <w:rPr>
          <w:color w:val="004C97"/>
        </w:rPr>
      </w:pPr>
    </w:p>
    <w:p w14:paraId="129579AD" w14:textId="2415D144" w:rsidR="007B2E8F" w:rsidRDefault="007B2E8F" w:rsidP="00677435">
      <w:pPr>
        <w:pStyle w:val="NotesBody11pt"/>
        <w:spacing w:line="240" w:lineRule="auto"/>
        <w:rPr>
          <w:color w:val="004C97"/>
        </w:rPr>
      </w:pPr>
    </w:p>
    <w:p w14:paraId="7409D153" w14:textId="5D4CE1E7" w:rsidR="00B83FBE" w:rsidRDefault="00B83FBE" w:rsidP="00677435">
      <w:pPr>
        <w:pStyle w:val="NotesBody11pt"/>
        <w:spacing w:line="240" w:lineRule="auto"/>
        <w:rPr>
          <w:color w:val="004C97"/>
        </w:rPr>
      </w:pPr>
    </w:p>
    <w:p w14:paraId="698345FD" w14:textId="716AE219" w:rsidR="00B83FBE" w:rsidRDefault="00B83FBE" w:rsidP="00677435">
      <w:pPr>
        <w:pStyle w:val="NotesBody11pt"/>
        <w:spacing w:line="240" w:lineRule="auto"/>
        <w:rPr>
          <w:color w:val="004C97"/>
        </w:rPr>
      </w:pPr>
    </w:p>
    <w:p w14:paraId="2C70CDD2" w14:textId="10691BBA" w:rsidR="00B83FBE" w:rsidRDefault="00B83FBE" w:rsidP="00677435">
      <w:pPr>
        <w:pStyle w:val="NotesBody11pt"/>
        <w:spacing w:line="240" w:lineRule="auto"/>
        <w:rPr>
          <w:color w:val="004C97"/>
        </w:rPr>
      </w:pPr>
    </w:p>
    <w:p w14:paraId="2B597A2D" w14:textId="5B8F078D" w:rsidR="00B83FBE" w:rsidRDefault="00B83FBE" w:rsidP="00677435">
      <w:pPr>
        <w:pStyle w:val="NotesBody11pt"/>
        <w:spacing w:line="240" w:lineRule="auto"/>
        <w:rPr>
          <w:color w:val="004C97"/>
        </w:rPr>
      </w:pPr>
    </w:p>
    <w:p w14:paraId="192187F0" w14:textId="16352EFC" w:rsidR="00B83FBE" w:rsidRDefault="00B83FBE" w:rsidP="00677435">
      <w:pPr>
        <w:pStyle w:val="NotesBody11pt"/>
        <w:spacing w:line="240" w:lineRule="auto"/>
        <w:rPr>
          <w:color w:val="004C97"/>
        </w:rPr>
      </w:pPr>
    </w:p>
    <w:p w14:paraId="11583A10" w14:textId="77777777" w:rsidR="00B83FBE" w:rsidRDefault="00B83FBE" w:rsidP="00677435">
      <w:pPr>
        <w:pStyle w:val="NotesBody11pt"/>
        <w:spacing w:line="240" w:lineRule="auto"/>
        <w:rPr>
          <w:color w:val="004C97"/>
        </w:rPr>
      </w:pPr>
    </w:p>
    <w:p w14:paraId="0B6993FA" w14:textId="77777777" w:rsidR="007B2E8F" w:rsidRDefault="007B2E8F" w:rsidP="00677435">
      <w:pPr>
        <w:pStyle w:val="NotesBody11pt"/>
        <w:spacing w:line="240" w:lineRule="auto"/>
        <w:rPr>
          <w:color w:val="004C97"/>
        </w:rPr>
      </w:pPr>
    </w:p>
    <w:p w14:paraId="6C5EA526" w14:textId="77777777" w:rsidR="007B2E8F" w:rsidRDefault="007B2E8F" w:rsidP="00677435">
      <w:pPr>
        <w:pStyle w:val="NotesBody11pt"/>
        <w:spacing w:line="240" w:lineRule="auto"/>
        <w:rPr>
          <w:color w:val="004C97"/>
        </w:rPr>
      </w:pPr>
    </w:p>
    <w:p w14:paraId="05F2A004" w14:textId="77777777" w:rsidR="007B2E8F" w:rsidRDefault="007B2E8F" w:rsidP="00677435">
      <w:pPr>
        <w:pStyle w:val="NotesBody11pt"/>
        <w:spacing w:line="240" w:lineRule="auto"/>
        <w:rPr>
          <w:color w:val="004C97"/>
        </w:rPr>
      </w:pPr>
    </w:p>
    <w:p w14:paraId="47F15AA5" w14:textId="74DFEBE2" w:rsidR="007B2E8F" w:rsidRDefault="007B2E8F" w:rsidP="00677435">
      <w:pPr>
        <w:pStyle w:val="NotesBody11pt"/>
        <w:spacing w:line="240" w:lineRule="auto"/>
        <w:rPr>
          <w:color w:val="004C97"/>
        </w:rPr>
      </w:pPr>
    </w:p>
    <w:p w14:paraId="4D6926C0" w14:textId="56007215" w:rsidR="003925FA" w:rsidRDefault="003925FA" w:rsidP="00677435">
      <w:pPr>
        <w:pStyle w:val="NotesBody11pt"/>
        <w:spacing w:line="240" w:lineRule="auto"/>
        <w:rPr>
          <w:color w:val="004C97"/>
        </w:rPr>
      </w:pPr>
    </w:p>
    <w:p w14:paraId="6A2583C4" w14:textId="3C3CE4DF" w:rsidR="003925FA" w:rsidRDefault="003925FA" w:rsidP="00677435">
      <w:pPr>
        <w:pStyle w:val="NotesBody11pt"/>
        <w:spacing w:line="240" w:lineRule="auto"/>
        <w:rPr>
          <w:color w:val="004C97"/>
        </w:rPr>
      </w:pPr>
    </w:p>
    <w:p w14:paraId="072523B8" w14:textId="36D8021E" w:rsidR="003925FA" w:rsidRDefault="003925FA" w:rsidP="00677435">
      <w:pPr>
        <w:pStyle w:val="NotesBody11pt"/>
        <w:spacing w:line="240" w:lineRule="auto"/>
        <w:rPr>
          <w:color w:val="004C97"/>
        </w:rPr>
      </w:pPr>
    </w:p>
    <w:p w14:paraId="17D5FC30" w14:textId="07387543" w:rsidR="003925FA" w:rsidRDefault="003925FA" w:rsidP="00677435">
      <w:pPr>
        <w:pStyle w:val="NotesBody11pt"/>
        <w:spacing w:line="240" w:lineRule="auto"/>
        <w:rPr>
          <w:color w:val="004C97"/>
        </w:rPr>
      </w:pPr>
    </w:p>
    <w:p w14:paraId="1BF74B2E" w14:textId="77777777" w:rsidR="003925FA" w:rsidRPr="00A42842" w:rsidRDefault="003925FA" w:rsidP="00677435">
      <w:pPr>
        <w:pStyle w:val="NotesBody11pt"/>
        <w:spacing w:line="240" w:lineRule="auto"/>
        <w:rPr>
          <w:color w:val="004C97"/>
        </w:rPr>
      </w:pPr>
    </w:p>
    <w:p w14:paraId="112F57B1" w14:textId="77777777" w:rsidR="00B4298F" w:rsidRPr="00A42842" w:rsidRDefault="00B4298F" w:rsidP="00677435">
      <w:pPr>
        <w:pStyle w:val="NotesBody11pt"/>
        <w:spacing w:line="240" w:lineRule="auto"/>
        <w:rPr>
          <w:color w:val="004C97"/>
        </w:rPr>
      </w:pPr>
    </w:p>
    <w:p w14:paraId="6043DC6B" w14:textId="77777777" w:rsidR="007B2E8F" w:rsidRPr="007B2E8F" w:rsidRDefault="3FBF57C1" w:rsidP="007B2E8F">
      <w:pPr>
        <w:pStyle w:val="Subtitle16pt"/>
      </w:pPr>
      <w:r>
        <w:lastRenderedPageBreak/>
        <w:t>Revision History</w:t>
      </w:r>
    </w:p>
    <w:p w14:paraId="266BDAC7" w14:textId="77777777" w:rsidR="00B4298F" w:rsidRPr="00A42842" w:rsidRDefault="00B4298F" w:rsidP="00677435">
      <w:pPr>
        <w:pStyle w:val="NotesBody11pt"/>
        <w:spacing w:line="240" w:lineRule="auto"/>
        <w:rPr>
          <w:color w:val="004C97"/>
        </w:rPr>
      </w:pPr>
    </w:p>
    <w:tbl>
      <w:tblPr>
        <w:tblStyle w:val="TableGrid"/>
        <w:tblW w:w="0" w:type="auto"/>
        <w:tblLook w:val="04A0" w:firstRow="1" w:lastRow="0" w:firstColumn="1" w:lastColumn="0" w:noHBand="0" w:noVBand="1"/>
      </w:tblPr>
      <w:tblGrid>
        <w:gridCol w:w="1195"/>
        <w:gridCol w:w="2042"/>
        <w:gridCol w:w="6833"/>
      </w:tblGrid>
      <w:tr w:rsidR="007B2E8F" w14:paraId="4B6ABDB1" w14:textId="77777777" w:rsidTr="6926947E">
        <w:tc>
          <w:tcPr>
            <w:tcW w:w="985" w:type="dxa"/>
          </w:tcPr>
          <w:p w14:paraId="12B4B8F8" w14:textId="77777777" w:rsidR="007B2E8F" w:rsidRDefault="3FBF57C1" w:rsidP="3FBF57C1">
            <w:pPr>
              <w:pStyle w:val="NotesBody11pt"/>
              <w:spacing w:line="240" w:lineRule="auto"/>
              <w:rPr>
                <w:color w:val="004C97"/>
              </w:rPr>
            </w:pPr>
            <w:r w:rsidRPr="3FBF57C1">
              <w:rPr>
                <w:color w:val="004C97"/>
              </w:rPr>
              <w:t>Revision</w:t>
            </w:r>
          </w:p>
        </w:tc>
        <w:tc>
          <w:tcPr>
            <w:tcW w:w="2070" w:type="dxa"/>
          </w:tcPr>
          <w:p w14:paraId="3A28D02B" w14:textId="3B7ED8F4" w:rsidR="007B2E8F" w:rsidRDefault="3FBF57C1" w:rsidP="3FBF57C1">
            <w:pPr>
              <w:pStyle w:val="NotesBody11pt"/>
              <w:spacing w:line="240" w:lineRule="auto"/>
              <w:rPr>
                <w:color w:val="004C97"/>
              </w:rPr>
            </w:pPr>
            <w:r w:rsidRPr="3FBF57C1">
              <w:rPr>
                <w:color w:val="004C97"/>
              </w:rPr>
              <w:t>Date Release</w:t>
            </w:r>
          </w:p>
        </w:tc>
        <w:tc>
          <w:tcPr>
            <w:tcW w:w="7015" w:type="dxa"/>
          </w:tcPr>
          <w:p w14:paraId="4AC6E5CD" w14:textId="77777777" w:rsidR="007B2E8F" w:rsidRDefault="3FBF57C1" w:rsidP="3FBF57C1">
            <w:pPr>
              <w:pStyle w:val="NotesBody11pt"/>
              <w:spacing w:line="240" w:lineRule="auto"/>
              <w:rPr>
                <w:color w:val="004C97"/>
              </w:rPr>
            </w:pPr>
            <w:r w:rsidRPr="3FBF57C1">
              <w:rPr>
                <w:color w:val="004C97"/>
              </w:rPr>
              <w:t>Description of Change</w:t>
            </w:r>
          </w:p>
        </w:tc>
      </w:tr>
      <w:tr w:rsidR="007B2E8F" w14:paraId="47F3DA56" w14:textId="77777777" w:rsidTr="6926947E">
        <w:tc>
          <w:tcPr>
            <w:tcW w:w="985" w:type="dxa"/>
          </w:tcPr>
          <w:p w14:paraId="58FC0F6F" w14:textId="5E0CD4BC" w:rsidR="007B2E8F" w:rsidRDefault="000A4298" w:rsidP="00677435">
            <w:pPr>
              <w:pStyle w:val="NotesBody11pt"/>
              <w:spacing w:line="240" w:lineRule="auto"/>
              <w:rPr>
                <w:color w:val="004C97"/>
              </w:rPr>
            </w:pPr>
            <w:r>
              <w:rPr>
                <w:color w:val="004C97"/>
              </w:rPr>
              <w:t>12/2/2019</w:t>
            </w:r>
          </w:p>
        </w:tc>
        <w:tc>
          <w:tcPr>
            <w:tcW w:w="2070" w:type="dxa"/>
          </w:tcPr>
          <w:p w14:paraId="58E8F0E3" w14:textId="327A3418" w:rsidR="007B2E8F" w:rsidRDefault="000A4298" w:rsidP="00677435">
            <w:pPr>
              <w:pStyle w:val="NotesBody11pt"/>
              <w:spacing w:line="240" w:lineRule="auto"/>
              <w:rPr>
                <w:color w:val="004C97"/>
              </w:rPr>
            </w:pPr>
            <w:r>
              <w:rPr>
                <w:color w:val="004C97"/>
              </w:rPr>
              <w:t>12/2/2019</w:t>
            </w:r>
          </w:p>
        </w:tc>
        <w:tc>
          <w:tcPr>
            <w:tcW w:w="7015" w:type="dxa"/>
          </w:tcPr>
          <w:p w14:paraId="7B6E0CF4" w14:textId="70830969" w:rsidR="007B2E8F" w:rsidRDefault="000A4298" w:rsidP="00677435">
            <w:pPr>
              <w:pStyle w:val="NotesBody11pt"/>
              <w:spacing w:line="240" w:lineRule="auto"/>
              <w:rPr>
                <w:color w:val="004C97"/>
              </w:rPr>
            </w:pPr>
            <w:r>
              <w:rPr>
                <w:color w:val="004C97"/>
              </w:rPr>
              <w:t>Updated hyperlinks and references</w:t>
            </w:r>
          </w:p>
        </w:tc>
      </w:tr>
      <w:tr w:rsidR="007B2E8F" w14:paraId="649986B7" w14:textId="77777777" w:rsidTr="6926947E">
        <w:tc>
          <w:tcPr>
            <w:tcW w:w="985" w:type="dxa"/>
          </w:tcPr>
          <w:p w14:paraId="710BEC15" w14:textId="77777777" w:rsidR="007B2E8F" w:rsidRDefault="007B2E8F" w:rsidP="00677435">
            <w:pPr>
              <w:pStyle w:val="NotesBody11pt"/>
              <w:spacing w:line="240" w:lineRule="auto"/>
              <w:rPr>
                <w:color w:val="004C97"/>
              </w:rPr>
            </w:pPr>
          </w:p>
        </w:tc>
        <w:tc>
          <w:tcPr>
            <w:tcW w:w="2070" w:type="dxa"/>
          </w:tcPr>
          <w:p w14:paraId="716CCF79" w14:textId="77777777" w:rsidR="007B2E8F" w:rsidRDefault="007B2E8F" w:rsidP="00677435">
            <w:pPr>
              <w:pStyle w:val="NotesBody11pt"/>
              <w:spacing w:line="240" w:lineRule="auto"/>
              <w:rPr>
                <w:color w:val="004C97"/>
              </w:rPr>
            </w:pPr>
          </w:p>
        </w:tc>
        <w:tc>
          <w:tcPr>
            <w:tcW w:w="7015" w:type="dxa"/>
          </w:tcPr>
          <w:p w14:paraId="766039E2" w14:textId="77777777" w:rsidR="007B2E8F" w:rsidRDefault="007B2E8F" w:rsidP="00677435">
            <w:pPr>
              <w:pStyle w:val="NotesBody11pt"/>
              <w:spacing w:line="240" w:lineRule="auto"/>
              <w:rPr>
                <w:color w:val="004C97"/>
              </w:rPr>
            </w:pPr>
          </w:p>
        </w:tc>
      </w:tr>
    </w:tbl>
    <w:p w14:paraId="70D1FECF" w14:textId="77777777" w:rsidR="004D3ED7" w:rsidRDefault="004D3ED7" w:rsidP="00677435">
      <w:pPr>
        <w:pStyle w:val="NotesBody11pt"/>
        <w:spacing w:line="240" w:lineRule="auto"/>
        <w:rPr>
          <w:color w:val="004C97"/>
        </w:rPr>
      </w:pPr>
    </w:p>
    <w:p w14:paraId="167EAD55" w14:textId="77777777" w:rsidR="00B4298F" w:rsidRPr="00A42842" w:rsidRDefault="00B4298F" w:rsidP="00677435">
      <w:pPr>
        <w:pStyle w:val="NotesBody11pt"/>
        <w:spacing w:line="240" w:lineRule="auto"/>
        <w:rPr>
          <w:color w:val="004C97"/>
        </w:rPr>
      </w:pPr>
    </w:p>
    <w:p w14:paraId="14CC5F16" w14:textId="77777777" w:rsidR="00B4298F" w:rsidRPr="00A42842" w:rsidRDefault="00B4298F" w:rsidP="00677435">
      <w:pPr>
        <w:pStyle w:val="NotesBody11pt"/>
        <w:spacing w:line="240" w:lineRule="auto"/>
        <w:rPr>
          <w:color w:val="004C97"/>
        </w:rPr>
      </w:pPr>
      <w:bookmarkStart w:id="0" w:name="_GoBack"/>
      <w:bookmarkEnd w:id="0"/>
    </w:p>
    <w:p w14:paraId="7F689439" w14:textId="77777777" w:rsidR="00B4298F" w:rsidRPr="00A42842" w:rsidRDefault="00B4298F" w:rsidP="00677435">
      <w:pPr>
        <w:pStyle w:val="NotesBody11pt"/>
        <w:spacing w:line="240" w:lineRule="auto"/>
        <w:rPr>
          <w:color w:val="004C97"/>
        </w:rPr>
      </w:pPr>
    </w:p>
    <w:p w14:paraId="6A0B489D" w14:textId="77777777" w:rsidR="00B4298F" w:rsidRPr="00A42842" w:rsidRDefault="00B4298F" w:rsidP="00677435">
      <w:pPr>
        <w:pStyle w:val="NotesBody11pt"/>
        <w:spacing w:line="240" w:lineRule="auto"/>
        <w:rPr>
          <w:color w:val="004C97"/>
        </w:rPr>
      </w:pPr>
    </w:p>
    <w:p w14:paraId="4DED9D41" w14:textId="77777777" w:rsidR="00B4298F" w:rsidRPr="00A42842" w:rsidRDefault="00B4298F" w:rsidP="00677435">
      <w:pPr>
        <w:pStyle w:val="NotesBody11pt"/>
      </w:pPr>
    </w:p>
    <w:p w14:paraId="2FB6A7DF" w14:textId="77777777" w:rsidR="00453FDF" w:rsidRPr="00A42842" w:rsidRDefault="00453FDF" w:rsidP="00677435">
      <w:pPr>
        <w:pStyle w:val="NotesBody11pt"/>
      </w:pPr>
    </w:p>
    <w:p w14:paraId="0D52E703" w14:textId="77777777" w:rsidR="001D1A1A" w:rsidRDefault="001D1A1A" w:rsidP="00677435">
      <w:pPr>
        <w:pStyle w:val="NotesBody11pt"/>
        <w:sectPr w:rsidR="001D1A1A" w:rsidSect="000E7B9C">
          <w:headerReference w:type="even" r:id="rId11"/>
          <w:headerReference w:type="default" r:id="rId12"/>
          <w:footerReference w:type="even" r:id="rId13"/>
          <w:footerReference w:type="default" r:id="rId14"/>
          <w:headerReference w:type="first" r:id="rId15"/>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1808071810"/>
        <w:docPartObj>
          <w:docPartGallery w:val="Table of Contents"/>
          <w:docPartUnique/>
        </w:docPartObj>
      </w:sdtPr>
      <w:sdtEndPr>
        <w:rPr>
          <w:b/>
          <w:bCs/>
          <w:noProof/>
        </w:rPr>
      </w:sdtEndPr>
      <w:sdtContent>
        <w:p w14:paraId="40751F21" w14:textId="77777777" w:rsidR="005B1C2F" w:rsidRDefault="3FBF57C1" w:rsidP="00677435">
          <w:pPr>
            <w:pStyle w:val="TOCHeading"/>
          </w:pPr>
          <w:r>
            <w:t>Table of Contents</w:t>
          </w:r>
        </w:p>
        <w:p w14:paraId="683801F0" w14:textId="77777777" w:rsidR="00817DFD" w:rsidRPr="00817DFD" w:rsidRDefault="00817DFD" w:rsidP="00677435"/>
        <w:p w14:paraId="4D34D252" w14:textId="4C65ED27" w:rsidR="007C5B8A" w:rsidRDefault="00F228D7">
          <w:pPr>
            <w:pStyle w:val="TOC1"/>
            <w:rPr>
              <w:rFonts w:asciiTheme="minorHAnsi" w:eastAsiaTheme="minorEastAsia" w:hAnsiTheme="minorHAnsi" w:cstheme="minorBidi"/>
              <w:szCs w:val="22"/>
            </w:rPr>
          </w:pPr>
          <w:r>
            <w:fldChar w:fldCharType="begin"/>
          </w:r>
          <w:r>
            <w:instrText xml:space="preserve"> TOC \o "1-2" </w:instrText>
          </w:r>
          <w:r>
            <w:fldChar w:fldCharType="separate"/>
          </w:r>
          <w:r w:rsidR="007C5B8A">
            <w:t>1.</w:t>
          </w:r>
          <w:r w:rsidR="007C5B8A">
            <w:rPr>
              <w:rFonts w:asciiTheme="minorHAnsi" w:eastAsiaTheme="minorEastAsia" w:hAnsiTheme="minorHAnsi" w:cstheme="minorBidi"/>
              <w:szCs w:val="22"/>
            </w:rPr>
            <w:tab/>
          </w:r>
          <w:r w:rsidR="007C5B8A">
            <w:t>Introduction</w:t>
          </w:r>
          <w:r w:rsidR="007C5B8A">
            <w:tab/>
          </w:r>
          <w:r w:rsidR="007C5B8A">
            <w:fldChar w:fldCharType="begin"/>
          </w:r>
          <w:r w:rsidR="007C5B8A">
            <w:instrText xml:space="preserve"> PAGEREF _Toc535999632 \h </w:instrText>
          </w:r>
          <w:r w:rsidR="007C5B8A">
            <w:fldChar w:fldCharType="separate"/>
          </w:r>
          <w:r w:rsidR="007C5B8A">
            <w:t>3</w:t>
          </w:r>
          <w:r w:rsidR="007C5B8A">
            <w:fldChar w:fldCharType="end"/>
          </w:r>
        </w:p>
        <w:p w14:paraId="7E7571AC" w14:textId="1CA6B4CB" w:rsidR="007C5B8A" w:rsidRDefault="007C5B8A">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Acronyms</w:t>
          </w:r>
          <w:r>
            <w:tab/>
          </w:r>
          <w:r>
            <w:fldChar w:fldCharType="begin"/>
          </w:r>
          <w:r>
            <w:instrText xml:space="preserve"> PAGEREF _Toc535999633 \h </w:instrText>
          </w:r>
          <w:r>
            <w:fldChar w:fldCharType="separate"/>
          </w:r>
          <w:r>
            <w:t>3</w:t>
          </w:r>
          <w:r>
            <w:fldChar w:fldCharType="end"/>
          </w:r>
        </w:p>
        <w:p w14:paraId="7A96C42C" w14:textId="57AEAABE" w:rsidR="007C5B8A" w:rsidRDefault="007C5B8A">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Reference Documents</w:t>
          </w:r>
          <w:r>
            <w:tab/>
          </w:r>
          <w:r>
            <w:fldChar w:fldCharType="begin"/>
          </w:r>
          <w:r>
            <w:instrText xml:space="preserve"> PAGEREF _Toc535999634 \h </w:instrText>
          </w:r>
          <w:r>
            <w:fldChar w:fldCharType="separate"/>
          </w:r>
          <w:r>
            <w:t>4</w:t>
          </w:r>
          <w:r>
            <w:fldChar w:fldCharType="end"/>
          </w:r>
        </w:p>
        <w:p w14:paraId="04F0D362" w14:textId="27C737E8" w:rsidR="007C5B8A" w:rsidRDefault="007C5B8A">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VE for Conventional Facilities</w:t>
          </w:r>
          <w:r>
            <w:tab/>
          </w:r>
          <w:r>
            <w:fldChar w:fldCharType="begin"/>
          </w:r>
          <w:r>
            <w:instrText xml:space="preserve"> PAGEREF _Toc535999635 \h </w:instrText>
          </w:r>
          <w:r>
            <w:fldChar w:fldCharType="separate"/>
          </w:r>
          <w:r>
            <w:t>4</w:t>
          </w:r>
          <w:r>
            <w:fldChar w:fldCharType="end"/>
          </w:r>
        </w:p>
        <w:p w14:paraId="25EA12C5" w14:textId="09E7D6A9" w:rsidR="007C5B8A" w:rsidRDefault="007C5B8A">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VE Workshops for Technical Systems</w:t>
          </w:r>
          <w:r>
            <w:tab/>
          </w:r>
          <w:r>
            <w:fldChar w:fldCharType="begin"/>
          </w:r>
          <w:r>
            <w:instrText xml:space="preserve"> PAGEREF _Toc535999636 \h </w:instrText>
          </w:r>
          <w:r>
            <w:fldChar w:fldCharType="separate"/>
          </w:r>
          <w:r>
            <w:t>5</w:t>
          </w:r>
          <w:r>
            <w:fldChar w:fldCharType="end"/>
          </w:r>
        </w:p>
        <w:p w14:paraId="1FDEE3F0" w14:textId="2E82E130" w:rsidR="007C5B8A" w:rsidRDefault="007C5B8A">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VE during Basis of Estimate Reviews</w:t>
          </w:r>
          <w:r>
            <w:tab/>
          </w:r>
          <w:r>
            <w:fldChar w:fldCharType="begin"/>
          </w:r>
          <w:r>
            <w:instrText xml:space="preserve"> PAGEREF _Toc535999637 \h </w:instrText>
          </w:r>
          <w:r>
            <w:fldChar w:fldCharType="separate"/>
          </w:r>
          <w:r>
            <w:t>6</w:t>
          </w:r>
          <w:r>
            <w:fldChar w:fldCharType="end"/>
          </w:r>
        </w:p>
        <w:p w14:paraId="44DB35E5" w14:textId="5D06E9BD" w:rsidR="007C5B8A" w:rsidRDefault="007C5B8A">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VE during Technical Design Reviews</w:t>
          </w:r>
          <w:r>
            <w:tab/>
          </w:r>
          <w:r>
            <w:fldChar w:fldCharType="begin"/>
          </w:r>
          <w:r>
            <w:instrText xml:space="preserve"> PAGEREF _Toc535999638 \h </w:instrText>
          </w:r>
          <w:r>
            <w:fldChar w:fldCharType="separate"/>
          </w:r>
          <w:r>
            <w:t>7</w:t>
          </w:r>
          <w:r>
            <w:fldChar w:fldCharType="end"/>
          </w:r>
        </w:p>
        <w:p w14:paraId="28AF6583" w14:textId="19D7914B" w:rsidR="007C5B8A" w:rsidRDefault="007C5B8A">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Logging, Tracking, Evaluating, and Implementing VE Opportunities</w:t>
          </w:r>
          <w:r>
            <w:tab/>
          </w:r>
          <w:r>
            <w:fldChar w:fldCharType="begin"/>
          </w:r>
          <w:r>
            <w:instrText xml:space="preserve"> PAGEREF _Toc535999639 \h </w:instrText>
          </w:r>
          <w:r>
            <w:fldChar w:fldCharType="separate"/>
          </w:r>
          <w:r>
            <w:t>7</w:t>
          </w:r>
          <w:r>
            <w:fldChar w:fldCharType="end"/>
          </w:r>
        </w:p>
        <w:p w14:paraId="6BD62BD4" w14:textId="78666DB1" w:rsidR="007C5B8A" w:rsidRDefault="007C5B8A">
          <w:pPr>
            <w:pStyle w:val="TOC2"/>
            <w:rPr>
              <w:rFonts w:asciiTheme="minorHAnsi" w:eastAsiaTheme="minorEastAsia" w:hAnsiTheme="minorHAnsi" w:cstheme="minorBidi"/>
              <w:szCs w:val="22"/>
            </w:rPr>
          </w:pPr>
          <w:r>
            <w:t>8.1.</w:t>
          </w:r>
          <w:r>
            <w:rPr>
              <w:rFonts w:asciiTheme="minorHAnsi" w:eastAsiaTheme="minorEastAsia" w:hAnsiTheme="minorHAnsi" w:cstheme="minorBidi"/>
              <w:szCs w:val="22"/>
            </w:rPr>
            <w:tab/>
          </w:r>
          <w:r>
            <w:t>Logging and Tracking VE Opportunities</w:t>
          </w:r>
          <w:r>
            <w:tab/>
          </w:r>
          <w:r>
            <w:fldChar w:fldCharType="begin"/>
          </w:r>
          <w:r>
            <w:instrText xml:space="preserve"> PAGEREF _Toc535999640 \h </w:instrText>
          </w:r>
          <w:r>
            <w:fldChar w:fldCharType="separate"/>
          </w:r>
          <w:r>
            <w:t>7</w:t>
          </w:r>
          <w:r>
            <w:fldChar w:fldCharType="end"/>
          </w:r>
        </w:p>
        <w:p w14:paraId="125C4AAC" w14:textId="56869C59" w:rsidR="007C5B8A" w:rsidRDefault="007C5B8A">
          <w:pPr>
            <w:pStyle w:val="TOC2"/>
            <w:rPr>
              <w:rFonts w:asciiTheme="minorHAnsi" w:eastAsiaTheme="minorEastAsia" w:hAnsiTheme="minorHAnsi" w:cstheme="minorBidi"/>
              <w:szCs w:val="22"/>
            </w:rPr>
          </w:pPr>
          <w:r>
            <w:t>8.2.</w:t>
          </w:r>
          <w:r>
            <w:rPr>
              <w:rFonts w:asciiTheme="minorHAnsi" w:eastAsiaTheme="minorEastAsia" w:hAnsiTheme="minorHAnsi" w:cstheme="minorBidi"/>
              <w:szCs w:val="22"/>
            </w:rPr>
            <w:tab/>
          </w:r>
          <w:r>
            <w:t>Evaluating VE Opportunities</w:t>
          </w:r>
          <w:r>
            <w:tab/>
          </w:r>
          <w:r>
            <w:fldChar w:fldCharType="begin"/>
          </w:r>
          <w:r>
            <w:instrText xml:space="preserve"> PAGEREF _Toc535999641 \h </w:instrText>
          </w:r>
          <w:r>
            <w:fldChar w:fldCharType="separate"/>
          </w:r>
          <w:r>
            <w:t>8</w:t>
          </w:r>
          <w:r>
            <w:fldChar w:fldCharType="end"/>
          </w:r>
        </w:p>
        <w:p w14:paraId="79A95643" w14:textId="33C05966" w:rsidR="007C5B8A" w:rsidRDefault="007C5B8A">
          <w:pPr>
            <w:pStyle w:val="TOC2"/>
            <w:rPr>
              <w:rFonts w:asciiTheme="minorHAnsi" w:eastAsiaTheme="minorEastAsia" w:hAnsiTheme="minorHAnsi" w:cstheme="minorBidi"/>
              <w:szCs w:val="22"/>
            </w:rPr>
          </w:pPr>
          <w:r>
            <w:t>8.3.</w:t>
          </w:r>
          <w:r>
            <w:rPr>
              <w:rFonts w:asciiTheme="minorHAnsi" w:eastAsiaTheme="minorEastAsia" w:hAnsiTheme="minorHAnsi" w:cstheme="minorBidi"/>
              <w:szCs w:val="22"/>
            </w:rPr>
            <w:tab/>
          </w:r>
          <w:r>
            <w:t>Opportunity Implementation</w:t>
          </w:r>
          <w:r>
            <w:tab/>
          </w:r>
          <w:r>
            <w:fldChar w:fldCharType="begin"/>
          </w:r>
          <w:r>
            <w:instrText xml:space="preserve"> PAGEREF _Toc535999642 \h </w:instrText>
          </w:r>
          <w:r>
            <w:fldChar w:fldCharType="separate"/>
          </w:r>
          <w:r>
            <w:t>9</w:t>
          </w:r>
          <w:r>
            <w:fldChar w:fldCharType="end"/>
          </w:r>
        </w:p>
        <w:p w14:paraId="705F47DD" w14:textId="46DA4D8C" w:rsidR="007C5B8A" w:rsidRDefault="007C5B8A">
          <w:pPr>
            <w:pStyle w:val="TOC1"/>
            <w:rPr>
              <w:rFonts w:asciiTheme="minorHAnsi" w:eastAsiaTheme="minorEastAsia" w:hAnsiTheme="minorHAnsi" w:cstheme="minorBidi"/>
              <w:szCs w:val="22"/>
            </w:rPr>
          </w:pPr>
          <w:r w:rsidRPr="00A31730">
            <w:rPr>
              <w:rFonts w:cs="Helvetica"/>
            </w:rPr>
            <w:t>9.</w:t>
          </w:r>
          <w:r>
            <w:rPr>
              <w:rFonts w:asciiTheme="minorHAnsi" w:eastAsiaTheme="minorEastAsia" w:hAnsiTheme="minorHAnsi" w:cstheme="minorBidi"/>
              <w:szCs w:val="22"/>
            </w:rPr>
            <w:tab/>
          </w:r>
          <w:r w:rsidRPr="00A31730">
            <w:rPr>
              <w:rFonts w:cs="Helvetica"/>
            </w:rPr>
            <w:t>Records</w:t>
          </w:r>
          <w:r>
            <w:tab/>
          </w:r>
          <w:r>
            <w:fldChar w:fldCharType="begin"/>
          </w:r>
          <w:r>
            <w:instrText xml:space="preserve"> PAGEREF _Toc535999643 \h </w:instrText>
          </w:r>
          <w:r>
            <w:fldChar w:fldCharType="separate"/>
          </w:r>
          <w:r>
            <w:t>9</w:t>
          </w:r>
          <w:r>
            <w:fldChar w:fldCharType="end"/>
          </w:r>
        </w:p>
        <w:p w14:paraId="1254EF7C" w14:textId="2F78502F" w:rsidR="007C5B8A" w:rsidRDefault="007C5B8A">
          <w:pPr>
            <w:pStyle w:val="TOC2"/>
            <w:rPr>
              <w:rFonts w:asciiTheme="minorHAnsi" w:eastAsiaTheme="minorEastAsia" w:hAnsiTheme="minorHAnsi" w:cstheme="minorBidi"/>
              <w:szCs w:val="22"/>
            </w:rPr>
          </w:pPr>
          <w:r>
            <w:t>9.1.</w:t>
          </w:r>
          <w:r>
            <w:rPr>
              <w:rFonts w:asciiTheme="minorHAnsi" w:eastAsiaTheme="minorEastAsia" w:hAnsiTheme="minorHAnsi" w:cstheme="minorBidi"/>
              <w:szCs w:val="22"/>
            </w:rPr>
            <w:tab/>
          </w:r>
          <w:r>
            <w:t>Record Retention Schedule</w:t>
          </w:r>
          <w:r>
            <w:tab/>
          </w:r>
          <w:r>
            <w:fldChar w:fldCharType="begin"/>
          </w:r>
          <w:r>
            <w:instrText xml:space="preserve"> PAGEREF _Toc535999644 \h </w:instrText>
          </w:r>
          <w:r>
            <w:fldChar w:fldCharType="separate"/>
          </w:r>
          <w:r>
            <w:t>10</w:t>
          </w:r>
          <w:r>
            <w:fldChar w:fldCharType="end"/>
          </w:r>
        </w:p>
        <w:p w14:paraId="6B3E19E4" w14:textId="2A9264E1" w:rsidR="00B83FBE" w:rsidRDefault="00F228D7" w:rsidP="00B83FBE">
          <w:pPr>
            <w:rPr>
              <w:b/>
              <w:bCs/>
              <w:noProof/>
            </w:rPr>
          </w:pPr>
          <w:r>
            <w:rPr>
              <w:rFonts w:ascii="Helvetica" w:hAnsi="Helvetica"/>
              <w:sz w:val="22"/>
            </w:rPr>
            <w:fldChar w:fldCharType="end"/>
          </w:r>
        </w:p>
      </w:sdtContent>
    </w:sdt>
    <w:p w14:paraId="4026721C" w14:textId="27D681CB" w:rsidR="00193770" w:rsidRPr="009B2C8A" w:rsidRDefault="3FBF57C1" w:rsidP="00C13503">
      <w:pPr>
        <w:pStyle w:val="Heading1"/>
      </w:pPr>
      <w:bookmarkStart w:id="1" w:name="_Toc535999632"/>
      <w:r>
        <w:t>Introduction</w:t>
      </w:r>
      <w:bookmarkEnd w:id="1"/>
    </w:p>
    <w:p w14:paraId="05DECF4F" w14:textId="6632403B" w:rsidR="00EA5ED0" w:rsidRDefault="00044930" w:rsidP="003925FA">
      <w:pPr>
        <w:pStyle w:val="NotesBody11pt"/>
        <w:spacing w:line="240" w:lineRule="auto"/>
        <w:ind w:left="360"/>
      </w:pPr>
      <w:r>
        <w:t xml:space="preserve">The DOE order 413.3B requires the PIP-II Project to engage in documented Value Engineering (VE) activities to ensure the </w:t>
      </w:r>
      <w:r w:rsidR="00AB76B8">
        <w:t>P</w:t>
      </w:r>
      <w:r>
        <w:t xml:space="preserve">roject delivers the maximum performance for the </w:t>
      </w:r>
      <w:r w:rsidR="00121C7F">
        <w:t>lowest</w:t>
      </w:r>
      <w:r>
        <w:t xml:space="preserve"> cost [1].  </w:t>
      </w:r>
      <w:r w:rsidR="00EC4E9C">
        <w:t xml:space="preserve">Value </w:t>
      </w:r>
      <w:r w:rsidR="00316B20">
        <w:t xml:space="preserve">is the relationship between performance and cost and is </w:t>
      </w:r>
      <w:r w:rsidR="00FB607D">
        <w:t xml:space="preserve">expressed by the following equation:  Value = Performance/Cost.  </w:t>
      </w:r>
      <w:r w:rsidR="003A10B2">
        <w:t xml:space="preserve">For a system </w:t>
      </w:r>
      <w:r w:rsidR="00517F94">
        <w:t xml:space="preserve">undergoing a VE study, </w:t>
      </w:r>
      <w:r w:rsidR="00A4213D">
        <w:t>the performance and cost</w:t>
      </w:r>
      <w:r w:rsidR="00517F94">
        <w:t xml:space="preserve"> elements of the equation are considered.</w:t>
      </w:r>
      <w:r w:rsidR="002545E3">
        <w:t xml:space="preserve">  </w:t>
      </w:r>
      <w:r w:rsidR="00A4213D">
        <w:t>The b</w:t>
      </w:r>
      <w:r w:rsidR="002545E3">
        <w:t xml:space="preserve">oundary conditions for </w:t>
      </w:r>
      <w:r w:rsidR="00A91BB1">
        <w:t>proposed VE opportunities are limited by the functional requirements</w:t>
      </w:r>
      <w:r w:rsidR="005011CE">
        <w:t xml:space="preserve"> (performance) and the allowable cost</w:t>
      </w:r>
      <w:r w:rsidR="00B97584">
        <w:t xml:space="preserve"> </w:t>
      </w:r>
      <w:r w:rsidR="00C62B8B">
        <w:t>of the system under study.</w:t>
      </w:r>
      <w:r w:rsidR="00C3723E">
        <w:t xml:space="preserve">  </w:t>
      </w:r>
      <w:r w:rsidR="00C63D4F">
        <w:t xml:space="preserve">Typically, VE opportunities </w:t>
      </w:r>
      <w:r w:rsidR="001F0700">
        <w:t>are</w:t>
      </w:r>
      <w:r w:rsidR="00C63D4F">
        <w:t xml:space="preserve"> </w:t>
      </w:r>
      <w:r w:rsidR="00D41330">
        <w:t>sought</w:t>
      </w:r>
      <w:r w:rsidR="00121C7F">
        <w:t xml:space="preserve"> to</w:t>
      </w:r>
      <w:r w:rsidR="00D41330">
        <w:t xml:space="preserve"> lower the cost </w:t>
      </w:r>
      <w:r w:rsidR="00CC4E8A">
        <w:t>of a system</w:t>
      </w:r>
      <w:r w:rsidR="00CF3A5F">
        <w:t xml:space="preserve"> with</w:t>
      </w:r>
      <w:r w:rsidR="00DD5CE7">
        <w:t>out lowering the performance below requirements</w:t>
      </w:r>
      <w:r w:rsidR="00D41330">
        <w:t>.</w:t>
      </w:r>
      <w:r w:rsidR="00231FEA">
        <w:t xml:space="preserve">  </w:t>
      </w:r>
      <w:r w:rsidR="009206F1">
        <w:t xml:space="preserve">These opportunities are usually </w:t>
      </w:r>
      <w:r w:rsidR="00BC7EDC">
        <w:t xml:space="preserve">less costly </w:t>
      </w:r>
      <w:r w:rsidR="00304032">
        <w:t>methods of</w:t>
      </w:r>
      <w:r w:rsidR="00BC7EDC">
        <w:t xml:space="preserve"> production, design, or operation that achieve the same </w:t>
      </w:r>
      <w:r w:rsidR="00304032">
        <w:t>functional requirements as the</w:t>
      </w:r>
      <w:r w:rsidR="0066322E">
        <w:t xml:space="preserve"> originally</w:t>
      </w:r>
      <w:r w:rsidR="00304032">
        <w:t xml:space="preserve"> proposed solution.  </w:t>
      </w:r>
      <w:r w:rsidR="00231FEA">
        <w:t xml:space="preserve">In some cases, value can </w:t>
      </w:r>
      <w:r w:rsidR="0066322E">
        <w:t xml:space="preserve">also </w:t>
      </w:r>
      <w:r w:rsidR="00231FEA">
        <w:t xml:space="preserve">be increased </w:t>
      </w:r>
      <w:r w:rsidR="00A3617D">
        <w:t xml:space="preserve">by a large increase in performance with a modest increase in cost.  </w:t>
      </w:r>
      <w:r w:rsidR="00BF5AF0">
        <w:t xml:space="preserve">This type of opportunity is often </w:t>
      </w:r>
      <w:r w:rsidR="00407167">
        <w:t>a by-product</w:t>
      </w:r>
      <w:r w:rsidR="00BF5AF0">
        <w:t xml:space="preserve"> </w:t>
      </w:r>
      <w:r w:rsidR="006F3391">
        <w:t xml:space="preserve">of </w:t>
      </w:r>
      <w:r w:rsidR="00BF5AF0">
        <w:t>research and development</w:t>
      </w:r>
      <w:r w:rsidR="00407167">
        <w:t xml:space="preserve"> activities in advance of final production design.</w:t>
      </w:r>
    </w:p>
    <w:p w14:paraId="2123B135" w14:textId="77777777" w:rsidR="00EA5ED0" w:rsidRDefault="00EA5ED0" w:rsidP="003925FA">
      <w:pPr>
        <w:pStyle w:val="NotesBody11pt"/>
        <w:spacing w:line="240" w:lineRule="auto"/>
        <w:ind w:left="360"/>
      </w:pPr>
    </w:p>
    <w:p w14:paraId="36DC306E" w14:textId="251E2DF9" w:rsidR="00152972" w:rsidRDefault="00880968" w:rsidP="003925FA">
      <w:pPr>
        <w:pStyle w:val="NotesBody11pt"/>
        <w:spacing w:line="240" w:lineRule="auto"/>
        <w:ind w:left="360"/>
      </w:pPr>
      <w:r>
        <w:t>The</w:t>
      </w:r>
      <w:r w:rsidR="00044930">
        <w:t xml:space="preserve"> PIP-II Project will employ four methods to </w:t>
      </w:r>
      <w:r w:rsidR="00643A90">
        <w:t>identify</w:t>
      </w:r>
      <w:r w:rsidR="00044930">
        <w:t xml:space="preserve"> VE opportunities across </w:t>
      </w:r>
      <w:r w:rsidR="006F3391">
        <w:t xml:space="preserve">the </w:t>
      </w:r>
      <w:r w:rsidR="00044930">
        <w:t xml:space="preserve">Project.  </w:t>
      </w:r>
      <w:r w:rsidR="00EE61B8">
        <w:t xml:space="preserve">The four methods include </w:t>
      </w:r>
      <w:r w:rsidR="00733AEC">
        <w:t>using</w:t>
      </w:r>
      <w:r w:rsidR="00643A90">
        <w:t xml:space="preserve"> the</w:t>
      </w:r>
      <w:r w:rsidR="00660239">
        <w:t xml:space="preserve"> </w:t>
      </w:r>
      <w:r w:rsidR="00EE61B8">
        <w:t>F</w:t>
      </w:r>
      <w:r w:rsidR="00660239">
        <w:t>ESS</w:t>
      </w:r>
      <w:r w:rsidR="00EE61B8">
        <w:t xml:space="preserve"> VE pro</w:t>
      </w:r>
      <w:r w:rsidR="003925FA">
        <w:t>cess</w:t>
      </w:r>
      <w:r w:rsidR="00EE61B8">
        <w:t xml:space="preserve"> for </w:t>
      </w:r>
      <w:r w:rsidR="00455140">
        <w:t>Conventional Facilities</w:t>
      </w:r>
      <w:r w:rsidR="00EE61B8">
        <w:t xml:space="preserve"> (CF), </w:t>
      </w:r>
      <w:r w:rsidR="00455140">
        <w:t>identifying</w:t>
      </w:r>
      <w:r w:rsidR="003925FA">
        <w:t xml:space="preserve"> </w:t>
      </w:r>
      <w:r w:rsidR="00EE61B8">
        <w:t xml:space="preserve">VE </w:t>
      </w:r>
      <w:r w:rsidR="003925FA">
        <w:t xml:space="preserve">opportunities </w:t>
      </w:r>
      <w:r w:rsidR="002778E8">
        <w:t>during</w:t>
      </w:r>
      <w:r w:rsidR="003925FA">
        <w:t xml:space="preserve"> </w:t>
      </w:r>
      <w:r w:rsidR="00EE61B8">
        <w:t>WBS Level 2 (L2) Systems</w:t>
      </w:r>
      <w:r w:rsidR="003925FA">
        <w:t xml:space="preserve"> workshops</w:t>
      </w:r>
      <w:r w:rsidR="00EE61B8">
        <w:t xml:space="preserve">, </w:t>
      </w:r>
      <w:r w:rsidR="00660239">
        <w:t xml:space="preserve">during </w:t>
      </w:r>
      <w:r w:rsidR="00EE61B8">
        <w:t xml:space="preserve">Basis of Estimate (BOE) </w:t>
      </w:r>
      <w:r w:rsidR="003925FA">
        <w:t>reviews</w:t>
      </w:r>
      <w:r w:rsidR="005A09AB">
        <w:t>,</w:t>
      </w:r>
      <w:r w:rsidR="003925FA">
        <w:t xml:space="preserve"> </w:t>
      </w:r>
      <w:r w:rsidR="00EE61B8">
        <w:t xml:space="preserve">and </w:t>
      </w:r>
      <w:r w:rsidR="00660239">
        <w:t xml:space="preserve">during </w:t>
      </w:r>
      <w:r w:rsidR="00EE61B8">
        <w:t>technical</w:t>
      </w:r>
      <w:r w:rsidR="003925FA">
        <w:t xml:space="preserve"> design</w:t>
      </w:r>
      <w:r w:rsidR="00EE61B8">
        <w:t xml:space="preserve"> reviews. </w:t>
      </w:r>
      <w:r w:rsidR="00044930">
        <w:t xml:space="preserve">This </w:t>
      </w:r>
      <w:r w:rsidR="00044930" w:rsidRPr="00044930">
        <w:rPr>
          <w:i/>
        </w:rPr>
        <w:t>PIP-II Value Engineering Plan</w:t>
      </w:r>
      <w:r w:rsidR="00044930">
        <w:t xml:space="preserve"> describes the four VE </w:t>
      </w:r>
      <w:r w:rsidR="00EE61B8">
        <w:lastRenderedPageBreak/>
        <w:t>methods</w:t>
      </w:r>
      <w:r w:rsidR="003925FA">
        <w:t xml:space="preserve"> </w:t>
      </w:r>
      <w:r w:rsidR="00455140">
        <w:t xml:space="preserve">used </w:t>
      </w:r>
      <w:r w:rsidR="003925FA">
        <w:t xml:space="preserve">to identify VE opportunities and </w:t>
      </w:r>
      <w:r w:rsidR="00044930">
        <w:t xml:space="preserve">how </w:t>
      </w:r>
      <w:r w:rsidR="003925FA">
        <w:t>they</w:t>
      </w:r>
      <w:r w:rsidR="00044930">
        <w:t xml:space="preserve"> will be tracked</w:t>
      </w:r>
      <w:r w:rsidR="00EE61B8">
        <w:t xml:space="preserve">, evaluated, and incorporated into </w:t>
      </w:r>
      <w:r w:rsidR="00455140">
        <w:t>project planning</w:t>
      </w:r>
      <w:r w:rsidR="00EE61B8">
        <w:t>.</w:t>
      </w:r>
    </w:p>
    <w:p w14:paraId="3CAB399A" w14:textId="411947B2" w:rsidR="00152972" w:rsidRDefault="3FBF57C1" w:rsidP="00152972">
      <w:pPr>
        <w:pStyle w:val="Heading1"/>
      </w:pPr>
      <w:bookmarkStart w:id="2" w:name="_Toc535999633"/>
      <w:r>
        <w:t>Acronyms</w:t>
      </w:r>
      <w:bookmarkEnd w:id="2"/>
    </w:p>
    <w:tbl>
      <w:tblPr>
        <w:tblStyle w:val="TableGrid1"/>
        <w:tblW w:w="9245" w:type="dxa"/>
        <w:tblInd w:w="740" w:type="dxa"/>
        <w:tblLook w:val="04A0" w:firstRow="1" w:lastRow="0" w:firstColumn="1" w:lastColumn="0" w:noHBand="0" w:noVBand="1"/>
      </w:tblPr>
      <w:tblGrid>
        <w:gridCol w:w="2675"/>
        <w:gridCol w:w="6570"/>
      </w:tblGrid>
      <w:tr w:rsidR="00637CF4" w:rsidRPr="006E26F3" w14:paraId="2A77F783" w14:textId="77777777" w:rsidTr="0097663D">
        <w:tc>
          <w:tcPr>
            <w:tcW w:w="2675" w:type="dxa"/>
            <w:vAlign w:val="center"/>
          </w:tcPr>
          <w:p w14:paraId="3E8AFA04" w14:textId="7F6A7CA2" w:rsidR="00637CF4" w:rsidRPr="0097663D" w:rsidRDefault="00637CF4" w:rsidP="00EE61B8">
            <w:pPr>
              <w:widowControl w:val="0"/>
              <w:tabs>
                <w:tab w:val="clear" w:pos="1714"/>
              </w:tabs>
              <w:autoSpaceDE w:val="0"/>
              <w:autoSpaceDN w:val="0"/>
              <w:spacing w:before="117" w:line="240" w:lineRule="auto"/>
              <w:jc w:val="both"/>
              <w:rPr>
                <w:rFonts w:ascii="Helvetica" w:eastAsia="Arial" w:hAnsi="Helvetica" w:cs="Helvetica"/>
                <w:sz w:val="22"/>
                <w:szCs w:val="22"/>
                <w:lang w:bidi="en-US"/>
              </w:rPr>
            </w:pPr>
            <w:r>
              <w:rPr>
                <w:rFonts w:ascii="Helvetica" w:eastAsia="Arial" w:hAnsi="Helvetica" w:cs="Helvetica"/>
                <w:sz w:val="22"/>
                <w:szCs w:val="22"/>
                <w:lang w:bidi="en-US"/>
              </w:rPr>
              <w:t>ASTM</w:t>
            </w:r>
          </w:p>
        </w:tc>
        <w:tc>
          <w:tcPr>
            <w:tcW w:w="6570" w:type="dxa"/>
            <w:vAlign w:val="center"/>
          </w:tcPr>
          <w:p w14:paraId="74A64A29" w14:textId="2C87E9B8" w:rsidR="00637CF4" w:rsidRPr="0097663D" w:rsidRDefault="006555E7" w:rsidP="00EE61B8">
            <w:pPr>
              <w:widowControl w:val="0"/>
              <w:tabs>
                <w:tab w:val="clear" w:pos="1714"/>
              </w:tabs>
              <w:autoSpaceDE w:val="0"/>
              <w:autoSpaceDN w:val="0"/>
              <w:spacing w:before="117" w:line="240" w:lineRule="auto"/>
              <w:ind w:firstLine="71"/>
              <w:jc w:val="both"/>
              <w:rPr>
                <w:rFonts w:ascii="Helvetica" w:eastAsia="Arial" w:hAnsi="Helvetica" w:cs="Helvetica"/>
                <w:sz w:val="22"/>
                <w:szCs w:val="22"/>
                <w:lang w:bidi="en-US"/>
              </w:rPr>
            </w:pPr>
            <w:r>
              <w:rPr>
                <w:rFonts w:ascii="Helvetica" w:eastAsia="Arial" w:hAnsi="Helvetica" w:cs="Helvetica"/>
                <w:sz w:val="22"/>
                <w:szCs w:val="22"/>
                <w:lang w:bidi="en-US"/>
              </w:rPr>
              <w:t>American Society for Testing and Materials</w:t>
            </w:r>
          </w:p>
        </w:tc>
      </w:tr>
      <w:tr w:rsidR="00EE61B8" w:rsidRPr="006E26F3" w14:paraId="7383D0D6" w14:textId="77777777" w:rsidTr="0097663D">
        <w:tc>
          <w:tcPr>
            <w:tcW w:w="2675" w:type="dxa"/>
            <w:vAlign w:val="center"/>
          </w:tcPr>
          <w:p w14:paraId="0778D58C" w14:textId="0DA70A53" w:rsidR="00EE61B8" w:rsidRPr="0097663D" w:rsidRDefault="00EE61B8" w:rsidP="00EE61B8">
            <w:pPr>
              <w:widowControl w:val="0"/>
              <w:tabs>
                <w:tab w:val="clear" w:pos="1714"/>
              </w:tabs>
              <w:autoSpaceDE w:val="0"/>
              <w:autoSpaceDN w:val="0"/>
              <w:spacing w:before="117" w:line="240" w:lineRule="auto"/>
              <w:jc w:val="both"/>
              <w:rPr>
                <w:rFonts w:ascii="Helvetica" w:eastAsia="Arial" w:hAnsi="Helvetica" w:cs="Helvetica"/>
                <w:sz w:val="22"/>
                <w:szCs w:val="22"/>
                <w:lang w:bidi="en-US"/>
              </w:rPr>
            </w:pPr>
            <w:r w:rsidRPr="0097663D">
              <w:rPr>
                <w:rFonts w:ascii="Helvetica" w:eastAsia="Arial" w:hAnsi="Helvetica" w:cs="Helvetica"/>
                <w:sz w:val="22"/>
                <w:szCs w:val="22"/>
                <w:lang w:bidi="en-US"/>
              </w:rPr>
              <w:t>BOE</w:t>
            </w:r>
          </w:p>
        </w:tc>
        <w:tc>
          <w:tcPr>
            <w:tcW w:w="6570" w:type="dxa"/>
            <w:vAlign w:val="center"/>
          </w:tcPr>
          <w:p w14:paraId="41A50A2A" w14:textId="5C43D942" w:rsidR="00EE61B8" w:rsidRPr="0097663D" w:rsidRDefault="00EE61B8" w:rsidP="00EE61B8">
            <w:pPr>
              <w:widowControl w:val="0"/>
              <w:tabs>
                <w:tab w:val="clear" w:pos="1714"/>
              </w:tabs>
              <w:autoSpaceDE w:val="0"/>
              <w:autoSpaceDN w:val="0"/>
              <w:spacing w:before="117" w:line="240" w:lineRule="auto"/>
              <w:ind w:firstLine="71"/>
              <w:jc w:val="both"/>
              <w:rPr>
                <w:rFonts w:ascii="Helvetica" w:eastAsia="Arial" w:hAnsi="Helvetica" w:cs="Helvetica"/>
                <w:sz w:val="22"/>
                <w:szCs w:val="22"/>
                <w:lang w:bidi="en-US"/>
              </w:rPr>
            </w:pPr>
            <w:r w:rsidRPr="0097663D">
              <w:rPr>
                <w:rFonts w:ascii="Helvetica" w:eastAsia="Arial" w:hAnsi="Helvetica" w:cs="Helvetica"/>
                <w:sz w:val="22"/>
                <w:szCs w:val="22"/>
                <w:lang w:bidi="en-US"/>
              </w:rPr>
              <w:t>Basis of Estimate</w:t>
            </w:r>
          </w:p>
        </w:tc>
      </w:tr>
      <w:tr w:rsidR="000F0A42" w:rsidRPr="006E26F3" w14:paraId="6FB4A374" w14:textId="77777777" w:rsidTr="0097663D">
        <w:tc>
          <w:tcPr>
            <w:tcW w:w="2675" w:type="dxa"/>
            <w:vAlign w:val="center"/>
          </w:tcPr>
          <w:p w14:paraId="6E5F18D6" w14:textId="6DDA6631" w:rsidR="000F0A42" w:rsidRPr="0097663D" w:rsidRDefault="000F0A42" w:rsidP="00EE61B8">
            <w:pPr>
              <w:widowControl w:val="0"/>
              <w:tabs>
                <w:tab w:val="clear" w:pos="1714"/>
              </w:tabs>
              <w:autoSpaceDE w:val="0"/>
              <w:autoSpaceDN w:val="0"/>
              <w:spacing w:before="117" w:line="240" w:lineRule="auto"/>
              <w:jc w:val="both"/>
              <w:rPr>
                <w:rFonts w:ascii="Helvetica" w:eastAsia="Arial" w:hAnsi="Helvetica" w:cs="Helvetica"/>
                <w:sz w:val="22"/>
                <w:szCs w:val="22"/>
                <w:lang w:bidi="en-US"/>
              </w:rPr>
            </w:pPr>
            <w:r>
              <w:rPr>
                <w:rFonts w:ascii="Helvetica" w:eastAsia="Arial" w:hAnsi="Helvetica" w:cs="Helvetica"/>
                <w:sz w:val="22"/>
                <w:szCs w:val="22"/>
                <w:lang w:bidi="en-US"/>
              </w:rPr>
              <w:t>CAM</w:t>
            </w:r>
          </w:p>
        </w:tc>
        <w:tc>
          <w:tcPr>
            <w:tcW w:w="6570" w:type="dxa"/>
            <w:vAlign w:val="center"/>
          </w:tcPr>
          <w:p w14:paraId="5148C4D9" w14:textId="0F6A4712" w:rsidR="000F0A42" w:rsidRPr="0097663D" w:rsidRDefault="000F0A42" w:rsidP="00EE61B8">
            <w:pPr>
              <w:widowControl w:val="0"/>
              <w:tabs>
                <w:tab w:val="clear" w:pos="1714"/>
              </w:tabs>
              <w:autoSpaceDE w:val="0"/>
              <w:autoSpaceDN w:val="0"/>
              <w:spacing w:before="117" w:line="240" w:lineRule="auto"/>
              <w:ind w:firstLine="71"/>
              <w:jc w:val="both"/>
              <w:rPr>
                <w:rFonts w:ascii="Helvetica" w:eastAsia="Arial" w:hAnsi="Helvetica" w:cs="Helvetica"/>
                <w:sz w:val="22"/>
                <w:szCs w:val="22"/>
                <w:lang w:bidi="en-US"/>
              </w:rPr>
            </w:pPr>
            <w:r>
              <w:rPr>
                <w:rFonts w:ascii="Helvetica" w:eastAsia="Arial" w:hAnsi="Helvetica" w:cs="Helvetica"/>
                <w:sz w:val="22"/>
                <w:szCs w:val="22"/>
                <w:lang w:bidi="en-US"/>
              </w:rPr>
              <w:t>Control Account Manager</w:t>
            </w:r>
          </w:p>
        </w:tc>
      </w:tr>
      <w:tr w:rsidR="002557BE" w:rsidRPr="006E26F3" w14:paraId="39686367" w14:textId="77777777" w:rsidTr="0097663D">
        <w:tc>
          <w:tcPr>
            <w:tcW w:w="2675" w:type="dxa"/>
            <w:vAlign w:val="center"/>
          </w:tcPr>
          <w:p w14:paraId="0504C96E" w14:textId="6BC75ED1" w:rsidR="002557BE" w:rsidRPr="0097663D" w:rsidRDefault="002557BE" w:rsidP="00EE61B8">
            <w:pPr>
              <w:widowControl w:val="0"/>
              <w:tabs>
                <w:tab w:val="clear" w:pos="1714"/>
              </w:tabs>
              <w:autoSpaceDE w:val="0"/>
              <w:autoSpaceDN w:val="0"/>
              <w:spacing w:before="117" w:line="240" w:lineRule="auto"/>
              <w:jc w:val="both"/>
              <w:rPr>
                <w:rFonts w:ascii="Helvetica" w:eastAsia="Arial" w:hAnsi="Helvetica" w:cs="Helvetica"/>
                <w:sz w:val="22"/>
                <w:szCs w:val="22"/>
                <w:lang w:bidi="en-US"/>
              </w:rPr>
            </w:pPr>
            <w:r>
              <w:rPr>
                <w:rFonts w:ascii="Helvetica" w:eastAsia="Arial" w:hAnsi="Helvetica" w:cs="Helvetica"/>
                <w:sz w:val="22"/>
                <w:szCs w:val="22"/>
                <w:lang w:bidi="en-US"/>
              </w:rPr>
              <w:t>CCB</w:t>
            </w:r>
          </w:p>
        </w:tc>
        <w:tc>
          <w:tcPr>
            <w:tcW w:w="6570" w:type="dxa"/>
            <w:vAlign w:val="center"/>
          </w:tcPr>
          <w:p w14:paraId="23B03184" w14:textId="076C761A" w:rsidR="002557BE" w:rsidRPr="0097663D" w:rsidRDefault="002557BE" w:rsidP="00EE61B8">
            <w:pPr>
              <w:widowControl w:val="0"/>
              <w:tabs>
                <w:tab w:val="clear" w:pos="1714"/>
              </w:tabs>
              <w:autoSpaceDE w:val="0"/>
              <w:autoSpaceDN w:val="0"/>
              <w:spacing w:before="117" w:line="240" w:lineRule="auto"/>
              <w:ind w:firstLine="71"/>
              <w:jc w:val="both"/>
              <w:rPr>
                <w:rFonts w:ascii="Helvetica" w:eastAsia="Arial" w:hAnsi="Helvetica" w:cs="Helvetica"/>
                <w:sz w:val="22"/>
                <w:szCs w:val="22"/>
                <w:lang w:bidi="en-US"/>
              </w:rPr>
            </w:pPr>
            <w:r>
              <w:rPr>
                <w:rFonts w:ascii="Helvetica" w:eastAsia="Arial" w:hAnsi="Helvetica" w:cs="Helvetica"/>
                <w:sz w:val="22"/>
                <w:szCs w:val="22"/>
                <w:lang w:bidi="en-US"/>
              </w:rPr>
              <w:t>Change Control Board</w:t>
            </w:r>
          </w:p>
        </w:tc>
      </w:tr>
      <w:tr w:rsidR="00EE61B8" w:rsidRPr="006E26F3" w14:paraId="7DA76172" w14:textId="77777777" w:rsidTr="0097663D">
        <w:tc>
          <w:tcPr>
            <w:tcW w:w="2675" w:type="dxa"/>
            <w:vAlign w:val="center"/>
          </w:tcPr>
          <w:p w14:paraId="22EF8AF2" w14:textId="543480AC" w:rsidR="00EE61B8" w:rsidRPr="0097663D" w:rsidRDefault="00EE61B8" w:rsidP="00EE61B8">
            <w:pPr>
              <w:widowControl w:val="0"/>
              <w:tabs>
                <w:tab w:val="clear" w:pos="1714"/>
              </w:tabs>
              <w:autoSpaceDE w:val="0"/>
              <w:autoSpaceDN w:val="0"/>
              <w:spacing w:before="117" w:line="240" w:lineRule="auto"/>
              <w:jc w:val="both"/>
              <w:rPr>
                <w:rFonts w:ascii="Helvetica" w:eastAsia="Arial" w:hAnsi="Helvetica" w:cs="Helvetica"/>
                <w:sz w:val="22"/>
                <w:szCs w:val="22"/>
                <w:lang w:bidi="en-US"/>
              </w:rPr>
            </w:pPr>
            <w:r w:rsidRPr="0097663D">
              <w:rPr>
                <w:rFonts w:ascii="Helvetica" w:eastAsia="Arial" w:hAnsi="Helvetica" w:cs="Helvetica"/>
                <w:sz w:val="22"/>
                <w:szCs w:val="22"/>
                <w:lang w:bidi="en-US"/>
              </w:rPr>
              <w:t>CF</w:t>
            </w:r>
          </w:p>
        </w:tc>
        <w:tc>
          <w:tcPr>
            <w:tcW w:w="6570" w:type="dxa"/>
            <w:vAlign w:val="center"/>
          </w:tcPr>
          <w:p w14:paraId="5AB21A4A" w14:textId="10A15112" w:rsidR="00EE61B8" w:rsidRPr="0097663D" w:rsidRDefault="00EE61B8" w:rsidP="00EE61B8">
            <w:pPr>
              <w:widowControl w:val="0"/>
              <w:tabs>
                <w:tab w:val="clear" w:pos="1714"/>
              </w:tabs>
              <w:autoSpaceDE w:val="0"/>
              <w:autoSpaceDN w:val="0"/>
              <w:spacing w:before="117" w:line="240" w:lineRule="auto"/>
              <w:ind w:firstLine="71"/>
              <w:jc w:val="both"/>
              <w:rPr>
                <w:rFonts w:ascii="Helvetica" w:eastAsia="Arial" w:hAnsi="Helvetica" w:cs="Helvetica"/>
                <w:sz w:val="22"/>
                <w:szCs w:val="22"/>
                <w:lang w:bidi="en-US"/>
              </w:rPr>
            </w:pPr>
            <w:r w:rsidRPr="0097663D">
              <w:rPr>
                <w:rFonts w:ascii="Helvetica" w:eastAsia="Arial" w:hAnsi="Helvetica" w:cs="Helvetica"/>
                <w:sz w:val="22"/>
                <w:szCs w:val="22"/>
                <w:lang w:bidi="en-US"/>
              </w:rPr>
              <w:t>Conventional Facilities</w:t>
            </w:r>
          </w:p>
        </w:tc>
      </w:tr>
      <w:tr w:rsidR="002557BE" w:rsidRPr="006E26F3" w14:paraId="0F0138B8" w14:textId="77777777" w:rsidTr="0097663D">
        <w:tc>
          <w:tcPr>
            <w:tcW w:w="2675" w:type="dxa"/>
            <w:vAlign w:val="center"/>
          </w:tcPr>
          <w:p w14:paraId="20A3CEC7" w14:textId="21139F6B" w:rsidR="002557BE" w:rsidRDefault="002557BE" w:rsidP="00EE61B8">
            <w:pPr>
              <w:widowControl w:val="0"/>
              <w:tabs>
                <w:tab w:val="clear" w:pos="1714"/>
              </w:tabs>
              <w:autoSpaceDE w:val="0"/>
              <w:autoSpaceDN w:val="0"/>
              <w:spacing w:before="117" w:line="240" w:lineRule="auto"/>
              <w:jc w:val="both"/>
              <w:rPr>
                <w:rFonts w:ascii="Helvetica" w:eastAsia="Arial" w:hAnsi="Helvetica" w:cs="Helvetica"/>
                <w:sz w:val="22"/>
                <w:szCs w:val="22"/>
                <w:lang w:bidi="en-US"/>
              </w:rPr>
            </w:pPr>
            <w:r>
              <w:rPr>
                <w:rFonts w:ascii="Helvetica" w:eastAsia="Arial" w:hAnsi="Helvetica" w:cs="Helvetica"/>
                <w:sz w:val="22"/>
                <w:szCs w:val="22"/>
                <w:lang w:bidi="en-US"/>
              </w:rPr>
              <w:t>CMP</w:t>
            </w:r>
          </w:p>
        </w:tc>
        <w:tc>
          <w:tcPr>
            <w:tcW w:w="6570" w:type="dxa"/>
            <w:vAlign w:val="center"/>
          </w:tcPr>
          <w:p w14:paraId="47407625" w14:textId="7FD36ED5" w:rsidR="002557BE" w:rsidRDefault="002557BE" w:rsidP="00EE61B8">
            <w:pPr>
              <w:widowControl w:val="0"/>
              <w:tabs>
                <w:tab w:val="clear" w:pos="1714"/>
              </w:tabs>
              <w:autoSpaceDE w:val="0"/>
              <w:autoSpaceDN w:val="0"/>
              <w:spacing w:before="117" w:line="240" w:lineRule="auto"/>
              <w:ind w:firstLine="71"/>
              <w:jc w:val="both"/>
              <w:rPr>
                <w:rFonts w:ascii="Helvetica" w:eastAsia="Arial" w:hAnsi="Helvetica" w:cs="Helvetica"/>
                <w:sz w:val="22"/>
                <w:szCs w:val="22"/>
                <w:lang w:bidi="en-US"/>
              </w:rPr>
            </w:pPr>
            <w:r>
              <w:rPr>
                <w:rFonts w:ascii="Helvetica" w:eastAsia="Arial" w:hAnsi="Helvetica" w:cs="Helvetica"/>
                <w:sz w:val="22"/>
                <w:szCs w:val="22"/>
                <w:lang w:bidi="en-US"/>
              </w:rPr>
              <w:t>PIP-II Configuration Management Plan</w:t>
            </w:r>
          </w:p>
        </w:tc>
      </w:tr>
      <w:tr w:rsidR="002557BE" w:rsidRPr="006E26F3" w14:paraId="1AD29671" w14:textId="77777777" w:rsidTr="0097663D">
        <w:tc>
          <w:tcPr>
            <w:tcW w:w="2675" w:type="dxa"/>
            <w:vAlign w:val="center"/>
          </w:tcPr>
          <w:p w14:paraId="1A6590E5" w14:textId="056389C7" w:rsidR="002557BE" w:rsidRPr="0097663D" w:rsidRDefault="002557BE" w:rsidP="00EE61B8">
            <w:pPr>
              <w:widowControl w:val="0"/>
              <w:tabs>
                <w:tab w:val="clear" w:pos="1714"/>
              </w:tabs>
              <w:autoSpaceDE w:val="0"/>
              <w:autoSpaceDN w:val="0"/>
              <w:spacing w:before="117" w:line="240" w:lineRule="auto"/>
              <w:jc w:val="both"/>
              <w:rPr>
                <w:rFonts w:ascii="Helvetica" w:eastAsia="Arial" w:hAnsi="Helvetica" w:cs="Helvetica"/>
                <w:sz w:val="22"/>
                <w:szCs w:val="22"/>
                <w:lang w:bidi="en-US"/>
              </w:rPr>
            </w:pPr>
            <w:r>
              <w:rPr>
                <w:rFonts w:ascii="Helvetica" w:eastAsia="Arial" w:hAnsi="Helvetica" w:cs="Helvetica"/>
                <w:sz w:val="22"/>
                <w:szCs w:val="22"/>
                <w:lang w:bidi="en-US"/>
              </w:rPr>
              <w:t>DCB</w:t>
            </w:r>
          </w:p>
        </w:tc>
        <w:tc>
          <w:tcPr>
            <w:tcW w:w="6570" w:type="dxa"/>
            <w:vAlign w:val="center"/>
          </w:tcPr>
          <w:p w14:paraId="4574544B" w14:textId="3A1AE7CC" w:rsidR="002557BE" w:rsidRPr="0097663D" w:rsidRDefault="002557BE" w:rsidP="00EE61B8">
            <w:pPr>
              <w:widowControl w:val="0"/>
              <w:tabs>
                <w:tab w:val="clear" w:pos="1714"/>
              </w:tabs>
              <w:autoSpaceDE w:val="0"/>
              <w:autoSpaceDN w:val="0"/>
              <w:spacing w:before="117" w:line="240" w:lineRule="auto"/>
              <w:ind w:firstLine="71"/>
              <w:jc w:val="both"/>
              <w:rPr>
                <w:rFonts w:ascii="Helvetica" w:eastAsia="Arial" w:hAnsi="Helvetica" w:cs="Helvetica"/>
                <w:sz w:val="22"/>
                <w:szCs w:val="22"/>
                <w:lang w:bidi="en-US"/>
              </w:rPr>
            </w:pPr>
            <w:r>
              <w:rPr>
                <w:rFonts w:ascii="Helvetica" w:eastAsia="Arial" w:hAnsi="Helvetica" w:cs="Helvetica"/>
                <w:sz w:val="22"/>
                <w:szCs w:val="22"/>
                <w:lang w:bidi="en-US"/>
              </w:rPr>
              <w:t>Design Change Board</w:t>
            </w:r>
          </w:p>
        </w:tc>
      </w:tr>
      <w:tr w:rsidR="00EE61B8" w:rsidRPr="006E26F3" w14:paraId="48542A78" w14:textId="77777777" w:rsidTr="0097663D">
        <w:tc>
          <w:tcPr>
            <w:tcW w:w="2675" w:type="dxa"/>
            <w:vAlign w:val="center"/>
          </w:tcPr>
          <w:p w14:paraId="4E429D4B" w14:textId="086DBE5B" w:rsidR="00EE61B8" w:rsidRPr="0097663D" w:rsidRDefault="00EE61B8" w:rsidP="00EE61B8">
            <w:pPr>
              <w:widowControl w:val="0"/>
              <w:tabs>
                <w:tab w:val="clear" w:pos="1714"/>
              </w:tabs>
              <w:autoSpaceDE w:val="0"/>
              <w:autoSpaceDN w:val="0"/>
              <w:spacing w:before="117" w:line="240" w:lineRule="auto"/>
              <w:jc w:val="both"/>
              <w:rPr>
                <w:rFonts w:ascii="Helvetica" w:eastAsia="Arial" w:hAnsi="Helvetica" w:cs="Helvetica"/>
                <w:sz w:val="22"/>
                <w:szCs w:val="22"/>
                <w:lang w:bidi="en-US"/>
              </w:rPr>
            </w:pPr>
            <w:r w:rsidRPr="0097663D">
              <w:rPr>
                <w:rFonts w:ascii="Helvetica" w:eastAsia="Arial" w:hAnsi="Helvetica" w:cs="Helvetica"/>
                <w:sz w:val="22"/>
                <w:szCs w:val="22"/>
                <w:lang w:bidi="en-US"/>
              </w:rPr>
              <w:t>FNAL</w:t>
            </w:r>
          </w:p>
        </w:tc>
        <w:tc>
          <w:tcPr>
            <w:tcW w:w="6570" w:type="dxa"/>
            <w:vAlign w:val="center"/>
          </w:tcPr>
          <w:p w14:paraId="6C9918AA" w14:textId="075860D1" w:rsidR="00EE61B8" w:rsidRPr="0097663D" w:rsidRDefault="00EE61B8" w:rsidP="00EE61B8">
            <w:pPr>
              <w:widowControl w:val="0"/>
              <w:tabs>
                <w:tab w:val="clear" w:pos="1714"/>
              </w:tabs>
              <w:autoSpaceDE w:val="0"/>
              <w:autoSpaceDN w:val="0"/>
              <w:spacing w:before="117" w:line="240" w:lineRule="auto"/>
              <w:ind w:firstLine="71"/>
              <w:jc w:val="both"/>
              <w:rPr>
                <w:rFonts w:ascii="Helvetica" w:eastAsia="Arial" w:hAnsi="Helvetica" w:cs="Helvetica"/>
                <w:sz w:val="22"/>
                <w:szCs w:val="22"/>
                <w:lang w:bidi="en-US"/>
              </w:rPr>
            </w:pPr>
            <w:r w:rsidRPr="0097663D">
              <w:rPr>
                <w:rFonts w:ascii="Helvetica" w:eastAsia="Arial" w:hAnsi="Helvetica" w:cs="Helvetica"/>
                <w:sz w:val="22"/>
                <w:szCs w:val="22"/>
                <w:lang w:bidi="en-US"/>
              </w:rPr>
              <w:t>Fermi National Accelerator Laboratory</w:t>
            </w:r>
          </w:p>
        </w:tc>
      </w:tr>
      <w:tr w:rsidR="00EE61B8" w:rsidRPr="006E26F3" w14:paraId="15034DE0" w14:textId="77777777" w:rsidTr="0097663D">
        <w:tc>
          <w:tcPr>
            <w:tcW w:w="2675" w:type="dxa"/>
            <w:vAlign w:val="center"/>
          </w:tcPr>
          <w:p w14:paraId="3969A172" w14:textId="4B772AB1" w:rsidR="00EE61B8" w:rsidRPr="0097663D" w:rsidRDefault="00EE61B8" w:rsidP="00EE61B8">
            <w:pPr>
              <w:widowControl w:val="0"/>
              <w:tabs>
                <w:tab w:val="clear" w:pos="1714"/>
              </w:tabs>
              <w:autoSpaceDE w:val="0"/>
              <w:autoSpaceDN w:val="0"/>
              <w:spacing w:before="117" w:line="240" w:lineRule="auto"/>
              <w:jc w:val="both"/>
              <w:rPr>
                <w:rFonts w:ascii="Helvetica" w:eastAsia="Arial" w:hAnsi="Helvetica" w:cs="Helvetica"/>
                <w:sz w:val="22"/>
                <w:szCs w:val="22"/>
                <w:lang w:bidi="en-US"/>
              </w:rPr>
            </w:pPr>
            <w:r w:rsidRPr="0097663D">
              <w:rPr>
                <w:rFonts w:ascii="Helvetica" w:eastAsia="Arial" w:hAnsi="Helvetica" w:cs="Helvetica"/>
                <w:sz w:val="22"/>
                <w:szCs w:val="22"/>
                <w:lang w:bidi="en-US"/>
              </w:rPr>
              <w:t>L2</w:t>
            </w:r>
          </w:p>
        </w:tc>
        <w:tc>
          <w:tcPr>
            <w:tcW w:w="6570" w:type="dxa"/>
            <w:vAlign w:val="center"/>
          </w:tcPr>
          <w:p w14:paraId="24636AC2" w14:textId="179EB618" w:rsidR="00EE61B8" w:rsidRPr="0097663D" w:rsidRDefault="00EE61B8" w:rsidP="00EE61B8">
            <w:pPr>
              <w:widowControl w:val="0"/>
              <w:tabs>
                <w:tab w:val="clear" w:pos="1714"/>
              </w:tabs>
              <w:autoSpaceDE w:val="0"/>
              <w:autoSpaceDN w:val="0"/>
              <w:spacing w:before="117" w:line="240" w:lineRule="auto"/>
              <w:ind w:firstLine="71"/>
              <w:jc w:val="both"/>
              <w:rPr>
                <w:rFonts w:ascii="Helvetica" w:eastAsia="Arial" w:hAnsi="Helvetica" w:cs="Helvetica"/>
                <w:sz w:val="22"/>
                <w:szCs w:val="22"/>
                <w:lang w:bidi="en-US"/>
              </w:rPr>
            </w:pPr>
            <w:r w:rsidRPr="0097663D">
              <w:rPr>
                <w:rFonts w:ascii="Helvetica" w:eastAsia="Arial" w:hAnsi="Helvetica" w:cs="Helvetica"/>
                <w:sz w:val="22"/>
                <w:szCs w:val="22"/>
                <w:lang w:bidi="en-US"/>
              </w:rPr>
              <w:t>WBS Level 2 System</w:t>
            </w:r>
          </w:p>
        </w:tc>
      </w:tr>
      <w:tr w:rsidR="003906ED" w:rsidRPr="006E26F3" w14:paraId="3D73B181" w14:textId="77777777" w:rsidTr="0097663D">
        <w:tc>
          <w:tcPr>
            <w:tcW w:w="2675" w:type="dxa"/>
            <w:vAlign w:val="center"/>
          </w:tcPr>
          <w:p w14:paraId="02BA729F" w14:textId="5EA58460" w:rsidR="003906ED" w:rsidRPr="0097663D" w:rsidRDefault="003906ED" w:rsidP="00EE61B8">
            <w:pPr>
              <w:widowControl w:val="0"/>
              <w:tabs>
                <w:tab w:val="clear" w:pos="1714"/>
              </w:tabs>
              <w:autoSpaceDE w:val="0"/>
              <w:autoSpaceDN w:val="0"/>
              <w:spacing w:before="117" w:line="240" w:lineRule="auto"/>
              <w:jc w:val="both"/>
              <w:rPr>
                <w:rFonts w:ascii="Helvetica" w:eastAsia="Arial" w:hAnsi="Helvetica" w:cs="Helvetica"/>
                <w:sz w:val="22"/>
                <w:szCs w:val="22"/>
                <w:lang w:bidi="en-US"/>
              </w:rPr>
            </w:pPr>
            <w:r>
              <w:rPr>
                <w:rFonts w:ascii="Helvetica" w:eastAsia="Arial" w:hAnsi="Helvetica" w:cs="Helvetica"/>
                <w:sz w:val="22"/>
                <w:szCs w:val="22"/>
                <w:lang w:bidi="en-US"/>
              </w:rPr>
              <w:t>L2M</w:t>
            </w:r>
          </w:p>
        </w:tc>
        <w:tc>
          <w:tcPr>
            <w:tcW w:w="6570" w:type="dxa"/>
            <w:vAlign w:val="center"/>
          </w:tcPr>
          <w:p w14:paraId="45CBFB47" w14:textId="0AC6837F" w:rsidR="003906ED" w:rsidRPr="0097663D" w:rsidRDefault="003906ED" w:rsidP="00EE61B8">
            <w:pPr>
              <w:widowControl w:val="0"/>
              <w:tabs>
                <w:tab w:val="clear" w:pos="1714"/>
              </w:tabs>
              <w:autoSpaceDE w:val="0"/>
              <w:autoSpaceDN w:val="0"/>
              <w:spacing w:before="117" w:line="240" w:lineRule="auto"/>
              <w:ind w:firstLine="71"/>
              <w:jc w:val="both"/>
              <w:rPr>
                <w:rFonts w:ascii="Helvetica" w:eastAsia="Arial" w:hAnsi="Helvetica" w:cs="Helvetica"/>
                <w:sz w:val="22"/>
                <w:szCs w:val="22"/>
                <w:lang w:bidi="en-US"/>
              </w:rPr>
            </w:pPr>
            <w:r>
              <w:rPr>
                <w:rFonts w:ascii="Helvetica" w:eastAsia="Arial" w:hAnsi="Helvetica" w:cs="Helvetica"/>
                <w:sz w:val="22"/>
                <w:szCs w:val="22"/>
                <w:lang w:bidi="en-US"/>
              </w:rPr>
              <w:t>WBS Level 2 Manager</w:t>
            </w:r>
          </w:p>
        </w:tc>
      </w:tr>
      <w:tr w:rsidR="003925FA" w:rsidRPr="006E26F3" w14:paraId="0FE0F784" w14:textId="77777777" w:rsidTr="0097663D">
        <w:tc>
          <w:tcPr>
            <w:tcW w:w="2675" w:type="dxa"/>
            <w:vAlign w:val="center"/>
          </w:tcPr>
          <w:p w14:paraId="490F49E3" w14:textId="201D40A4" w:rsidR="003925FA" w:rsidRPr="0097663D" w:rsidRDefault="003925FA" w:rsidP="00EE61B8">
            <w:pPr>
              <w:widowControl w:val="0"/>
              <w:tabs>
                <w:tab w:val="clear" w:pos="1714"/>
              </w:tabs>
              <w:autoSpaceDE w:val="0"/>
              <w:autoSpaceDN w:val="0"/>
              <w:spacing w:before="117" w:line="240" w:lineRule="auto"/>
              <w:jc w:val="both"/>
              <w:rPr>
                <w:rFonts w:ascii="Helvetica" w:eastAsia="Arial" w:hAnsi="Helvetica" w:cs="Helvetica"/>
                <w:sz w:val="22"/>
                <w:szCs w:val="22"/>
                <w:lang w:bidi="en-US"/>
              </w:rPr>
            </w:pPr>
            <w:r w:rsidRPr="0097663D">
              <w:rPr>
                <w:rFonts w:ascii="Helvetica" w:eastAsia="Arial" w:hAnsi="Helvetica" w:cs="Helvetica"/>
                <w:sz w:val="22"/>
                <w:szCs w:val="22"/>
                <w:lang w:bidi="en-US"/>
              </w:rPr>
              <w:t>L3</w:t>
            </w:r>
          </w:p>
        </w:tc>
        <w:tc>
          <w:tcPr>
            <w:tcW w:w="6570" w:type="dxa"/>
            <w:vAlign w:val="center"/>
          </w:tcPr>
          <w:p w14:paraId="6A9276B5" w14:textId="56FDEC85" w:rsidR="003925FA" w:rsidRPr="0097663D" w:rsidRDefault="003925FA" w:rsidP="00EE61B8">
            <w:pPr>
              <w:widowControl w:val="0"/>
              <w:tabs>
                <w:tab w:val="clear" w:pos="1714"/>
              </w:tabs>
              <w:autoSpaceDE w:val="0"/>
              <w:autoSpaceDN w:val="0"/>
              <w:spacing w:before="117" w:line="240" w:lineRule="auto"/>
              <w:ind w:firstLine="71"/>
              <w:jc w:val="both"/>
              <w:rPr>
                <w:rFonts w:ascii="Helvetica" w:eastAsia="Arial" w:hAnsi="Helvetica" w:cs="Helvetica"/>
                <w:sz w:val="22"/>
                <w:szCs w:val="22"/>
                <w:lang w:bidi="en-US"/>
              </w:rPr>
            </w:pPr>
            <w:r w:rsidRPr="0097663D">
              <w:rPr>
                <w:rFonts w:ascii="Helvetica" w:eastAsia="Arial" w:hAnsi="Helvetica" w:cs="Helvetica"/>
                <w:sz w:val="22"/>
                <w:szCs w:val="22"/>
                <w:lang w:bidi="en-US"/>
              </w:rPr>
              <w:t>WBS L3 System</w:t>
            </w:r>
          </w:p>
        </w:tc>
      </w:tr>
      <w:tr w:rsidR="00EE61B8" w:rsidRPr="006E26F3" w14:paraId="6A1D99BE" w14:textId="77777777" w:rsidTr="0097663D">
        <w:tc>
          <w:tcPr>
            <w:tcW w:w="2675" w:type="dxa"/>
            <w:vAlign w:val="center"/>
          </w:tcPr>
          <w:p w14:paraId="597C4A7E" w14:textId="6E651BE4" w:rsidR="00EE61B8" w:rsidRPr="0097663D" w:rsidRDefault="00EE61B8" w:rsidP="00EE61B8">
            <w:pPr>
              <w:widowControl w:val="0"/>
              <w:tabs>
                <w:tab w:val="clear" w:pos="1714"/>
              </w:tabs>
              <w:autoSpaceDE w:val="0"/>
              <w:autoSpaceDN w:val="0"/>
              <w:spacing w:before="117" w:line="240" w:lineRule="auto"/>
              <w:jc w:val="both"/>
              <w:rPr>
                <w:rFonts w:ascii="Helvetica" w:eastAsia="Arial" w:hAnsi="Helvetica" w:cs="Helvetica"/>
                <w:sz w:val="22"/>
                <w:szCs w:val="22"/>
                <w:lang w:bidi="en-US"/>
              </w:rPr>
            </w:pPr>
            <w:r w:rsidRPr="0097663D">
              <w:rPr>
                <w:rFonts w:ascii="Helvetica" w:eastAsia="Arial" w:hAnsi="Helvetica" w:cs="Helvetica"/>
                <w:sz w:val="22"/>
                <w:szCs w:val="22"/>
                <w:lang w:bidi="en-US"/>
              </w:rPr>
              <w:t>WBS</w:t>
            </w:r>
          </w:p>
        </w:tc>
        <w:tc>
          <w:tcPr>
            <w:tcW w:w="6570" w:type="dxa"/>
            <w:vAlign w:val="center"/>
          </w:tcPr>
          <w:p w14:paraId="1042B4C5" w14:textId="221CD6B1" w:rsidR="00EE61B8" w:rsidRPr="0097663D" w:rsidRDefault="00EE61B8" w:rsidP="00EE61B8">
            <w:pPr>
              <w:widowControl w:val="0"/>
              <w:tabs>
                <w:tab w:val="clear" w:pos="1714"/>
              </w:tabs>
              <w:autoSpaceDE w:val="0"/>
              <w:autoSpaceDN w:val="0"/>
              <w:spacing w:before="117" w:line="240" w:lineRule="auto"/>
              <w:ind w:firstLine="71"/>
              <w:jc w:val="both"/>
              <w:rPr>
                <w:rFonts w:ascii="Helvetica" w:eastAsia="Arial" w:hAnsi="Helvetica" w:cs="Helvetica"/>
                <w:sz w:val="22"/>
                <w:szCs w:val="22"/>
                <w:lang w:bidi="en-US"/>
              </w:rPr>
            </w:pPr>
            <w:r w:rsidRPr="0097663D">
              <w:rPr>
                <w:rFonts w:ascii="Helvetica" w:eastAsia="Arial" w:hAnsi="Helvetica" w:cs="Helvetica"/>
                <w:sz w:val="22"/>
                <w:szCs w:val="22"/>
                <w:lang w:bidi="en-US"/>
              </w:rPr>
              <w:t>Work Breakdown Structure</w:t>
            </w:r>
          </w:p>
        </w:tc>
      </w:tr>
      <w:tr w:rsidR="00EE61B8" w:rsidRPr="006E26F3" w14:paraId="170AEB03" w14:textId="77777777" w:rsidTr="0097663D">
        <w:tc>
          <w:tcPr>
            <w:tcW w:w="2675" w:type="dxa"/>
            <w:vAlign w:val="center"/>
          </w:tcPr>
          <w:p w14:paraId="1B50BF4C" w14:textId="1B611608" w:rsidR="00EE61B8" w:rsidRPr="0097663D" w:rsidRDefault="00EE61B8" w:rsidP="00EE61B8">
            <w:pPr>
              <w:widowControl w:val="0"/>
              <w:tabs>
                <w:tab w:val="clear" w:pos="1714"/>
              </w:tabs>
              <w:autoSpaceDE w:val="0"/>
              <w:autoSpaceDN w:val="0"/>
              <w:spacing w:before="117" w:line="240" w:lineRule="auto"/>
              <w:jc w:val="both"/>
              <w:rPr>
                <w:rFonts w:ascii="Helvetica" w:eastAsia="Arial" w:hAnsi="Helvetica" w:cs="Helvetica"/>
                <w:sz w:val="22"/>
                <w:szCs w:val="22"/>
                <w:lang w:bidi="en-US"/>
              </w:rPr>
            </w:pPr>
            <w:r w:rsidRPr="0097663D">
              <w:rPr>
                <w:rFonts w:ascii="Helvetica" w:eastAsia="Arial" w:hAnsi="Helvetica" w:cs="Helvetica"/>
                <w:sz w:val="22"/>
                <w:szCs w:val="22"/>
                <w:lang w:bidi="en-US"/>
              </w:rPr>
              <w:t>VE</w:t>
            </w:r>
          </w:p>
        </w:tc>
        <w:tc>
          <w:tcPr>
            <w:tcW w:w="6570" w:type="dxa"/>
            <w:vAlign w:val="center"/>
          </w:tcPr>
          <w:p w14:paraId="03C77CC9" w14:textId="7696FEE7" w:rsidR="00EE61B8" w:rsidRPr="0097663D" w:rsidRDefault="00EE61B8" w:rsidP="00EE61B8">
            <w:pPr>
              <w:widowControl w:val="0"/>
              <w:tabs>
                <w:tab w:val="clear" w:pos="1714"/>
              </w:tabs>
              <w:autoSpaceDE w:val="0"/>
              <w:autoSpaceDN w:val="0"/>
              <w:spacing w:before="117" w:line="240" w:lineRule="auto"/>
              <w:ind w:firstLine="71"/>
              <w:jc w:val="both"/>
              <w:rPr>
                <w:rFonts w:ascii="Helvetica" w:eastAsia="Arial" w:hAnsi="Helvetica" w:cs="Helvetica"/>
                <w:sz w:val="22"/>
                <w:szCs w:val="22"/>
                <w:lang w:bidi="en-US"/>
              </w:rPr>
            </w:pPr>
            <w:r w:rsidRPr="0097663D">
              <w:rPr>
                <w:rFonts w:ascii="Helvetica" w:eastAsia="Arial" w:hAnsi="Helvetica" w:cs="Helvetica"/>
                <w:sz w:val="22"/>
                <w:szCs w:val="22"/>
                <w:lang w:bidi="en-US"/>
              </w:rPr>
              <w:t>Value Engineering</w:t>
            </w:r>
          </w:p>
        </w:tc>
      </w:tr>
    </w:tbl>
    <w:p w14:paraId="061A7C25" w14:textId="77777777" w:rsidR="006E26F3" w:rsidRPr="006E26F3" w:rsidRDefault="006E26F3" w:rsidP="006E26F3">
      <w:pPr>
        <w:pStyle w:val="NotesBody11pt"/>
      </w:pPr>
    </w:p>
    <w:p w14:paraId="0283EC8C" w14:textId="68B1FAB0" w:rsidR="008F015D" w:rsidRDefault="3FBF57C1" w:rsidP="002D72C2">
      <w:pPr>
        <w:pStyle w:val="Heading1"/>
      </w:pPr>
      <w:bookmarkStart w:id="3" w:name="_Toc535999634"/>
      <w:bookmarkStart w:id="4" w:name="_Toc300307727"/>
      <w:r>
        <w:t>Reference Documents</w:t>
      </w:r>
      <w:bookmarkEnd w:id="3"/>
    </w:p>
    <w:tbl>
      <w:tblPr>
        <w:tblStyle w:val="TableGrid2"/>
        <w:tblW w:w="0" w:type="auto"/>
        <w:tblInd w:w="715" w:type="dxa"/>
        <w:tblLook w:val="04A0" w:firstRow="1" w:lastRow="0" w:firstColumn="1" w:lastColumn="0" w:noHBand="0" w:noVBand="1"/>
      </w:tblPr>
      <w:tblGrid>
        <w:gridCol w:w="706"/>
        <w:gridCol w:w="8649"/>
      </w:tblGrid>
      <w:tr w:rsidR="008F015D" w:rsidRPr="008F015D" w14:paraId="6236E77E" w14:textId="77777777" w:rsidTr="6926947E">
        <w:tc>
          <w:tcPr>
            <w:tcW w:w="706" w:type="dxa"/>
          </w:tcPr>
          <w:p w14:paraId="0783B049" w14:textId="77777777" w:rsidR="008F015D" w:rsidRPr="008F015D" w:rsidRDefault="3FBF57C1" w:rsidP="3FBF57C1">
            <w:pPr>
              <w:tabs>
                <w:tab w:val="clear" w:pos="1714"/>
              </w:tabs>
              <w:spacing w:line="300" w:lineRule="auto"/>
              <w:jc w:val="both"/>
              <w:rPr>
                <w:rFonts w:ascii="Helvetica" w:hAnsi="Helvetica"/>
                <w:sz w:val="22"/>
                <w:szCs w:val="22"/>
              </w:rPr>
            </w:pPr>
            <w:r w:rsidRPr="3FBF57C1">
              <w:rPr>
                <w:rFonts w:ascii="Helvetica" w:hAnsi="Helvetica"/>
                <w:sz w:val="22"/>
                <w:szCs w:val="22"/>
              </w:rPr>
              <w:t>1</w:t>
            </w:r>
          </w:p>
        </w:tc>
        <w:tc>
          <w:tcPr>
            <w:tcW w:w="8649" w:type="dxa"/>
          </w:tcPr>
          <w:p w14:paraId="620E85FB" w14:textId="76F62BB4" w:rsidR="008F015D" w:rsidRPr="008F015D" w:rsidRDefault="000A4298" w:rsidP="008F015D">
            <w:pPr>
              <w:tabs>
                <w:tab w:val="clear" w:pos="1714"/>
              </w:tabs>
              <w:spacing w:line="300" w:lineRule="auto"/>
              <w:jc w:val="both"/>
              <w:rPr>
                <w:rFonts w:ascii="Helvetica" w:hAnsi="Helvetica"/>
                <w:sz w:val="22"/>
                <w:szCs w:val="22"/>
              </w:rPr>
            </w:pPr>
            <w:hyperlink r:id="rId16" w:history="1">
              <w:r w:rsidR="009904B1" w:rsidRPr="009904B1">
                <w:rPr>
                  <w:rStyle w:val="Hyperlink"/>
                  <w:rFonts w:ascii="Helvetica" w:hAnsi="Helvetica"/>
                  <w:sz w:val="22"/>
                  <w:szCs w:val="22"/>
                </w:rPr>
                <w:t>DOE Order 413.3B</w:t>
              </w:r>
            </w:hyperlink>
          </w:p>
        </w:tc>
      </w:tr>
      <w:tr w:rsidR="00BE25ED" w:rsidRPr="008F015D" w14:paraId="64F03827" w14:textId="77777777" w:rsidTr="6926947E">
        <w:tc>
          <w:tcPr>
            <w:tcW w:w="706" w:type="dxa"/>
          </w:tcPr>
          <w:p w14:paraId="64ADF02D" w14:textId="13FB6B8B" w:rsidR="00BE25ED" w:rsidRDefault="00BE25ED" w:rsidP="00BE25ED">
            <w:pPr>
              <w:tabs>
                <w:tab w:val="clear" w:pos="1714"/>
              </w:tabs>
              <w:spacing w:line="300" w:lineRule="auto"/>
              <w:jc w:val="both"/>
              <w:rPr>
                <w:rFonts w:ascii="Helvetica" w:hAnsi="Helvetica"/>
                <w:sz w:val="22"/>
                <w:szCs w:val="22"/>
              </w:rPr>
            </w:pPr>
            <w:r>
              <w:rPr>
                <w:rFonts w:ascii="Helvetica" w:hAnsi="Helvetica"/>
                <w:sz w:val="22"/>
                <w:szCs w:val="22"/>
              </w:rPr>
              <w:t>2</w:t>
            </w:r>
          </w:p>
        </w:tc>
        <w:tc>
          <w:tcPr>
            <w:tcW w:w="8649" w:type="dxa"/>
          </w:tcPr>
          <w:p w14:paraId="7FE3E5B4" w14:textId="66CB0124" w:rsidR="00BE25ED" w:rsidRDefault="00BE25ED" w:rsidP="00BE25ED">
            <w:pPr>
              <w:tabs>
                <w:tab w:val="clear" w:pos="1714"/>
              </w:tabs>
              <w:spacing w:line="300" w:lineRule="auto"/>
              <w:jc w:val="both"/>
              <w:rPr>
                <w:rFonts w:ascii="Helvetica" w:hAnsi="Helvetica"/>
                <w:sz w:val="22"/>
                <w:szCs w:val="22"/>
              </w:rPr>
            </w:pPr>
            <w:r>
              <w:rPr>
                <w:rFonts w:ascii="Helvetica" w:hAnsi="Helvetica"/>
                <w:sz w:val="22"/>
                <w:szCs w:val="22"/>
              </w:rPr>
              <w:t>CF</w:t>
            </w:r>
            <w:r w:rsidR="00C160AD">
              <w:rPr>
                <w:rFonts w:ascii="Helvetica" w:hAnsi="Helvetica"/>
                <w:sz w:val="22"/>
                <w:szCs w:val="22"/>
              </w:rPr>
              <w:t xml:space="preserve"> – Value Engineering Workshop </w:t>
            </w:r>
            <w:r>
              <w:rPr>
                <w:rFonts w:ascii="Helvetica" w:hAnsi="Helvetica"/>
                <w:sz w:val="22"/>
                <w:szCs w:val="22"/>
              </w:rPr>
              <w:t xml:space="preserve">VE Report </w:t>
            </w:r>
            <w:proofErr w:type="spellStart"/>
            <w:r>
              <w:rPr>
                <w:rFonts w:ascii="Helvetica" w:hAnsi="Helvetica"/>
                <w:sz w:val="22"/>
                <w:szCs w:val="22"/>
              </w:rPr>
              <w:t>DocDB</w:t>
            </w:r>
            <w:proofErr w:type="spellEnd"/>
            <w:r>
              <w:rPr>
                <w:rFonts w:ascii="Helvetica" w:hAnsi="Helvetica"/>
                <w:sz w:val="22"/>
                <w:szCs w:val="22"/>
              </w:rPr>
              <w:t xml:space="preserve"> #</w:t>
            </w:r>
            <w:r w:rsidR="00AA5357">
              <w:rPr>
                <w:rFonts w:ascii="Helvetica" w:hAnsi="Helvetica"/>
                <w:sz w:val="22"/>
                <w:szCs w:val="22"/>
              </w:rPr>
              <w:t xml:space="preserve"> </w:t>
            </w:r>
            <w:hyperlink r:id="rId17" w:history="1">
              <w:r w:rsidR="00AA5357" w:rsidRPr="00C160AD">
                <w:rPr>
                  <w:rStyle w:val="Hyperlink"/>
                  <w:rFonts w:ascii="Helvetica" w:hAnsi="Helvetica"/>
                  <w:sz w:val="22"/>
                  <w:szCs w:val="22"/>
                </w:rPr>
                <w:t>1377</w:t>
              </w:r>
            </w:hyperlink>
          </w:p>
        </w:tc>
      </w:tr>
      <w:tr w:rsidR="00BE25ED" w:rsidRPr="008F015D" w14:paraId="3B66F424" w14:textId="77777777" w:rsidTr="6926947E">
        <w:tc>
          <w:tcPr>
            <w:tcW w:w="706" w:type="dxa"/>
          </w:tcPr>
          <w:p w14:paraId="1CF797D2" w14:textId="15FAF72C" w:rsidR="00BE25ED" w:rsidRPr="3FBF57C1" w:rsidRDefault="00BE25ED" w:rsidP="00BE25ED">
            <w:pPr>
              <w:tabs>
                <w:tab w:val="clear" w:pos="1714"/>
              </w:tabs>
              <w:spacing w:line="300" w:lineRule="auto"/>
              <w:jc w:val="both"/>
              <w:rPr>
                <w:rFonts w:ascii="Helvetica" w:hAnsi="Helvetica"/>
                <w:sz w:val="22"/>
                <w:szCs w:val="22"/>
              </w:rPr>
            </w:pPr>
            <w:r>
              <w:rPr>
                <w:rFonts w:ascii="Helvetica" w:hAnsi="Helvetica"/>
                <w:sz w:val="22"/>
                <w:szCs w:val="22"/>
              </w:rPr>
              <w:t>3</w:t>
            </w:r>
          </w:p>
        </w:tc>
        <w:tc>
          <w:tcPr>
            <w:tcW w:w="8649" w:type="dxa"/>
          </w:tcPr>
          <w:p w14:paraId="61880CFB" w14:textId="4A07DC91" w:rsidR="00BE25ED" w:rsidRDefault="00BE25ED" w:rsidP="00BE25ED">
            <w:pPr>
              <w:tabs>
                <w:tab w:val="clear" w:pos="1714"/>
              </w:tabs>
              <w:spacing w:line="300" w:lineRule="auto"/>
              <w:jc w:val="both"/>
              <w:rPr>
                <w:rFonts w:ascii="Helvetica" w:hAnsi="Helvetica"/>
                <w:sz w:val="22"/>
                <w:szCs w:val="22"/>
              </w:rPr>
            </w:pPr>
            <w:r>
              <w:rPr>
                <w:rFonts w:ascii="Helvetica" w:hAnsi="Helvetica"/>
                <w:sz w:val="22"/>
                <w:szCs w:val="22"/>
              </w:rPr>
              <w:t xml:space="preserve">PIP-II Value Engineering Opportunity Tracking Sheet </w:t>
            </w:r>
            <w:proofErr w:type="spellStart"/>
            <w:r>
              <w:rPr>
                <w:rFonts w:ascii="Helvetica" w:hAnsi="Helvetica"/>
                <w:sz w:val="22"/>
                <w:szCs w:val="22"/>
              </w:rPr>
              <w:t>DocDB</w:t>
            </w:r>
            <w:proofErr w:type="spellEnd"/>
            <w:r>
              <w:rPr>
                <w:rFonts w:ascii="Helvetica" w:hAnsi="Helvetica"/>
                <w:sz w:val="22"/>
                <w:szCs w:val="22"/>
              </w:rPr>
              <w:t xml:space="preserve"> # </w:t>
            </w:r>
            <w:hyperlink r:id="rId18" w:history="1">
              <w:r w:rsidR="000A4298">
                <w:rPr>
                  <w:rStyle w:val="Hyperlink"/>
                  <w:rFonts w:ascii="Helvetica" w:hAnsi="Helvetica"/>
                  <w:sz w:val="22"/>
                  <w:szCs w:val="22"/>
                </w:rPr>
                <w:t>4201</w:t>
              </w:r>
            </w:hyperlink>
          </w:p>
        </w:tc>
      </w:tr>
      <w:tr w:rsidR="00BE25ED" w:rsidRPr="008F015D" w14:paraId="1BA968F5" w14:textId="77777777" w:rsidTr="6926947E">
        <w:tc>
          <w:tcPr>
            <w:tcW w:w="706" w:type="dxa"/>
          </w:tcPr>
          <w:p w14:paraId="6F5BA988" w14:textId="23223D99" w:rsidR="00BE25ED" w:rsidRPr="008F015D" w:rsidRDefault="00BE25ED" w:rsidP="00BE25ED">
            <w:pPr>
              <w:tabs>
                <w:tab w:val="clear" w:pos="1714"/>
              </w:tabs>
              <w:spacing w:line="300" w:lineRule="auto"/>
              <w:jc w:val="both"/>
              <w:rPr>
                <w:rFonts w:ascii="Helvetica" w:hAnsi="Helvetica"/>
                <w:sz w:val="22"/>
                <w:szCs w:val="22"/>
              </w:rPr>
            </w:pPr>
            <w:r>
              <w:rPr>
                <w:rFonts w:ascii="Helvetica" w:hAnsi="Helvetica"/>
                <w:sz w:val="22"/>
                <w:szCs w:val="22"/>
              </w:rPr>
              <w:t>4</w:t>
            </w:r>
          </w:p>
        </w:tc>
        <w:tc>
          <w:tcPr>
            <w:tcW w:w="8649" w:type="dxa"/>
          </w:tcPr>
          <w:p w14:paraId="2A83C1AA" w14:textId="43356066" w:rsidR="00BE25ED" w:rsidRPr="008F015D" w:rsidRDefault="00BE25ED" w:rsidP="00BE25ED">
            <w:pPr>
              <w:tabs>
                <w:tab w:val="clear" w:pos="1714"/>
              </w:tabs>
              <w:spacing w:line="300" w:lineRule="auto"/>
              <w:jc w:val="both"/>
              <w:rPr>
                <w:rFonts w:ascii="Helvetica" w:hAnsi="Helvetica"/>
                <w:sz w:val="22"/>
                <w:szCs w:val="22"/>
              </w:rPr>
            </w:pPr>
            <w:r w:rsidRPr="00FC2CBD">
              <w:rPr>
                <w:rFonts w:ascii="Helvetica" w:hAnsi="Helvetica"/>
                <w:sz w:val="22"/>
                <w:szCs w:val="22"/>
              </w:rPr>
              <w:t>PIP-II VE Opportunities List for Reviewers</w:t>
            </w:r>
            <w:r>
              <w:rPr>
                <w:rFonts w:ascii="Helvetica" w:hAnsi="Helvetica"/>
                <w:sz w:val="22"/>
                <w:szCs w:val="22"/>
              </w:rPr>
              <w:t xml:space="preserve"> </w:t>
            </w:r>
            <w:proofErr w:type="spellStart"/>
            <w:r>
              <w:rPr>
                <w:rFonts w:ascii="Helvetica" w:hAnsi="Helvetica"/>
                <w:sz w:val="22"/>
                <w:szCs w:val="22"/>
              </w:rPr>
              <w:t>DocDB</w:t>
            </w:r>
            <w:proofErr w:type="spellEnd"/>
            <w:r>
              <w:rPr>
                <w:rFonts w:ascii="Helvetica" w:hAnsi="Helvetica"/>
                <w:sz w:val="22"/>
                <w:szCs w:val="22"/>
              </w:rPr>
              <w:t xml:space="preserve"> # </w:t>
            </w:r>
            <w:hyperlink r:id="rId19" w:history="1">
              <w:r w:rsidR="000A4298">
                <w:rPr>
                  <w:rStyle w:val="Hyperlink"/>
                  <w:rFonts w:ascii="Helvetica" w:hAnsi="Helvetica"/>
                  <w:sz w:val="22"/>
                  <w:szCs w:val="22"/>
                </w:rPr>
                <w:t>4201</w:t>
              </w:r>
            </w:hyperlink>
          </w:p>
        </w:tc>
      </w:tr>
      <w:tr w:rsidR="00BE25ED" w:rsidRPr="008F015D" w14:paraId="5B7EEEC2" w14:textId="77777777" w:rsidTr="6926947E">
        <w:tc>
          <w:tcPr>
            <w:tcW w:w="706" w:type="dxa"/>
          </w:tcPr>
          <w:p w14:paraId="49FE59BD" w14:textId="26159678" w:rsidR="00BE25ED" w:rsidRDefault="00BE25ED" w:rsidP="00BE25ED">
            <w:pPr>
              <w:tabs>
                <w:tab w:val="clear" w:pos="1714"/>
              </w:tabs>
              <w:spacing w:line="300" w:lineRule="auto"/>
              <w:jc w:val="both"/>
              <w:rPr>
                <w:rFonts w:ascii="Helvetica" w:hAnsi="Helvetica"/>
                <w:sz w:val="22"/>
                <w:szCs w:val="22"/>
              </w:rPr>
            </w:pPr>
            <w:r>
              <w:rPr>
                <w:rFonts w:ascii="Helvetica" w:hAnsi="Helvetica"/>
                <w:sz w:val="22"/>
                <w:szCs w:val="22"/>
              </w:rPr>
              <w:t>5</w:t>
            </w:r>
          </w:p>
        </w:tc>
        <w:tc>
          <w:tcPr>
            <w:tcW w:w="8649" w:type="dxa"/>
          </w:tcPr>
          <w:p w14:paraId="3DC5774F" w14:textId="3EB2A09F" w:rsidR="00BE25ED" w:rsidRPr="3FBF57C1" w:rsidRDefault="00BE25ED" w:rsidP="00BE25ED">
            <w:pPr>
              <w:tabs>
                <w:tab w:val="clear" w:pos="1714"/>
              </w:tabs>
              <w:spacing w:line="300" w:lineRule="auto"/>
              <w:jc w:val="both"/>
              <w:rPr>
                <w:rFonts w:ascii="Helvetica" w:hAnsi="Helvetica"/>
                <w:sz w:val="22"/>
                <w:szCs w:val="22"/>
              </w:rPr>
            </w:pPr>
            <w:r>
              <w:rPr>
                <w:rFonts w:ascii="Helvetica" w:hAnsi="Helvetica"/>
                <w:sz w:val="22"/>
                <w:szCs w:val="22"/>
              </w:rPr>
              <w:t>PIP-II Review Plan ED0008163</w:t>
            </w:r>
          </w:p>
        </w:tc>
      </w:tr>
      <w:tr w:rsidR="00BE25ED" w:rsidRPr="008F015D" w14:paraId="531DA091" w14:textId="77777777" w:rsidTr="6926947E">
        <w:tc>
          <w:tcPr>
            <w:tcW w:w="706" w:type="dxa"/>
          </w:tcPr>
          <w:p w14:paraId="6D64355C" w14:textId="2315B90F" w:rsidR="00BE25ED" w:rsidRDefault="00BE25ED" w:rsidP="00BE25ED">
            <w:pPr>
              <w:tabs>
                <w:tab w:val="clear" w:pos="1714"/>
              </w:tabs>
              <w:spacing w:line="300" w:lineRule="auto"/>
              <w:jc w:val="both"/>
              <w:rPr>
                <w:rFonts w:ascii="Helvetica" w:hAnsi="Helvetica"/>
                <w:sz w:val="22"/>
                <w:szCs w:val="22"/>
              </w:rPr>
            </w:pPr>
            <w:r>
              <w:rPr>
                <w:rFonts w:ascii="Helvetica" w:hAnsi="Helvetica"/>
                <w:sz w:val="22"/>
                <w:szCs w:val="22"/>
              </w:rPr>
              <w:t>6</w:t>
            </w:r>
          </w:p>
        </w:tc>
        <w:tc>
          <w:tcPr>
            <w:tcW w:w="8649" w:type="dxa"/>
          </w:tcPr>
          <w:p w14:paraId="385FED41" w14:textId="6DB35F71" w:rsidR="00BE25ED" w:rsidRDefault="00BE25ED" w:rsidP="00BE25ED">
            <w:pPr>
              <w:tabs>
                <w:tab w:val="clear" w:pos="1714"/>
              </w:tabs>
              <w:spacing w:line="300" w:lineRule="auto"/>
              <w:jc w:val="both"/>
              <w:rPr>
                <w:rFonts w:ascii="Helvetica" w:hAnsi="Helvetica"/>
                <w:sz w:val="22"/>
                <w:szCs w:val="22"/>
              </w:rPr>
            </w:pPr>
            <w:r>
              <w:rPr>
                <w:rFonts w:ascii="Helvetica" w:hAnsi="Helvetica"/>
                <w:sz w:val="22"/>
                <w:szCs w:val="22"/>
              </w:rPr>
              <w:t xml:space="preserve">PIP-II Configuration Management Plan </w:t>
            </w:r>
            <w:proofErr w:type="spellStart"/>
            <w:r>
              <w:rPr>
                <w:rFonts w:ascii="Helvetica" w:hAnsi="Helvetica"/>
                <w:sz w:val="22"/>
                <w:szCs w:val="22"/>
              </w:rPr>
              <w:t>DocDB</w:t>
            </w:r>
            <w:proofErr w:type="spellEnd"/>
            <w:r>
              <w:rPr>
                <w:rFonts w:ascii="Helvetica" w:hAnsi="Helvetica"/>
                <w:sz w:val="22"/>
                <w:szCs w:val="22"/>
              </w:rPr>
              <w:t xml:space="preserve"> # </w:t>
            </w:r>
            <w:hyperlink r:id="rId20" w:history="1">
              <w:r w:rsidR="000A4298" w:rsidRPr="000A4298">
                <w:rPr>
                  <w:rStyle w:val="Hyperlink"/>
                  <w:rFonts w:ascii="Helvetica" w:hAnsi="Helvetica"/>
                  <w:sz w:val="22"/>
                  <w:szCs w:val="22"/>
                </w:rPr>
                <w:t>2937</w:t>
              </w:r>
            </w:hyperlink>
          </w:p>
        </w:tc>
      </w:tr>
    </w:tbl>
    <w:p w14:paraId="4635706E" w14:textId="77777777" w:rsidR="00B83FBE" w:rsidRPr="008F015D" w:rsidRDefault="00B83FBE" w:rsidP="008F015D">
      <w:pPr>
        <w:pStyle w:val="NotesBody11pt"/>
      </w:pPr>
    </w:p>
    <w:p w14:paraId="688083A6" w14:textId="4F2ADC24" w:rsidR="00B8602D" w:rsidRPr="002D72C2" w:rsidRDefault="009904B1" w:rsidP="002D72C2">
      <w:pPr>
        <w:pStyle w:val="Heading1"/>
      </w:pPr>
      <w:bookmarkStart w:id="5" w:name="_Toc535999635"/>
      <w:bookmarkEnd w:id="4"/>
      <w:r>
        <w:t>VE for Conventional Facilities</w:t>
      </w:r>
      <w:bookmarkEnd w:id="5"/>
      <w:r w:rsidR="00F10C29">
        <w:t xml:space="preserve"> System</w:t>
      </w:r>
    </w:p>
    <w:p w14:paraId="3AE2F2D7" w14:textId="68E2FD40" w:rsidR="00455140" w:rsidRDefault="009904B1" w:rsidP="00A41608">
      <w:pPr>
        <w:pStyle w:val="Normal1"/>
        <w:spacing w:line="240" w:lineRule="auto"/>
        <w:ind w:left="274"/>
        <w:jc w:val="both"/>
      </w:pPr>
      <w:r>
        <w:t>Value Engineering for the scope of work contained in the Conventional Facilities</w:t>
      </w:r>
      <w:r w:rsidR="00B510A5">
        <w:t xml:space="preserve"> (CF)</w:t>
      </w:r>
      <w:r>
        <w:t xml:space="preserve"> L2 System is </w:t>
      </w:r>
      <w:r w:rsidR="00455140">
        <w:t xml:space="preserve">implemented using </w:t>
      </w:r>
      <w:r w:rsidR="00187981">
        <w:t>the</w:t>
      </w:r>
      <w:r>
        <w:t xml:space="preserve"> Facilities and Engineering Site Services (FESS) </w:t>
      </w:r>
      <w:r w:rsidR="00455140">
        <w:t>process</w:t>
      </w:r>
      <w:r w:rsidR="00187981">
        <w:t xml:space="preserve"> based on the methodology developed by the US Army Corps of Engineering and ASTM E1699</w:t>
      </w:r>
      <w:r w:rsidR="00BF4D38">
        <w:t>-10 (Standard Practice for Performing Value Analysis of Buildings and Building systems and Other Constructed Projects)</w:t>
      </w:r>
      <w:r>
        <w:t xml:space="preserve">.  </w:t>
      </w:r>
      <w:r w:rsidR="00455140">
        <w:t>A summary of the process used for PIP-II Project CF scope is described as follows:</w:t>
      </w:r>
    </w:p>
    <w:p w14:paraId="74E40FDC" w14:textId="77777777" w:rsidR="00455140" w:rsidRDefault="00455140" w:rsidP="00455140">
      <w:pPr>
        <w:pStyle w:val="Normal1"/>
        <w:spacing w:line="240" w:lineRule="auto"/>
        <w:ind w:left="432"/>
        <w:jc w:val="both"/>
      </w:pPr>
    </w:p>
    <w:p w14:paraId="50A9F0C2" w14:textId="3C367B6D" w:rsidR="002C57C7" w:rsidRDefault="002C57C7" w:rsidP="002C57C7">
      <w:pPr>
        <w:pStyle w:val="Normal1"/>
        <w:numPr>
          <w:ilvl w:val="0"/>
          <w:numId w:val="42"/>
        </w:numPr>
        <w:spacing w:line="240" w:lineRule="auto"/>
        <w:jc w:val="both"/>
      </w:pPr>
      <w:r>
        <w:t>Function</w:t>
      </w:r>
      <w:r w:rsidR="00167357">
        <w:t>al</w:t>
      </w:r>
      <w:r>
        <w:t xml:space="preserve"> Analysis Phase – This step is completed by the design experts in advance of the VE workshop based on the technical requirements.</w:t>
      </w:r>
      <w:r w:rsidR="000E3A82">
        <w:t xml:space="preserve"> </w:t>
      </w:r>
    </w:p>
    <w:p w14:paraId="42ECEB18" w14:textId="3A41BA01" w:rsidR="002C57C7" w:rsidRDefault="002C57C7" w:rsidP="002C57C7">
      <w:pPr>
        <w:pStyle w:val="Normal1"/>
        <w:numPr>
          <w:ilvl w:val="0"/>
          <w:numId w:val="42"/>
        </w:numPr>
        <w:spacing w:line="240" w:lineRule="auto"/>
        <w:jc w:val="both"/>
      </w:pPr>
      <w:r>
        <w:lastRenderedPageBreak/>
        <w:t xml:space="preserve">Speculation/Creativity Phase – This step was conducted at a </w:t>
      </w:r>
      <w:r w:rsidR="00D22A8C">
        <w:t>January</w:t>
      </w:r>
      <w:r>
        <w:t xml:space="preserve"> 2018 </w:t>
      </w:r>
      <w:r w:rsidR="00D22A8C">
        <w:t>workshop</w:t>
      </w:r>
      <w:r>
        <w:t xml:space="preserve">.  During this workshop, design authorities, system and sub-system managers and other stakeholders generated potential VE </w:t>
      </w:r>
      <w:r w:rsidR="00D22A8C">
        <w:t>opportunities</w:t>
      </w:r>
      <w:r>
        <w:t xml:space="preserve"> within the CF scope of work.</w:t>
      </w:r>
    </w:p>
    <w:p w14:paraId="6C4559F8" w14:textId="43AE7A4B" w:rsidR="00C05C17" w:rsidRDefault="00C05C17" w:rsidP="002C57C7">
      <w:pPr>
        <w:pStyle w:val="Normal1"/>
        <w:numPr>
          <w:ilvl w:val="0"/>
          <w:numId w:val="42"/>
        </w:numPr>
        <w:spacing w:line="240" w:lineRule="auto"/>
        <w:jc w:val="both"/>
      </w:pPr>
      <w:r>
        <w:t>Evaluation/Development Phase – Promising VE opportunities are identified for further evaluation by the project team including cost and technical impact.</w:t>
      </w:r>
    </w:p>
    <w:p w14:paraId="225C6907" w14:textId="58EE60C3" w:rsidR="00F84EF5" w:rsidRDefault="00A13674" w:rsidP="00F84EF5">
      <w:pPr>
        <w:pStyle w:val="Normal1"/>
        <w:numPr>
          <w:ilvl w:val="0"/>
          <w:numId w:val="42"/>
        </w:numPr>
        <w:spacing w:line="240" w:lineRule="auto"/>
        <w:jc w:val="both"/>
      </w:pPr>
      <w:r>
        <w:t>Concurrence Phase – This phase presents the VE opportunities to the design authority (see Section 8 below) for concurrence prior to implementation.</w:t>
      </w:r>
    </w:p>
    <w:p w14:paraId="0D8EC5E3" w14:textId="77777777" w:rsidR="002C57C7" w:rsidRDefault="002C57C7" w:rsidP="00455140">
      <w:pPr>
        <w:pStyle w:val="Normal1"/>
        <w:spacing w:line="240" w:lineRule="auto"/>
        <w:ind w:left="864"/>
        <w:jc w:val="both"/>
      </w:pPr>
    </w:p>
    <w:p w14:paraId="3902680F" w14:textId="545B97C4" w:rsidR="0085393A" w:rsidRDefault="009904B1" w:rsidP="00455140">
      <w:pPr>
        <w:pStyle w:val="Normal1"/>
        <w:spacing w:line="240" w:lineRule="auto"/>
        <w:ind w:left="864"/>
        <w:jc w:val="both"/>
      </w:pPr>
      <w:r>
        <w:t>The opportunities were recorded and evaluated following the VE workshop</w:t>
      </w:r>
      <w:r w:rsidR="00045A78">
        <w:t xml:space="preserve"> with the results logged in </w:t>
      </w:r>
      <w:r w:rsidR="006C5AFD">
        <w:t xml:space="preserve">a </w:t>
      </w:r>
      <w:r w:rsidR="00B14F05">
        <w:rPr>
          <w:i/>
        </w:rPr>
        <w:t xml:space="preserve">CF </w:t>
      </w:r>
      <w:r w:rsidR="006C5AFD" w:rsidRPr="00616423">
        <w:rPr>
          <w:i/>
        </w:rPr>
        <w:t>VE Report</w:t>
      </w:r>
      <w:r w:rsidR="006C5AFD">
        <w:t xml:space="preserve"> </w:t>
      </w:r>
      <w:r w:rsidR="000732E8">
        <w:t xml:space="preserve">and now included as part of </w:t>
      </w:r>
      <w:r w:rsidR="00045A78">
        <w:t xml:space="preserve">the </w:t>
      </w:r>
      <w:r w:rsidR="00045A78" w:rsidRPr="00325C54">
        <w:rPr>
          <w:i/>
        </w:rPr>
        <w:t>PIP-II Value Engineering Opportunity Tracking Sheet</w:t>
      </w:r>
      <w:r w:rsidR="00FC2CBD">
        <w:t xml:space="preserve"> [2</w:t>
      </w:r>
      <w:r w:rsidR="000732E8">
        <w:t>,3</w:t>
      </w:r>
      <w:r w:rsidR="00BE25ED">
        <w:t>].</w:t>
      </w:r>
      <w:r w:rsidR="00D65D84">
        <w:t xml:space="preserve">  </w:t>
      </w:r>
    </w:p>
    <w:p w14:paraId="4F126443" w14:textId="77777777" w:rsidR="0085393A" w:rsidRDefault="0085393A" w:rsidP="00455140">
      <w:pPr>
        <w:pStyle w:val="Normal1"/>
        <w:spacing w:line="240" w:lineRule="auto"/>
        <w:ind w:left="864"/>
        <w:jc w:val="both"/>
      </w:pPr>
    </w:p>
    <w:p w14:paraId="19593822" w14:textId="2B0A045C" w:rsidR="009A5680" w:rsidRDefault="0085393A" w:rsidP="0085393A">
      <w:pPr>
        <w:pStyle w:val="Normal1"/>
        <w:spacing w:line="240" w:lineRule="auto"/>
        <w:ind w:left="432"/>
        <w:jc w:val="both"/>
      </w:pPr>
      <w:r>
        <w:t xml:space="preserve">For the remainder of the PIP-II Project, </w:t>
      </w:r>
      <w:r w:rsidR="003563F4">
        <w:t xml:space="preserve">the </w:t>
      </w:r>
      <w:r w:rsidR="00CA1747">
        <w:t xml:space="preserve">CF System </w:t>
      </w:r>
      <w:r w:rsidR="003563F4">
        <w:t>L2 Manager</w:t>
      </w:r>
      <w:r w:rsidR="00CA1747">
        <w:t xml:space="preserve"> (L2M)</w:t>
      </w:r>
      <w:r w:rsidR="00045A78">
        <w:t xml:space="preserve"> </w:t>
      </w:r>
      <w:r>
        <w:t xml:space="preserve">will </w:t>
      </w:r>
      <w:r w:rsidR="00A30BAD">
        <w:t>maintain a CF-specific</w:t>
      </w:r>
      <w:r w:rsidR="00045A78">
        <w:t xml:space="preserve"> </w:t>
      </w:r>
      <w:r>
        <w:t>VE opportunities log</w:t>
      </w:r>
      <w:r w:rsidR="00045A78">
        <w:t xml:space="preserve"> within the </w:t>
      </w:r>
      <w:r w:rsidRPr="00325C54">
        <w:rPr>
          <w:i/>
        </w:rPr>
        <w:t>PIP-II VE Opportunity Tracking Sheet</w:t>
      </w:r>
      <w:r>
        <w:t xml:space="preserve"> </w:t>
      </w:r>
      <w:r w:rsidR="00045A78">
        <w:t xml:space="preserve">to maintain </w:t>
      </w:r>
      <w:r>
        <w:t>the ongoing process</w:t>
      </w:r>
      <w:r w:rsidR="00045A78">
        <w:t xml:space="preserve"> previously established</w:t>
      </w:r>
      <w:r w:rsidR="0053646C">
        <w:t xml:space="preserve"> at the workshop and prescribed in this document</w:t>
      </w:r>
      <w:r w:rsidR="00045A78">
        <w:t xml:space="preserve">.  </w:t>
      </w:r>
      <w:r w:rsidR="00235077">
        <w:t>Figure 1</w:t>
      </w:r>
      <w:r w:rsidR="003925FA">
        <w:t xml:space="preserve"> below </w:t>
      </w:r>
      <w:r w:rsidR="00045A78">
        <w:t>is a</w:t>
      </w:r>
      <w:r w:rsidR="003925FA">
        <w:t xml:space="preserve">n image </w:t>
      </w:r>
      <w:r w:rsidR="00045A78">
        <w:t xml:space="preserve">of the CF VE Opportunity tracking list included as </w:t>
      </w:r>
      <w:r>
        <w:t>a separate sheet for CF</w:t>
      </w:r>
      <w:r w:rsidR="00045A78">
        <w:t xml:space="preserve"> of the overall </w:t>
      </w:r>
      <w:r w:rsidR="00045A78" w:rsidRPr="00325C54">
        <w:rPr>
          <w:i/>
        </w:rPr>
        <w:t>PIP-II VE Opportunity Tracking Sheet</w:t>
      </w:r>
      <w:r w:rsidR="00045A78">
        <w:t>.</w:t>
      </w:r>
    </w:p>
    <w:p w14:paraId="4495C63F" w14:textId="40E338E0" w:rsidR="00045A78" w:rsidRDefault="00045A78" w:rsidP="00272C5D">
      <w:pPr>
        <w:pStyle w:val="Normal1"/>
        <w:spacing w:line="240" w:lineRule="auto"/>
        <w:ind w:left="274"/>
        <w:jc w:val="both"/>
      </w:pPr>
    </w:p>
    <w:p w14:paraId="6809C8FB" w14:textId="64322CFF" w:rsidR="00045A78" w:rsidRDefault="00045A78" w:rsidP="00045A78">
      <w:pPr>
        <w:pStyle w:val="Normal1"/>
        <w:spacing w:line="240" w:lineRule="auto"/>
        <w:ind w:left="274"/>
        <w:jc w:val="center"/>
      </w:pPr>
      <w:r>
        <w:rPr>
          <w:noProof/>
        </w:rPr>
        <w:drawing>
          <wp:inline distT="0" distB="0" distL="0" distR="0" wp14:anchorId="73F51072" wp14:editId="6D3B94BF">
            <wp:extent cx="6400800" cy="2252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2252345"/>
                    </a:xfrm>
                    <a:prstGeom prst="rect">
                      <a:avLst/>
                    </a:prstGeom>
                  </pic:spPr>
                </pic:pic>
              </a:graphicData>
            </a:graphic>
          </wp:inline>
        </w:drawing>
      </w:r>
    </w:p>
    <w:p w14:paraId="3533E8DC" w14:textId="77777777" w:rsidR="00045A78" w:rsidRDefault="00045A78" w:rsidP="00045A78">
      <w:pPr>
        <w:pStyle w:val="Normal1"/>
        <w:spacing w:line="240" w:lineRule="auto"/>
        <w:ind w:left="274"/>
        <w:jc w:val="center"/>
        <w:rPr>
          <w:sz w:val="20"/>
        </w:rPr>
      </w:pPr>
    </w:p>
    <w:p w14:paraId="56A6E64C" w14:textId="6FBD9EC0" w:rsidR="00045A78" w:rsidRPr="00045A78" w:rsidRDefault="00235077" w:rsidP="00045A78">
      <w:pPr>
        <w:pStyle w:val="Normal1"/>
        <w:spacing w:line="240" w:lineRule="auto"/>
        <w:ind w:left="274"/>
        <w:jc w:val="center"/>
        <w:rPr>
          <w:sz w:val="20"/>
        </w:rPr>
      </w:pPr>
      <w:r>
        <w:rPr>
          <w:sz w:val="20"/>
        </w:rPr>
        <w:t>Figure</w:t>
      </w:r>
      <w:r w:rsidR="003925FA">
        <w:rPr>
          <w:sz w:val="20"/>
        </w:rPr>
        <w:t xml:space="preserve"> 1:  </w:t>
      </w:r>
      <w:r w:rsidR="00045A78">
        <w:rPr>
          <w:sz w:val="20"/>
        </w:rPr>
        <w:t>CF VE Opportunity tracking list.</w:t>
      </w:r>
    </w:p>
    <w:p w14:paraId="6A7EC228" w14:textId="77777777" w:rsidR="00045A78" w:rsidRDefault="00045A78" w:rsidP="00272C5D">
      <w:pPr>
        <w:pStyle w:val="Normal1"/>
        <w:spacing w:line="240" w:lineRule="auto"/>
        <w:ind w:left="274"/>
        <w:jc w:val="both"/>
      </w:pPr>
    </w:p>
    <w:p w14:paraId="2547598A" w14:textId="1095A5A8" w:rsidR="00B8602D" w:rsidRPr="002D72C2" w:rsidRDefault="00A41608" w:rsidP="00A41608">
      <w:pPr>
        <w:pStyle w:val="Normal1"/>
        <w:spacing w:line="240" w:lineRule="auto"/>
        <w:ind w:left="274"/>
        <w:jc w:val="both"/>
      </w:pPr>
      <w:r>
        <w:t xml:space="preserve">As </w:t>
      </w:r>
      <w:r w:rsidR="0097663D">
        <w:t>new opportunities</w:t>
      </w:r>
      <w:r>
        <w:t xml:space="preserve"> arise through the design process, </w:t>
      </w:r>
      <w:r w:rsidR="0097663D">
        <w:t>they will be</w:t>
      </w:r>
      <w:r>
        <w:t xml:space="preserve"> </w:t>
      </w:r>
      <w:r w:rsidR="00F43057">
        <w:t>included in th</w:t>
      </w:r>
      <w:r w:rsidR="002B39F9">
        <w:t>e</w:t>
      </w:r>
      <w:r w:rsidR="00F43057">
        <w:t xml:space="preserve"> tracking sheet</w:t>
      </w:r>
      <w:r w:rsidR="0097663D">
        <w:t xml:space="preserve"> and evaluated on an ad-hoc basis</w:t>
      </w:r>
      <w:r>
        <w:t>.</w:t>
      </w:r>
    </w:p>
    <w:p w14:paraId="3D42BBA1" w14:textId="0D29CEA7" w:rsidR="002D72C2" w:rsidRDefault="00A41608" w:rsidP="002D72C2">
      <w:pPr>
        <w:pStyle w:val="Heading1"/>
      </w:pPr>
      <w:bookmarkStart w:id="6" w:name="_Toc535999636"/>
      <w:r>
        <w:t>VE Workshops for Technical Systems</w:t>
      </w:r>
      <w:bookmarkEnd w:id="6"/>
    </w:p>
    <w:p w14:paraId="095CEE3F" w14:textId="4D7DB195" w:rsidR="009A5680" w:rsidRDefault="00C16CD2" w:rsidP="00A41608">
      <w:pPr>
        <w:pStyle w:val="NotesBody11pt"/>
        <w:spacing w:line="240" w:lineRule="auto"/>
        <w:ind w:left="360"/>
        <w:rPr>
          <w:color w:val="000000" w:themeColor="text1"/>
        </w:rPr>
      </w:pPr>
      <w:r>
        <w:rPr>
          <w:color w:val="000000" w:themeColor="text1"/>
        </w:rPr>
        <w:t>The</w:t>
      </w:r>
      <w:r w:rsidR="00A41608">
        <w:rPr>
          <w:color w:val="000000" w:themeColor="text1"/>
        </w:rPr>
        <w:t xml:space="preserve"> four</w:t>
      </w:r>
      <w:r w:rsidR="00A6123C">
        <w:rPr>
          <w:color w:val="000000" w:themeColor="text1"/>
        </w:rPr>
        <w:t xml:space="preserve"> technical</w:t>
      </w:r>
      <w:r w:rsidR="00A41608">
        <w:rPr>
          <w:color w:val="000000" w:themeColor="text1"/>
        </w:rPr>
        <w:t xml:space="preserve"> L2 Systems will </w:t>
      </w:r>
      <w:r>
        <w:rPr>
          <w:color w:val="000000" w:themeColor="text1"/>
        </w:rPr>
        <w:t xml:space="preserve">each </w:t>
      </w:r>
      <w:r w:rsidR="00A41608">
        <w:rPr>
          <w:color w:val="000000" w:themeColor="text1"/>
        </w:rPr>
        <w:t>perform a VE workshop that evaluates L3</w:t>
      </w:r>
      <w:r>
        <w:rPr>
          <w:color w:val="000000" w:themeColor="text1"/>
        </w:rPr>
        <w:t>/4</w:t>
      </w:r>
      <w:r w:rsidR="00A41608">
        <w:rPr>
          <w:color w:val="000000" w:themeColor="text1"/>
        </w:rPr>
        <w:t xml:space="preserve"> sub-systems with </w:t>
      </w:r>
      <w:r w:rsidR="00872D18">
        <w:rPr>
          <w:color w:val="000000" w:themeColor="text1"/>
        </w:rPr>
        <w:t>estimated</w:t>
      </w:r>
      <w:r w:rsidR="00A41608">
        <w:rPr>
          <w:color w:val="000000" w:themeColor="text1"/>
        </w:rPr>
        <w:t xml:space="preserve"> cost</w:t>
      </w:r>
      <w:r w:rsidR="00CA35D2">
        <w:rPr>
          <w:color w:val="000000" w:themeColor="text1"/>
        </w:rPr>
        <w:t xml:space="preserve">s exceeding </w:t>
      </w:r>
      <w:r w:rsidR="00A41608">
        <w:rPr>
          <w:color w:val="000000" w:themeColor="text1"/>
        </w:rPr>
        <w:t xml:space="preserve">$10M.  The list of </w:t>
      </w:r>
      <w:r>
        <w:rPr>
          <w:color w:val="000000" w:themeColor="text1"/>
        </w:rPr>
        <w:t>sub-systems</w:t>
      </w:r>
      <w:r w:rsidR="00872D18">
        <w:rPr>
          <w:color w:val="000000" w:themeColor="text1"/>
        </w:rPr>
        <w:t xml:space="preserve"> above this cost threshold</w:t>
      </w:r>
      <w:r>
        <w:rPr>
          <w:color w:val="000000" w:themeColor="text1"/>
        </w:rPr>
        <w:t xml:space="preserve"> is included in Table</w:t>
      </w:r>
      <w:r w:rsidR="003925FA">
        <w:rPr>
          <w:color w:val="000000" w:themeColor="text1"/>
        </w:rPr>
        <w:t xml:space="preserve"> </w:t>
      </w:r>
      <w:r w:rsidR="007923D4">
        <w:rPr>
          <w:color w:val="000000" w:themeColor="text1"/>
        </w:rPr>
        <w:t>1</w:t>
      </w:r>
      <w:r>
        <w:rPr>
          <w:color w:val="000000" w:themeColor="text1"/>
        </w:rPr>
        <w:t xml:space="preserve"> below.</w:t>
      </w:r>
    </w:p>
    <w:p w14:paraId="7AE1E04C" w14:textId="12E481D6" w:rsidR="00B510A5" w:rsidRDefault="00B510A5" w:rsidP="00A41608">
      <w:pPr>
        <w:pStyle w:val="NotesBody11pt"/>
        <w:spacing w:line="240" w:lineRule="auto"/>
        <w:ind w:left="360"/>
        <w:rPr>
          <w:color w:val="000000" w:themeColor="text1"/>
        </w:rPr>
      </w:pPr>
    </w:p>
    <w:p w14:paraId="6AEBE598" w14:textId="77777777" w:rsidR="007923D4" w:rsidRDefault="007923D4" w:rsidP="007923D4">
      <w:pPr>
        <w:pStyle w:val="NotesBody11pt"/>
        <w:spacing w:line="240" w:lineRule="auto"/>
        <w:ind w:left="360"/>
        <w:jc w:val="center"/>
        <w:rPr>
          <w:color w:val="000000" w:themeColor="text1"/>
        </w:rPr>
      </w:pPr>
      <w:r>
        <w:rPr>
          <w:color w:val="000000" w:themeColor="text1"/>
        </w:rPr>
        <w:t>Table 2:  L2 Systems and L3/4 sub-systems subject to VE Workshop evaluation.</w:t>
      </w:r>
    </w:p>
    <w:p w14:paraId="237DD4CF" w14:textId="2D59BDE0" w:rsidR="00C16CD2" w:rsidRDefault="00C16CD2" w:rsidP="00A41608">
      <w:pPr>
        <w:pStyle w:val="NotesBody11pt"/>
        <w:spacing w:line="240" w:lineRule="auto"/>
        <w:ind w:left="360"/>
        <w:rPr>
          <w:color w:val="000000" w:themeColor="text1"/>
        </w:rPr>
      </w:pPr>
    </w:p>
    <w:tbl>
      <w:tblPr>
        <w:tblStyle w:val="TableGrid"/>
        <w:tblW w:w="0" w:type="auto"/>
        <w:tblInd w:w="360" w:type="dxa"/>
        <w:tblLook w:val="04A0" w:firstRow="1" w:lastRow="0" w:firstColumn="1" w:lastColumn="0" w:noHBand="0" w:noVBand="1"/>
      </w:tblPr>
      <w:tblGrid>
        <w:gridCol w:w="2441"/>
        <w:gridCol w:w="2426"/>
        <w:gridCol w:w="2415"/>
        <w:gridCol w:w="2428"/>
      </w:tblGrid>
      <w:tr w:rsidR="00C16CD2" w14:paraId="042956C0" w14:textId="77777777" w:rsidTr="00C16CD2">
        <w:tc>
          <w:tcPr>
            <w:tcW w:w="2441" w:type="dxa"/>
          </w:tcPr>
          <w:p w14:paraId="6A7145B5" w14:textId="56789F3B" w:rsidR="00C16CD2" w:rsidRPr="00C16CD2" w:rsidRDefault="00C16CD2" w:rsidP="00A41608">
            <w:pPr>
              <w:pStyle w:val="NotesBody11pt"/>
              <w:spacing w:line="240" w:lineRule="auto"/>
              <w:rPr>
                <w:b/>
                <w:color w:val="000000" w:themeColor="text1"/>
                <w:sz w:val="18"/>
                <w:u w:val="single"/>
              </w:rPr>
            </w:pPr>
            <w:r w:rsidRPr="00C16CD2">
              <w:rPr>
                <w:b/>
                <w:color w:val="000000" w:themeColor="text1"/>
                <w:sz w:val="18"/>
                <w:u w:val="single"/>
              </w:rPr>
              <w:t xml:space="preserve">121.02 SRF and </w:t>
            </w:r>
            <w:proofErr w:type="spellStart"/>
            <w:r w:rsidRPr="00C16CD2">
              <w:rPr>
                <w:b/>
                <w:color w:val="000000" w:themeColor="text1"/>
                <w:sz w:val="18"/>
                <w:u w:val="single"/>
              </w:rPr>
              <w:t>Cryo</w:t>
            </w:r>
            <w:proofErr w:type="spellEnd"/>
          </w:p>
        </w:tc>
        <w:tc>
          <w:tcPr>
            <w:tcW w:w="2426" w:type="dxa"/>
          </w:tcPr>
          <w:p w14:paraId="168C2A71" w14:textId="71993C5D" w:rsidR="00C16CD2" w:rsidRPr="00C16CD2" w:rsidRDefault="00C16CD2" w:rsidP="00A41608">
            <w:pPr>
              <w:pStyle w:val="NotesBody11pt"/>
              <w:spacing w:line="240" w:lineRule="auto"/>
              <w:rPr>
                <w:b/>
                <w:color w:val="000000" w:themeColor="text1"/>
                <w:sz w:val="18"/>
                <w:u w:val="single"/>
              </w:rPr>
            </w:pPr>
            <w:r w:rsidRPr="00C16CD2">
              <w:rPr>
                <w:b/>
                <w:color w:val="000000" w:themeColor="text1"/>
                <w:sz w:val="18"/>
                <w:u w:val="single"/>
              </w:rPr>
              <w:t>121.03 Accel. Systems</w:t>
            </w:r>
          </w:p>
        </w:tc>
        <w:tc>
          <w:tcPr>
            <w:tcW w:w="2415" w:type="dxa"/>
          </w:tcPr>
          <w:p w14:paraId="1A44E3EE" w14:textId="54500C9E" w:rsidR="00C16CD2" w:rsidRPr="00C16CD2" w:rsidRDefault="00C16CD2" w:rsidP="00A41608">
            <w:pPr>
              <w:pStyle w:val="NotesBody11pt"/>
              <w:spacing w:line="240" w:lineRule="auto"/>
              <w:rPr>
                <w:b/>
                <w:color w:val="000000" w:themeColor="text1"/>
                <w:sz w:val="18"/>
                <w:u w:val="single"/>
              </w:rPr>
            </w:pPr>
            <w:r w:rsidRPr="00C16CD2">
              <w:rPr>
                <w:b/>
                <w:color w:val="000000" w:themeColor="text1"/>
                <w:sz w:val="18"/>
                <w:u w:val="single"/>
              </w:rPr>
              <w:t xml:space="preserve">121.04 </w:t>
            </w:r>
            <w:proofErr w:type="spellStart"/>
            <w:r w:rsidRPr="00C16CD2">
              <w:rPr>
                <w:b/>
                <w:color w:val="000000" w:themeColor="text1"/>
                <w:sz w:val="18"/>
                <w:u w:val="single"/>
              </w:rPr>
              <w:t>Instal</w:t>
            </w:r>
            <w:proofErr w:type="spellEnd"/>
            <w:r w:rsidRPr="00C16CD2">
              <w:rPr>
                <w:b/>
                <w:color w:val="000000" w:themeColor="text1"/>
                <w:sz w:val="18"/>
                <w:u w:val="single"/>
              </w:rPr>
              <w:t>. and Comm.</w:t>
            </w:r>
          </w:p>
        </w:tc>
        <w:tc>
          <w:tcPr>
            <w:tcW w:w="2428" w:type="dxa"/>
          </w:tcPr>
          <w:p w14:paraId="5FE8E1BF" w14:textId="7AD03B2F" w:rsidR="00C16CD2" w:rsidRPr="00C16CD2" w:rsidRDefault="00C16CD2" w:rsidP="00A41608">
            <w:pPr>
              <w:pStyle w:val="NotesBody11pt"/>
              <w:spacing w:line="240" w:lineRule="auto"/>
              <w:rPr>
                <w:b/>
                <w:color w:val="000000" w:themeColor="text1"/>
                <w:sz w:val="18"/>
                <w:u w:val="single"/>
              </w:rPr>
            </w:pPr>
            <w:r w:rsidRPr="00C16CD2">
              <w:rPr>
                <w:b/>
                <w:color w:val="000000" w:themeColor="text1"/>
                <w:sz w:val="18"/>
                <w:u w:val="single"/>
              </w:rPr>
              <w:t>121.05 Accel Upgrades</w:t>
            </w:r>
          </w:p>
        </w:tc>
      </w:tr>
      <w:tr w:rsidR="00C16CD2" w14:paraId="4E1F2E18" w14:textId="77777777" w:rsidTr="00C16CD2">
        <w:tc>
          <w:tcPr>
            <w:tcW w:w="2441" w:type="dxa"/>
          </w:tcPr>
          <w:p w14:paraId="40F1A89D" w14:textId="18E4E604" w:rsidR="00C16CD2" w:rsidRPr="00C16CD2" w:rsidRDefault="00C16CD2" w:rsidP="00A41608">
            <w:pPr>
              <w:pStyle w:val="NotesBody11pt"/>
              <w:spacing w:line="240" w:lineRule="auto"/>
              <w:rPr>
                <w:color w:val="000000" w:themeColor="text1"/>
                <w:sz w:val="18"/>
              </w:rPr>
            </w:pPr>
            <w:r>
              <w:rPr>
                <w:color w:val="000000" w:themeColor="text1"/>
                <w:sz w:val="18"/>
              </w:rPr>
              <w:t>121.02.03.02 SSR1</w:t>
            </w:r>
          </w:p>
        </w:tc>
        <w:tc>
          <w:tcPr>
            <w:tcW w:w="2426" w:type="dxa"/>
          </w:tcPr>
          <w:p w14:paraId="11DE76F7" w14:textId="70F7BABA" w:rsidR="00C16CD2" w:rsidRPr="00C16CD2" w:rsidRDefault="00C16CD2" w:rsidP="00A41608">
            <w:pPr>
              <w:pStyle w:val="NotesBody11pt"/>
              <w:spacing w:line="240" w:lineRule="auto"/>
              <w:rPr>
                <w:color w:val="000000" w:themeColor="text1"/>
                <w:sz w:val="18"/>
              </w:rPr>
            </w:pPr>
            <w:r>
              <w:rPr>
                <w:color w:val="000000" w:themeColor="text1"/>
                <w:sz w:val="18"/>
              </w:rPr>
              <w:t xml:space="preserve">121.03.03 HPRF-RF </w:t>
            </w:r>
            <w:proofErr w:type="spellStart"/>
            <w:r>
              <w:rPr>
                <w:color w:val="000000" w:themeColor="text1"/>
                <w:sz w:val="18"/>
              </w:rPr>
              <w:t>Dist</w:t>
            </w:r>
            <w:proofErr w:type="spellEnd"/>
          </w:p>
        </w:tc>
        <w:tc>
          <w:tcPr>
            <w:tcW w:w="2415" w:type="dxa"/>
          </w:tcPr>
          <w:p w14:paraId="1E8692BC" w14:textId="56C87497" w:rsidR="00C16CD2" w:rsidRPr="00C16CD2" w:rsidRDefault="00C16CD2" w:rsidP="00A41608">
            <w:pPr>
              <w:pStyle w:val="NotesBody11pt"/>
              <w:spacing w:line="240" w:lineRule="auto"/>
              <w:rPr>
                <w:color w:val="000000" w:themeColor="text1"/>
                <w:sz w:val="18"/>
              </w:rPr>
            </w:pPr>
            <w:r>
              <w:rPr>
                <w:color w:val="000000" w:themeColor="text1"/>
                <w:sz w:val="18"/>
              </w:rPr>
              <w:t>121.04.04</w:t>
            </w:r>
            <w:r w:rsidR="00927027">
              <w:rPr>
                <w:color w:val="000000" w:themeColor="text1"/>
                <w:sz w:val="18"/>
              </w:rPr>
              <w:t xml:space="preserve"> Bldg. Infra.</w:t>
            </w:r>
          </w:p>
        </w:tc>
        <w:tc>
          <w:tcPr>
            <w:tcW w:w="2428" w:type="dxa"/>
          </w:tcPr>
          <w:p w14:paraId="2BB80832" w14:textId="74DA3975" w:rsidR="00C16CD2" w:rsidRPr="00C16CD2" w:rsidRDefault="00927027" w:rsidP="00A41608">
            <w:pPr>
              <w:pStyle w:val="NotesBody11pt"/>
              <w:spacing w:line="240" w:lineRule="auto"/>
              <w:rPr>
                <w:color w:val="000000" w:themeColor="text1"/>
                <w:sz w:val="18"/>
              </w:rPr>
            </w:pPr>
            <w:r>
              <w:rPr>
                <w:color w:val="000000" w:themeColor="text1"/>
                <w:sz w:val="18"/>
              </w:rPr>
              <w:t>121.05.04 Booster</w:t>
            </w:r>
          </w:p>
        </w:tc>
      </w:tr>
      <w:tr w:rsidR="00C16CD2" w14:paraId="4D807B4A" w14:textId="77777777" w:rsidTr="00C16CD2">
        <w:tc>
          <w:tcPr>
            <w:tcW w:w="2441" w:type="dxa"/>
          </w:tcPr>
          <w:p w14:paraId="1D3836F2" w14:textId="6BCF2A6B" w:rsidR="00C16CD2" w:rsidRPr="00C16CD2" w:rsidRDefault="00C16CD2" w:rsidP="00C16CD2">
            <w:pPr>
              <w:pStyle w:val="NotesBody11pt"/>
              <w:spacing w:line="240" w:lineRule="auto"/>
              <w:rPr>
                <w:color w:val="000000" w:themeColor="text1"/>
                <w:sz w:val="18"/>
              </w:rPr>
            </w:pPr>
            <w:r>
              <w:rPr>
                <w:color w:val="000000" w:themeColor="text1"/>
                <w:sz w:val="18"/>
              </w:rPr>
              <w:t>121.02.03.03 SSR2</w:t>
            </w:r>
          </w:p>
        </w:tc>
        <w:tc>
          <w:tcPr>
            <w:tcW w:w="2426" w:type="dxa"/>
          </w:tcPr>
          <w:p w14:paraId="10A0AECB" w14:textId="480D0B25" w:rsidR="00C16CD2" w:rsidRPr="00C16CD2" w:rsidRDefault="00C16CD2" w:rsidP="00C16CD2">
            <w:pPr>
              <w:pStyle w:val="NotesBody11pt"/>
              <w:spacing w:line="240" w:lineRule="auto"/>
              <w:rPr>
                <w:color w:val="000000" w:themeColor="text1"/>
                <w:sz w:val="18"/>
              </w:rPr>
            </w:pPr>
            <w:r>
              <w:rPr>
                <w:color w:val="000000" w:themeColor="text1"/>
                <w:sz w:val="18"/>
              </w:rPr>
              <w:t>121.03.04 LLRF</w:t>
            </w:r>
          </w:p>
        </w:tc>
        <w:tc>
          <w:tcPr>
            <w:tcW w:w="2415" w:type="dxa"/>
          </w:tcPr>
          <w:p w14:paraId="7F5E6328" w14:textId="39A3D512" w:rsidR="00C16CD2" w:rsidRPr="00C16CD2" w:rsidRDefault="00C16CD2" w:rsidP="00C16CD2">
            <w:pPr>
              <w:pStyle w:val="NotesBody11pt"/>
              <w:spacing w:line="240" w:lineRule="auto"/>
              <w:rPr>
                <w:color w:val="000000" w:themeColor="text1"/>
                <w:sz w:val="18"/>
              </w:rPr>
            </w:pPr>
            <w:r>
              <w:rPr>
                <w:color w:val="000000" w:themeColor="text1"/>
                <w:sz w:val="18"/>
              </w:rPr>
              <w:t>121.04.05</w:t>
            </w:r>
            <w:r w:rsidR="00927027">
              <w:rPr>
                <w:color w:val="000000" w:themeColor="text1"/>
                <w:sz w:val="18"/>
              </w:rPr>
              <w:t xml:space="preserve"> </w:t>
            </w:r>
            <w:proofErr w:type="spellStart"/>
            <w:r w:rsidR="00927027">
              <w:rPr>
                <w:color w:val="000000" w:themeColor="text1"/>
                <w:sz w:val="18"/>
              </w:rPr>
              <w:t>Linac</w:t>
            </w:r>
            <w:proofErr w:type="spellEnd"/>
            <w:r w:rsidR="00927027">
              <w:rPr>
                <w:color w:val="000000" w:themeColor="text1"/>
                <w:sz w:val="18"/>
              </w:rPr>
              <w:t xml:space="preserve"> Install.</w:t>
            </w:r>
          </w:p>
        </w:tc>
        <w:tc>
          <w:tcPr>
            <w:tcW w:w="2428" w:type="dxa"/>
          </w:tcPr>
          <w:p w14:paraId="630EE553" w14:textId="20E5F24B" w:rsidR="00C16CD2" w:rsidRPr="00C16CD2" w:rsidRDefault="00927027" w:rsidP="00C16CD2">
            <w:pPr>
              <w:pStyle w:val="NotesBody11pt"/>
              <w:spacing w:line="240" w:lineRule="auto"/>
              <w:rPr>
                <w:color w:val="000000" w:themeColor="text1"/>
                <w:sz w:val="18"/>
              </w:rPr>
            </w:pPr>
            <w:r>
              <w:rPr>
                <w:color w:val="000000" w:themeColor="text1"/>
                <w:sz w:val="18"/>
              </w:rPr>
              <w:t>121.05.05 MIRR</w:t>
            </w:r>
          </w:p>
        </w:tc>
      </w:tr>
      <w:tr w:rsidR="00C16CD2" w14:paraId="2FDD65C8" w14:textId="77777777" w:rsidTr="00C16CD2">
        <w:tc>
          <w:tcPr>
            <w:tcW w:w="2441" w:type="dxa"/>
          </w:tcPr>
          <w:p w14:paraId="5506B36D" w14:textId="518B3616" w:rsidR="00C16CD2" w:rsidRPr="00C16CD2" w:rsidRDefault="00C16CD2" w:rsidP="00C16CD2">
            <w:pPr>
              <w:pStyle w:val="NotesBody11pt"/>
              <w:spacing w:line="240" w:lineRule="auto"/>
              <w:rPr>
                <w:color w:val="000000" w:themeColor="text1"/>
                <w:sz w:val="18"/>
              </w:rPr>
            </w:pPr>
            <w:r>
              <w:rPr>
                <w:color w:val="000000" w:themeColor="text1"/>
                <w:sz w:val="18"/>
              </w:rPr>
              <w:t>121.02.04.02 LB650</w:t>
            </w:r>
          </w:p>
        </w:tc>
        <w:tc>
          <w:tcPr>
            <w:tcW w:w="2426" w:type="dxa"/>
          </w:tcPr>
          <w:p w14:paraId="7D1E4BDD" w14:textId="3DA0FC38" w:rsidR="00C16CD2" w:rsidRPr="00C16CD2" w:rsidRDefault="00C16CD2" w:rsidP="00C16CD2">
            <w:pPr>
              <w:pStyle w:val="NotesBody11pt"/>
              <w:spacing w:line="240" w:lineRule="auto"/>
              <w:rPr>
                <w:color w:val="000000" w:themeColor="text1"/>
                <w:sz w:val="18"/>
              </w:rPr>
            </w:pPr>
            <w:r>
              <w:rPr>
                <w:color w:val="000000" w:themeColor="text1"/>
                <w:sz w:val="18"/>
              </w:rPr>
              <w:t>121.03.05 Mag &amp; PS</w:t>
            </w:r>
          </w:p>
        </w:tc>
        <w:tc>
          <w:tcPr>
            <w:tcW w:w="2415" w:type="dxa"/>
          </w:tcPr>
          <w:p w14:paraId="0E515360" w14:textId="0BEC1B45" w:rsidR="00C16CD2" w:rsidRPr="00C16CD2" w:rsidRDefault="00C16CD2" w:rsidP="00C16CD2">
            <w:pPr>
              <w:pStyle w:val="NotesBody11pt"/>
              <w:spacing w:line="240" w:lineRule="auto"/>
              <w:rPr>
                <w:color w:val="000000" w:themeColor="text1"/>
                <w:sz w:val="18"/>
              </w:rPr>
            </w:pPr>
          </w:p>
        </w:tc>
        <w:tc>
          <w:tcPr>
            <w:tcW w:w="2428" w:type="dxa"/>
          </w:tcPr>
          <w:p w14:paraId="60F8478A" w14:textId="77777777" w:rsidR="00C16CD2" w:rsidRPr="00C16CD2" w:rsidRDefault="00C16CD2" w:rsidP="00C16CD2">
            <w:pPr>
              <w:pStyle w:val="NotesBody11pt"/>
              <w:spacing w:line="240" w:lineRule="auto"/>
              <w:rPr>
                <w:color w:val="000000" w:themeColor="text1"/>
                <w:sz w:val="18"/>
              </w:rPr>
            </w:pPr>
          </w:p>
        </w:tc>
      </w:tr>
      <w:tr w:rsidR="00C16CD2" w14:paraId="50B23B31" w14:textId="77777777" w:rsidTr="00C16CD2">
        <w:tc>
          <w:tcPr>
            <w:tcW w:w="2441" w:type="dxa"/>
          </w:tcPr>
          <w:p w14:paraId="5B966BAB" w14:textId="1DB70FDE" w:rsidR="00C16CD2" w:rsidRPr="00C16CD2" w:rsidRDefault="00C16CD2" w:rsidP="00C16CD2">
            <w:pPr>
              <w:pStyle w:val="NotesBody11pt"/>
              <w:spacing w:line="240" w:lineRule="auto"/>
              <w:rPr>
                <w:color w:val="000000" w:themeColor="text1"/>
                <w:sz w:val="18"/>
              </w:rPr>
            </w:pPr>
            <w:r>
              <w:rPr>
                <w:color w:val="000000" w:themeColor="text1"/>
                <w:sz w:val="18"/>
              </w:rPr>
              <w:t>121.02.04.03 HB650</w:t>
            </w:r>
          </w:p>
        </w:tc>
        <w:tc>
          <w:tcPr>
            <w:tcW w:w="2426" w:type="dxa"/>
          </w:tcPr>
          <w:p w14:paraId="34AD59EF" w14:textId="7F9EA335" w:rsidR="00C16CD2" w:rsidRPr="00C16CD2" w:rsidRDefault="00C16CD2" w:rsidP="00C16CD2">
            <w:pPr>
              <w:pStyle w:val="NotesBody11pt"/>
              <w:spacing w:line="240" w:lineRule="auto"/>
              <w:rPr>
                <w:color w:val="000000" w:themeColor="text1"/>
                <w:sz w:val="18"/>
              </w:rPr>
            </w:pPr>
            <w:r>
              <w:rPr>
                <w:color w:val="000000" w:themeColor="text1"/>
                <w:sz w:val="18"/>
              </w:rPr>
              <w:t>121.03.06 Vacuum</w:t>
            </w:r>
          </w:p>
        </w:tc>
        <w:tc>
          <w:tcPr>
            <w:tcW w:w="2415" w:type="dxa"/>
          </w:tcPr>
          <w:p w14:paraId="7960055B" w14:textId="77777777" w:rsidR="00C16CD2" w:rsidRPr="00C16CD2" w:rsidRDefault="00C16CD2" w:rsidP="00C16CD2">
            <w:pPr>
              <w:pStyle w:val="NotesBody11pt"/>
              <w:spacing w:line="240" w:lineRule="auto"/>
              <w:rPr>
                <w:color w:val="000000" w:themeColor="text1"/>
                <w:sz w:val="18"/>
              </w:rPr>
            </w:pPr>
          </w:p>
        </w:tc>
        <w:tc>
          <w:tcPr>
            <w:tcW w:w="2428" w:type="dxa"/>
          </w:tcPr>
          <w:p w14:paraId="73BA6499" w14:textId="77777777" w:rsidR="00C16CD2" w:rsidRPr="00C16CD2" w:rsidRDefault="00C16CD2" w:rsidP="00C16CD2">
            <w:pPr>
              <w:pStyle w:val="NotesBody11pt"/>
              <w:spacing w:line="240" w:lineRule="auto"/>
              <w:rPr>
                <w:color w:val="000000" w:themeColor="text1"/>
                <w:sz w:val="18"/>
              </w:rPr>
            </w:pPr>
          </w:p>
        </w:tc>
      </w:tr>
      <w:tr w:rsidR="00C16CD2" w14:paraId="5DCA4FB0" w14:textId="77777777" w:rsidTr="00C16CD2">
        <w:tc>
          <w:tcPr>
            <w:tcW w:w="2441" w:type="dxa"/>
          </w:tcPr>
          <w:p w14:paraId="60959925" w14:textId="497D6B34" w:rsidR="00C16CD2" w:rsidRPr="00C16CD2" w:rsidRDefault="00C16CD2" w:rsidP="00C16CD2">
            <w:pPr>
              <w:pStyle w:val="NotesBody11pt"/>
              <w:spacing w:line="240" w:lineRule="auto"/>
              <w:rPr>
                <w:color w:val="000000" w:themeColor="text1"/>
                <w:sz w:val="18"/>
              </w:rPr>
            </w:pPr>
            <w:r>
              <w:rPr>
                <w:color w:val="000000" w:themeColor="text1"/>
                <w:sz w:val="18"/>
              </w:rPr>
              <w:lastRenderedPageBreak/>
              <w:t xml:space="preserve">121.02.05 </w:t>
            </w:r>
            <w:proofErr w:type="spellStart"/>
            <w:r>
              <w:rPr>
                <w:color w:val="000000" w:themeColor="text1"/>
                <w:sz w:val="18"/>
              </w:rPr>
              <w:t>Cryo</w:t>
            </w:r>
            <w:proofErr w:type="spellEnd"/>
            <w:r>
              <w:rPr>
                <w:color w:val="000000" w:themeColor="text1"/>
                <w:sz w:val="18"/>
              </w:rPr>
              <w:t>. Plant</w:t>
            </w:r>
          </w:p>
        </w:tc>
        <w:tc>
          <w:tcPr>
            <w:tcW w:w="2426" w:type="dxa"/>
          </w:tcPr>
          <w:p w14:paraId="6621122E" w14:textId="6DFF7B07" w:rsidR="00C16CD2" w:rsidRPr="00C16CD2" w:rsidRDefault="00C16CD2" w:rsidP="00C16CD2">
            <w:pPr>
              <w:pStyle w:val="NotesBody11pt"/>
              <w:spacing w:line="240" w:lineRule="auto"/>
              <w:rPr>
                <w:color w:val="000000" w:themeColor="text1"/>
                <w:sz w:val="18"/>
              </w:rPr>
            </w:pPr>
            <w:r>
              <w:rPr>
                <w:color w:val="000000" w:themeColor="text1"/>
                <w:sz w:val="18"/>
              </w:rPr>
              <w:t>121.03.07 Controls</w:t>
            </w:r>
          </w:p>
        </w:tc>
        <w:tc>
          <w:tcPr>
            <w:tcW w:w="2415" w:type="dxa"/>
          </w:tcPr>
          <w:p w14:paraId="1DC36493" w14:textId="77777777" w:rsidR="00C16CD2" w:rsidRPr="00C16CD2" w:rsidRDefault="00C16CD2" w:rsidP="00C16CD2">
            <w:pPr>
              <w:pStyle w:val="NotesBody11pt"/>
              <w:spacing w:line="240" w:lineRule="auto"/>
              <w:rPr>
                <w:color w:val="000000" w:themeColor="text1"/>
                <w:sz w:val="18"/>
              </w:rPr>
            </w:pPr>
          </w:p>
        </w:tc>
        <w:tc>
          <w:tcPr>
            <w:tcW w:w="2428" w:type="dxa"/>
          </w:tcPr>
          <w:p w14:paraId="6BF62A86" w14:textId="77777777" w:rsidR="00C16CD2" w:rsidRPr="00C16CD2" w:rsidRDefault="00C16CD2" w:rsidP="00C16CD2">
            <w:pPr>
              <w:pStyle w:val="NotesBody11pt"/>
              <w:spacing w:line="240" w:lineRule="auto"/>
              <w:rPr>
                <w:color w:val="000000" w:themeColor="text1"/>
                <w:sz w:val="18"/>
              </w:rPr>
            </w:pPr>
          </w:p>
        </w:tc>
      </w:tr>
      <w:tr w:rsidR="00C16CD2" w14:paraId="19601C96" w14:textId="77777777" w:rsidTr="00C16CD2">
        <w:tc>
          <w:tcPr>
            <w:tcW w:w="2441" w:type="dxa"/>
          </w:tcPr>
          <w:p w14:paraId="355FFA44" w14:textId="1B02B3C7" w:rsidR="00C16CD2" w:rsidRPr="00C16CD2" w:rsidRDefault="00C16CD2" w:rsidP="00C16CD2">
            <w:pPr>
              <w:pStyle w:val="NotesBody11pt"/>
              <w:spacing w:line="240" w:lineRule="auto"/>
              <w:rPr>
                <w:color w:val="000000" w:themeColor="text1"/>
                <w:sz w:val="18"/>
              </w:rPr>
            </w:pPr>
            <w:r>
              <w:rPr>
                <w:color w:val="000000" w:themeColor="text1"/>
                <w:sz w:val="18"/>
              </w:rPr>
              <w:t>121.02.06 CDS</w:t>
            </w:r>
          </w:p>
        </w:tc>
        <w:tc>
          <w:tcPr>
            <w:tcW w:w="2426" w:type="dxa"/>
          </w:tcPr>
          <w:p w14:paraId="3E10C8B0" w14:textId="7724D48A" w:rsidR="00C16CD2" w:rsidRPr="00C16CD2" w:rsidRDefault="00C16CD2" w:rsidP="00C16CD2">
            <w:pPr>
              <w:pStyle w:val="NotesBody11pt"/>
              <w:spacing w:line="240" w:lineRule="auto"/>
              <w:rPr>
                <w:color w:val="000000" w:themeColor="text1"/>
                <w:sz w:val="18"/>
              </w:rPr>
            </w:pPr>
            <w:r>
              <w:rPr>
                <w:color w:val="000000" w:themeColor="text1"/>
                <w:sz w:val="18"/>
              </w:rPr>
              <w:t>121.03.09</w:t>
            </w:r>
            <w:r w:rsidR="00927027">
              <w:rPr>
                <w:color w:val="000000" w:themeColor="text1"/>
                <w:sz w:val="18"/>
              </w:rPr>
              <w:t xml:space="preserve"> </w:t>
            </w:r>
            <w:r>
              <w:rPr>
                <w:color w:val="000000" w:themeColor="text1"/>
                <w:sz w:val="18"/>
              </w:rPr>
              <w:t xml:space="preserve">Beam </w:t>
            </w:r>
            <w:proofErr w:type="spellStart"/>
            <w:r>
              <w:rPr>
                <w:color w:val="000000" w:themeColor="text1"/>
                <w:sz w:val="18"/>
              </w:rPr>
              <w:t>Instrum</w:t>
            </w:r>
            <w:proofErr w:type="spellEnd"/>
            <w:r>
              <w:rPr>
                <w:color w:val="000000" w:themeColor="text1"/>
                <w:sz w:val="18"/>
              </w:rPr>
              <w:t>.</w:t>
            </w:r>
          </w:p>
        </w:tc>
        <w:tc>
          <w:tcPr>
            <w:tcW w:w="2415" w:type="dxa"/>
          </w:tcPr>
          <w:p w14:paraId="24EFD471" w14:textId="77777777" w:rsidR="00C16CD2" w:rsidRPr="00C16CD2" w:rsidRDefault="00C16CD2" w:rsidP="00C16CD2">
            <w:pPr>
              <w:pStyle w:val="NotesBody11pt"/>
              <w:spacing w:line="240" w:lineRule="auto"/>
              <w:rPr>
                <w:color w:val="000000" w:themeColor="text1"/>
                <w:sz w:val="18"/>
              </w:rPr>
            </w:pPr>
          </w:p>
        </w:tc>
        <w:tc>
          <w:tcPr>
            <w:tcW w:w="2428" w:type="dxa"/>
          </w:tcPr>
          <w:p w14:paraId="1FB5B7FD" w14:textId="77777777" w:rsidR="00C16CD2" w:rsidRPr="00C16CD2" w:rsidRDefault="00C16CD2" w:rsidP="00C16CD2">
            <w:pPr>
              <w:pStyle w:val="NotesBody11pt"/>
              <w:spacing w:line="240" w:lineRule="auto"/>
              <w:rPr>
                <w:color w:val="000000" w:themeColor="text1"/>
                <w:sz w:val="18"/>
              </w:rPr>
            </w:pPr>
          </w:p>
        </w:tc>
      </w:tr>
    </w:tbl>
    <w:p w14:paraId="66D60873" w14:textId="09E24EFB" w:rsidR="00C16CD2" w:rsidRDefault="00C16CD2" w:rsidP="00A41608">
      <w:pPr>
        <w:pStyle w:val="NotesBody11pt"/>
        <w:spacing w:line="240" w:lineRule="auto"/>
        <w:ind w:left="360"/>
        <w:rPr>
          <w:color w:val="000000" w:themeColor="text1"/>
        </w:rPr>
      </w:pPr>
    </w:p>
    <w:p w14:paraId="3B7F0BF2" w14:textId="13FA18C9" w:rsidR="00927027" w:rsidRDefault="00927027" w:rsidP="00C16CD2">
      <w:pPr>
        <w:pStyle w:val="NotesBody11pt"/>
        <w:spacing w:line="240" w:lineRule="auto"/>
        <w:ind w:left="360"/>
        <w:jc w:val="center"/>
        <w:rPr>
          <w:color w:val="000000" w:themeColor="text1"/>
        </w:rPr>
      </w:pPr>
    </w:p>
    <w:p w14:paraId="1EB87F0E" w14:textId="4E3CB3AD" w:rsidR="008311EC" w:rsidRDefault="00D70C42" w:rsidP="001E5213">
      <w:pPr>
        <w:pStyle w:val="NotesBody11pt"/>
        <w:spacing w:line="240" w:lineRule="auto"/>
        <w:ind w:left="360"/>
        <w:rPr>
          <w:color w:val="000000" w:themeColor="text1"/>
        </w:rPr>
      </w:pPr>
      <w:r>
        <w:rPr>
          <w:color w:val="000000" w:themeColor="text1"/>
        </w:rPr>
        <w:t xml:space="preserve">The primary goal </w:t>
      </w:r>
      <w:r w:rsidR="00514922">
        <w:rPr>
          <w:color w:val="000000" w:themeColor="text1"/>
        </w:rPr>
        <w:t>of</w:t>
      </w:r>
      <w:r>
        <w:rPr>
          <w:color w:val="000000" w:themeColor="text1"/>
        </w:rPr>
        <w:t xml:space="preserve"> </w:t>
      </w:r>
      <w:r w:rsidR="005A7D94">
        <w:rPr>
          <w:color w:val="000000" w:themeColor="text1"/>
        </w:rPr>
        <w:t>the VE workshop</w:t>
      </w:r>
      <w:r>
        <w:rPr>
          <w:color w:val="000000" w:themeColor="text1"/>
        </w:rPr>
        <w:t xml:space="preserve"> is to generate as many VE opportunities </w:t>
      </w:r>
      <w:r w:rsidR="00D41365">
        <w:rPr>
          <w:color w:val="000000" w:themeColor="text1"/>
        </w:rPr>
        <w:t xml:space="preserve">for further consideration </w:t>
      </w:r>
      <w:r>
        <w:rPr>
          <w:color w:val="000000" w:themeColor="text1"/>
        </w:rPr>
        <w:t xml:space="preserve">as possible.  The sub-system being evaluated should be introduced sufficiently well (function, configuration, overall design, procurement strategy, etc.) to facilitate many ideas from participating PIP-II Project team members, experts, and other stakeholders.  No opportunities will be rejected or otherwise evaluated during the </w:t>
      </w:r>
      <w:r w:rsidR="00B32080">
        <w:rPr>
          <w:color w:val="000000" w:themeColor="text1"/>
        </w:rPr>
        <w:t>workshop but</w:t>
      </w:r>
      <w:r w:rsidR="00030A2B">
        <w:rPr>
          <w:color w:val="000000" w:themeColor="text1"/>
        </w:rPr>
        <w:t xml:space="preserve"> </w:t>
      </w:r>
      <w:r>
        <w:rPr>
          <w:color w:val="000000" w:themeColor="text1"/>
        </w:rPr>
        <w:t>will be recorded for future evaluation.</w:t>
      </w:r>
      <w:r w:rsidR="001E5213">
        <w:rPr>
          <w:color w:val="000000" w:themeColor="text1"/>
        </w:rPr>
        <w:t xml:space="preserve">  </w:t>
      </w:r>
      <w:r w:rsidR="008311EC">
        <w:rPr>
          <w:color w:val="000000" w:themeColor="text1"/>
        </w:rPr>
        <w:t>A PIP-II Tech</w:t>
      </w:r>
      <w:r w:rsidR="005A7D94">
        <w:rPr>
          <w:color w:val="000000" w:themeColor="text1"/>
        </w:rPr>
        <w:t>nical Integration group member</w:t>
      </w:r>
      <w:r w:rsidR="008311EC">
        <w:rPr>
          <w:color w:val="000000" w:themeColor="text1"/>
        </w:rPr>
        <w:t xml:space="preserve"> will assist in facilitating the discussion.</w:t>
      </w:r>
    </w:p>
    <w:p w14:paraId="264E5988" w14:textId="77777777" w:rsidR="00D70C42" w:rsidRDefault="00D70C42" w:rsidP="00927027">
      <w:pPr>
        <w:pStyle w:val="NotesBody11pt"/>
        <w:spacing w:line="240" w:lineRule="auto"/>
        <w:ind w:left="360"/>
        <w:rPr>
          <w:color w:val="000000" w:themeColor="text1"/>
        </w:rPr>
      </w:pPr>
    </w:p>
    <w:p w14:paraId="7C9590A3" w14:textId="1C01628C" w:rsidR="00927027" w:rsidRDefault="00927027" w:rsidP="00927027">
      <w:pPr>
        <w:pStyle w:val="NotesBody11pt"/>
        <w:spacing w:line="240" w:lineRule="auto"/>
        <w:ind w:left="360"/>
        <w:rPr>
          <w:color w:val="000000" w:themeColor="text1"/>
        </w:rPr>
      </w:pPr>
      <w:r>
        <w:rPr>
          <w:color w:val="000000" w:themeColor="text1"/>
        </w:rPr>
        <w:t xml:space="preserve">The VE workshops for technical systems </w:t>
      </w:r>
      <w:r w:rsidR="003925FA">
        <w:rPr>
          <w:color w:val="000000" w:themeColor="text1"/>
        </w:rPr>
        <w:t>must</w:t>
      </w:r>
      <w:r>
        <w:rPr>
          <w:color w:val="000000" w:themeColor="text1"/>
        </w:rPr>
        <w:t xml:space="preserve"> be completed prior to establishing an overall baseline budget for the Project. </w:t>
      </w:r>
      <w:r w:rsidR="0097663D">
        <w:rPr>
          <w:color w:val="000000" w:themeColor="text1"/>
        </w:rPr>
        <w:t xml:space="preserve"> </w:t>
      </w:r>
      <w:r w:rsidR="006554BC">
        <w:rPr>
          <w:color w:val="000000" w:themeColor="text1"/>
        </w:rPr>
        <w:t>As of this writing, the deadline to hold the VE workshop is February 15</w:t>
      </w:r>
      <w:r w:rsidR="006554BC" w:rsidRPr="0097663D">
        <w:rPr>
          <w:color w:val="000000" w:themeColor="text1"/>
          <w:vertAlign w:val="superscript"/>
        </w:rPr>
        <w:t>th</w:t>
      </w:r>
      <w:r w:rsidR="006554BC">
        <w:rPr>
          <w:color w:val="000000" w:themeColor="text1"/>
        </w:rPr>
        <w:t>, 201</w:t>
      </w:r>
      <w:r w:rsidR="009D7228">
        <w:rPr>
          <w:color w:val="000000" w:themeColor="text1"/>
        </w:rPr>
        <w:t>9</w:t>
      </w:r>
      <w:r w:rsidR="006554BC">
        <w:rPr>
          <w:color w:val="000000" w:themeColor="text1"/>
        </w:rPr>
        <w:t xml:space="preserve">. </w:t>
      </w:r>
      <w:r w:rsidR="0096777B">
        <w:rPr>
          <w:color w:val="000000" w:themeColor="text1"/>
        </w:rPr>
        <w:t xml:space="preserve">Establishing the list of potential opportunities by this time enables </w:t>
      </w:r>
      <w:r w:rsidR="00D70C42">
        <w:rPr>
          <w:color w:val="000000" w:themeColor="text1"/>
        </w:rPr>
        <w:t>the Project to understand impact of VE to the overall Project budget in advance of setting the baseline cost in early March of 201</w:t>
      </w:r>
      <w:r w:rsidR="009D7228">
        <w:rPr>
          <w:color w:val="000000" w:themeColor="text1"/>
        </w:rPr>
        <w:t>9</w:t>
      </w:r>
      <w:r w:rsidR="00D70C42">
        <w:rPr>
          <w:color w:val="000000" w:themeColor="text1"/>
        </w:rPr>
        <w:t>.</w:t>
      </w:r>
    </w:p>
    <w:p w14:paraId="789BE6A4" w14:textId="067328BF" w:rsidR="006554BC" w:rsidRDefault="006554BC" w:rsidP="00927027">
      <w:pPr>
        <w:pStyle w:val="NotesBody11pt"/>
        <w:spacing w:line="240" w:lineRule="auto"/>
        <w:ind w:left="360"/>
        <w:rPr>
          <w:color w:val="000000" w:themeColor="text1"/>
        </w:rPr>
      </w:pPr>
    </w:p>
    <w:p w14:paraId="0AEEEAC0" w14:textId="6FAB7B6D" w:rsidR="006554BC" w:rsidRPr="006554BC" w:rsidRDefault="006554BC" w:rsidP="00927027">
      <w:pPr>
        <w:pStyle w:val="NotesBody11pt"/>
        <w:spacing w:line="240" w:lineRule="auto"/>
        <w:ind w:left="360"/>
        <w:rPr>
          <w:color w:val="000000" w:themeColor="text1"/>
        </w:rPr>
      </w:pPr>
      <w:r>
        <w:rPr>
          <w:color w:val="000000" w:themeColor="text1"/>
        </w:rPr>
        <w:t xml:space="preserve">Opportunities identified in during the workshops will be logged using the </w:t>
      </w:r>
      <w:r w:rsidR="00FC2CBD" w:rsidRPr="00872D18">
        <w:rPr>
          <w:i/>
          <w:color w:val="000000" w:themeColor="text1"/>
        </w:rPr>
        <w:t xml:space="preserve">PIP-II </w:t>
      </w:r>
      <w:r w:rsidR="00FC2CBD">
        <w:rPr>
          <w:i/>
          <w:color w:val="000000" w:themeColor="text1"/>
        </w:rPr>
        <w:t xml:space="preserve">VE Opportunities List for </w:t>
      </w:r>
      <w:r w:rsidR="00FC2CBD" w:rsidRPr="00872D18">
        <w:rPr>
          <w:i/>
          <w:color w:val="000000" w:themeColor="text1"/>
        </w:rPr>
        <w:t>Reviewer</w:t>
      </w:r>
      <w:r w:rsidR="00FC2CBD">
        <w:rPr>
          <w:i/>
          <w:color w:val="000000" w:themeColor="text1"/>
        </w:rPr>
        <w:t>s</w:t>
      </w:r>
      <w:r w:rsidR="00FC2CBD">
        <w:rPr>
          <w:color w:val="000000" w:themeColor="text1"/>
        </w:rPr>
        <w:t xml:space="preserve"> </w:t>
      </w:r>
      <w:r w:rsidR="00E01331">
        <w:rPr>
          <w:color w:val="000000" w:themeColor="text1"/>
        </w:rPr>
        <w:t>[</w:t>
      </w:r>
      <w:r w:rsidR="0019148A">
        <w:rPr>
          <w:color w:val="000000" w:themeColor="text1"/>
        </w:rPr>
        <w:t>4</w:t>
      </w:r>
      <w:r>
        <w:rPr>
          <w:color w:val="000000" w:themeColor="text1"/>
        </w:rPr>
        <w:t xml:space="preserve">]. </w:t>
      </w:r>
    </w:p>
    <w:p w14:paraId="68E748BF" w14:textId="2CB04369" w:rsidR="003925FA" w:rsidRDefault="003925FA" w:rsidP="00927027">
      <w:pPr>
        <w:pStyle w:val="NotesBody11pt"/>
        <w:spacing w:line="240" w:lineRule="auto"/>
        <w:ind w:left="360"/>
        <w:rPr>
          <w:color w:val="000000" w:themeColor="text1"/>
        </w:rPr>
      </w:pPr>
    </w:p>
    <w:p w14:paraId="0116D60F" w14:textId="22917AF0" w:rsidR="0097663D" w:rsidRDefault="0097663D" w:rsidP="00927027">
      <w:pPr>
        <w:pStyle w:val="NotesBody11pt"/>
        <w:spacing w:line="240" w:lineRule="auto"/>
        <w:ind w:left="360"/>
        <w:rPr>
          <w:color w:val="000000" w:themeColor="text1"/>
        </w:rPr>
      </w:pPr>
      <w:r>
        <w:rPr>
          <w:color w:val="000000" w:themeColor="text1"/>
        </w:rPr>
        <w:t xml:space="preserve">A general agenda for the System VE workshops is established below.  </w:t>
      </w:r>
      <w:r w:rsidR="000D7978">
        <w:rPr>
          <w:color w:val="000000" w:themeColor="text1"/>
        </w:rPr>
        <w:t>The L2</w:t>
      </w:r>
      <w:r w:rsidR="00FB3D56">
        <w:rPr>
          <w:color w:val="000000" w:themeColor="text1"/>
        </w:rPr>
        <w:t xml:space="preserve">M </w:t>
      </w:r>
      <w:r w:rsidR="000D7978">
        <w:rPr>
          <w:color w:val="000000" w:themeColor="text1"/>
        </w:rPr>
        <w:t>should tailor t</w:t>
      </w:r>
      <w:r>
        <w:rPr>
          <w:color w:val="000000" w:themeColor="text1"/>
        </w:rPr>
        <w:t xml:space="preserve">his agenda to </w:t>
      </w:r>
      <w:r w:rsidR="000D7978">
        <w:rPr>
          <w:color w:val="000000" w:themeColor="text1"/>
        </w:rPr>
        <w:t xml:space="preserve">facilitate </w:t>
      </w:r>
      <w:r w:rsidR="00455A07">
        <w:rPr>
          <w:color w:val="000000" w:themeColor="text1"/>
        </w:rPr>
        <w:t xml:space="preserve">clear sub-system presentations and </w:t>
      </w:r>
      <w:r w:rsidR="00C10CAF">
        <w:rPr>
          <w:color w:val="000000" w:themeColor="text1"/>
        </w:rPr>
        <w:t xml:space="preserve">increase the likelihood of </w:t>
      </w:r>
      <w:r w:rsidR="00A61815">
        <w:rPr>
          <w:color w:val="000000" w:themeColor="text1"/>
        </w:rPr>
        <w:t>discovering</w:t>
      </w:r>
      <w:r w:rsidR="00414F45">
        <w:rPr>
          <w:color w:val="000000" w:themeColor="text1"/>
        </w:rPr>
        <w:t xml:space="preserve"> VE opportunities</w:t>
      </w:r>
      <w:r>
        <w:rPr>
          <w:color w:val="000000" w:themeColor="text1"/>
        </w:rPr>
        <w:t>.</w:t>
      </w:r>
    </w:p>
    <w:p w14:paraId="385107E4" w14:textId="17A8760B" w:rsidR="0097663D" w:rsidRDefault="0097663D" w:rsidP="00927027">
      <w:pPr>
        <w:pStyle w:val="NotesBody11pt"/>
        <w:spacing w:line="240" w:lineRule="auto"/>
        <w:ind w:left="360"/>
        <w:rPr>
          <w:color w:val="000000" w:themeColor="text1"/>
        </w:rPr>
      </w:pPr>
    </w:p>
    <w:p w14:paraId="355B872E" w14:textId="72B6700D" w:rsidR="0097663D" w:rsidRPr="0097663D" w:rsidRDefault="0097663D" w:rsidP="0097663D">
      <w:pPr>
        <w:pStyle w:val="NotesBody11pt"/>
        <w:spacing w:line="240" w:lineRule="auto"/>
        <w:ind w:left="720"/>
        <w:rPr>
          <w:color w:val="000000" w:themeColor="text1"/>
          <w:u w:val="single"/>
        </w:rPr>
      </w:pPr>
      <w:r w:rsidRPr="0097663D">
        <w:rPr>
          <w:color w:val="000000" w:themeColor="text1"/>
          <w:u w:val="single"/>
        </w:rPr>
        <w:t>GENERAL VE WORKSHOP AGENDA</w:t>
      </w:r>
    </w:p>
    <w:p w14:paraId="77F7012C" w14:textId="77777777" w:rsidR="0097663D" w:rsidRDefault="0097663D" w:rsidP="0097663D">
      <w:pPr>
        <w:pStyle w:val="NotesBody11pt"/>
        <w:spacing w:line="240" w:lineRule="auto"/>
        <w:ind w:left="720"/>
        <w:rPr>
          <w:color w:val="000000" w:themeColor="text1"/>
        </w:rPr>
      </w:pPr>
    </w:p>
    <w:p w14:paraId="34C55106" w14:textId="7F7832B8" w:rsidR="0097663D" w:rsidRDefault="0097663D" w:rsidP="0097663D">
      <w:pPr>
        <w:pStyle w:val="NotesBody11pt"/>
        <w:numPr>
          <w:ilvl w:val="0"/>
          <w:numId w:val="39"/>
        </w:numPr>
        <w:spacing w:line="240" w:lineRule="auto"/>
        <w:rPr>
          <w:color w:val="000000" w:themeColor="text1"/>
        </w:rPr>
      </w:pPr>
      <w:r>
        <w:rPr>
          <w:color w:val="000000" w:themeColor="text1"/>
        </w:rPr>
        <w:t>L2</w:t>
      </w:r>
      <w:r w:rsidR="00FB3D56">
        <w:rPr>
          <w:color w:val="000000" w:themeColor="text1"/>
        </w:rPr>
        <w:t xml:space="preserve">M </w:t>
      </w:r>
      <w:r>
        <w:rPr>
          <w:color w:val="000000" w:themeColor="text1"/>
        </w:rPr>
        <w:t>Introduction</w:t>
      </w:r>
    </w:p>
    <w:p w14:paraId="0F5214C3" w14:textId="0BA7B986" w:rsidR="00980B1B" w:rsidRDefault="00875691" w:rsidP="0097663D">
      <w:pPr>
        <w:pStyle w:val="NotesBody11pt"/>
        <w:numPr>
          <w:ilvl w:val="1"/>
          <w:numId w:val="39"/>
        </w:numPr>
        <w:spacing w:line="240" w:lineRule="auto"/>
        <w:rPr>
          <w:color w:val="000000" w:themeColor="text1"/>
        </w:rPr>
      </w:pPr>
      <w:r>
        <w:rPr>
          <w:color w:val="000000" w:themeColor="text1"/>
        </w:rPr>
        <w:t>Charge overview</w:t>
      </w:r>
    </w:p>
    <w:p w14:paraId="7777B2F0" w14:textId="45D4C9E4" w:rsidR="0097663D" w:rsidRDefault="0097663D" w:rsidP="0097663D">
      <w:pPr>
        <w:pStyle w:val="NotesBody11pt"/>
        <w:numPr>
          <w:ilvl w:val="1"/>
          <w:numId w:val="39"/>
        </w:numPr>
        <w:spacing w:line="240" w:lineRule="auto"/>
        <w:rPr>
          <w:color w:val="000000" w:themeColor="text1"/>
        </w:rPr>
      </w:pPr>
      <w:r>
        <w:rPr>
          <w:color w:val="000000" w:themeColor="text1"/>
        </w:rPr>
        <w:t>Definition of Value for this System</w:t>
      </w:r>
    </w:p>
    <w:p w14:paraId="473F97FB" w14:textId="283FC394" w:rsidR="0097663D" w:rsidRDefault="0097663D" w:rsidP="0097663D">
      <w:pPr>
        <w:pStyle w:val="NotesBody11pt"/>
        <w:numPr>
          <w:ilvl w:val="2"/>
          <w:numId w:val="39"/>
        </w:numPr>
        <w:spacing w:line="240" w:lineRule="auto"/>
        <w:rPr>
          <w:color w:val="000000" w:themeColor="text1"/>
        </w:rPr>
      </w:pPr>
      <w:r>
        <w:rPr>
          <w:color w:val="000000" w:themeColor="text1"/>
        </w:rPr>
        <w:t>Value = (delivered performance)/cost</w:t>
      </w:r>
    </w:p>
    <w:p w14:paraId="313EBB3D" w14:textId="58BBA8DA" w:rsidR="0097663D" w:rsidRDefault="0097663D" w:rsidP="0097663D">
      <w:pPr>
        <w:pStyle w:val="NotesBody11pt"/>
        <w:numPr>
          <w:ilvl w:val="1"/>
          <w:numId w:val="39"/>
        </w:numPr>
        <w:spacing w:line="240" w:lineRule="auto"/>
        <w:rPr>
          <w:color w:val="000000" w:themeColor="text1"/>
        </w:rPr>
      </w:pPr>
      <w:r>
        <w:rPr>
          <w:color w:val="000000" w:themeColor="text1"/>
        </w:rPr>
        <w:t>Purpose of VE workshop and charge to the committee</w:t>
      </w:r>
    </w:p>
    <w:p w14:paraId="3249A47D" w14:textId="5CA5C7A8" w:rsidR="0097663D" w:rsidRDefault="0097663D" w:rsidP="0097663D">
      <w:pPr>
        <w:pStyle w:val="NotesBody11pt"/>
        <w:numPr>
          <w:ilvl w:val="1"/>
          <w:numId w:val="39"/>
        </w:numPr>
        <w:spacing w:line="240" w:lineRule="auto"/>
        <w:rPr>
          <w:color w:val="000000" w:themeColor="text1"/>
        </w:rPr>
      </w:pPr>
      <w:r>
        <w:rPr>
          <w:color w:val="000000" w:themeColor="text1"/>
        </w:rPr>
        <w:t>Format and Schedule of workshop</w:t>
      </w:r>
    </w:p>
    <w:p w14:paraId="5EE9553E" w14:textId="24FBC377" w:rsidR="0097663D" w:rsidRDefault="0097663D" w:rsidP="0097663D">
      <w:pPr>
        <w:pStyle w:val="NotesBody11pt"/>
        <w:numPr>
          <w:ilvl w:val="1"/>
          <w:numId w:val="39"/>
        </w:numPr>
        <w:spacing w:line="240" w:lineRule="auto"/>
        <w:rPr>
          <w:color w:val="000000" w:themeColor="text1"/>
        </w:rPr>
      </w:pPr>
      <w:r>
        <w:rPr>
          <w:color w:val="000000" w:themeColor="text1"/>
        </w:rPr>
        <w:t>Introduction of L3 Managers and workshop participants</w:t>
      </w:r>
    </w:p>
    <w:p w14:paraId="698660C1" w14:textId="7E2E4A6C" w:rsidR="0097663D" w:rsidRDefault="0097663D" w:rsidP="0097663D">
      <w:pPr>
        <w:pStyle w:val="NotesBody11pt"/>
        <w:numPr>
          <w:ilvl w:val="1"/>
          <w:numId w:val="39"/>
        </w:numPr>
        <w:spacing w:line="240" w:lineRule="auto"/>
        <w:rPr>
          <w:color w:val="000000" w:themeColor="text1"/>
        </w:rPr>
      </w:pPr>
      <w:r>
        <w:rPr>
          <w:color w:val="000000" w:themeColor="text1"/>
        </w:rPr>
        <w:t>List of expected outcomes</w:t>
      </w:r>
    </w:p>
    <w:p w14:paraId="50EA0AD8" w14:textId="768C7DD9" w:rsidR="0097663D" w:rsidRDefault="0097663D" w:rsidP="0097663D">
      <w:pPr>
        <w:pStyle w:val="NotesBody11pt"/>
        <w:numPr>
          <w:ilvl w:val="0"/>
          <w:numId w:val="39"/>
        </w:numPr>
        <w:spacing w:line="240" w:lineRule="auto"/>
        <w:rPr>
          <w:color w:val="000000" w:themeColor="text1"/>
        </w:rPr>
      </w:pPr>
      <w:r>
        <w:rPr>
          <w:color w:val="000000" w:themeColor="text1"/>
        </w:rPr>
        <w:t>L3/4 Sub-system Talk</w:t>
      </w:r>
      <w:r w:rsidR="00287389">
        <w:rPr>
          <w:color w:val="000000" w:themeColor="text1"/>
        </w:rPr>
        <w:t xml:space="preserve"> #1</w:t>
      </w:r>
    </w:p>
    <w:p w14:paraId="65B7662C" w14:textId="45C2FB09" w:rsidR="0097663D" w:rsidRPr="0097663D" w:rsidRDefault="0097663D" w:rsidP="0097663D">
      <w:pPr>
        <w:pStyle w:val="NotesBody11pt"/>
        <w:numPr>
          <w:ilvl w:val="1"/>
          <w:numId w:val="39"/>
        </w:numPr>
        <w:spacing w:line="240" w:lineRule="auto"/>
        <w:rPr>
          <w:color w:val="000000" w:themeColor="text1"/>
        </w:rPr>
      </w:pPr>
      <w:r w:rsidRPr="0097663D">
        <w:rPr>
          <w:color w:val="000000" w:themeColor="text1"/>
        </w:rPr>
        <w:t>Function</w:t>
      </w:r>
      <w:r w:rsidR="00287389">
        <w:rPr>
          <w:color w:val="000000" w:themeColor="text1"/>
        </w:rPr>
        <w:t>al requirements</w:t>
      </w:r>
      <w:r w:rsidRPr="0097663D">
        <w:rPr>
          <w:color w:val="000000" w:themeColor="text1"/>
        </w:rPr>
        <w:t xml:space="preserve"> of L3 sub-system</w:t>
      </w:r>
    </w:p>
    <w:p w14:paraId="47D7A0DE" w14:textId="10C63028" w:rsidR="0097663D" w:rsidRPr="0097663D" w:rsidRDefault="00287389" w:rsidP="00287389">
      <w:pPr>
        <w:pStyle w:val="NotesBody11pt"/>
        <w:numPr>
          <w:ilvl w:val="2"/>
          <w:numId w:val="39"/>
        </w:numPr>
        <w:spacing w:line="240" w:lineRule="auto"/>
        <w:rPr>
          <w:color w:val="000000" w:themeColor="text1"/>
        </w:rPr>
      </w:pPr>
      <w:r>
        <w:rPr>
          <w:color w:val="000000" w:themeColor="text1"/>
        </w:rPr>
        <w:t>Governing requirements necessary</w:t>
      </w:r>
      <w:r w:rsidR="0097663D" w:rsidRPr="0097663D">
        <w:rPr>
          <w:color w:val="000000" w:themeColor="text1"/>
        </w:rPr>
        <w:t xml:space="preserve"> to meet</w:t>
      </w:r>
      <w:r>
        <w:rPr>
          <w:color w:val="000000" w:themeColor="text1"/>
        </w:rPr>
        <w:t xml:space="preserve"> performance</w:t>
      </w:r>
    </w:p>
    <w:p w14:paraId="36433A4B" w14:textId="77777777" w:rsidR="0097663D" w:rsidRPr="0097663D" w:rsidRDefault="0097663D" w:rsidP="0097663D">
      <w:pPr>
        <w:pStyle w:val="NotesBody11pt"/>
        <w:numPr>
          <w:ilvl w:val="1"/>
          <w:numId w:val="39"/>
        </w:numPr>
        <w:spacing w:line="240" w:lineRule="auto"/>
        <w:rPr>
          <w:color w:val="000000" w:themeColor="text1"/>
        </w:rPr>
      </w:pPr>
      <w:r w:rsidRPr="0097663D">
        <w:rPr>
          <w:color w:val="000000" w:themeColor="text1"/>
        </w:rPr>
        <w:t xml:space="preserve">Proposed configuration/design </w:t>
      </w:r>
    </w:p>
    <w:p w14:paraId="4C201A53" w14:textId="77777777" w:rsidR="0097663D" w:rsidRPr="0097663D" w:rsidRDefault="0097663D" w:rsidP="00287389">
      <w:pPr>
        <w:pStyle w:val="NotesBody11pt"/>
        <w:numPr>
          <w:ilvl w:val="2"/>
          <w:numId w:val="39"/>
        </w:numPr>
        <w:spacing w:line="240" w:lineRule="auto"/>
        <w:rPr>
          <w:color w:val="000000" w:themeColor="text1"/>
        </w:rPr>
      </w:pPr>
      <w:r w:rsidRPr="0097663D">
        <w:rPr>
          <w:color w:val="000000" w:themeColor="text1"/>
        </w:rPr>
        <w:t xml:space="preserve">List reasons for key design decisions made to-date </w:t>
      </w:r>
    </w:p>
    <w:p w14:paraId="069EBC25" w14:textId="77777777" w:rsidR="0097663D" w:rsidRPr="0097663D" w:rsidRDefault="0097663D" w:rsidP="0097663D">
      <w:pPr>
        <w:pStyle w:val="NotesBody11pt"/>
        <w:numPr>
          <w:ilvl w:val="1"/>
          <w:numId w:val="39"/>
        </w:numPr>
        <w:spacing w:line="240" w:lineRule="auto"/>
        <w:rPr>
          <w:color w:val="000000" w:themeColor="text1"/>
        </w:rPr>
      </w:pPr>
      <w:r w:rsidRPr="0097663D">
        <w:rPr>
          <w:color w:val="000000" w:themeColor="text1"/>
        </w:rPr>
        <w:t>Cost breakdown</w:t>
      </w:r>
    </w:p>
    <w:p w14:paraId="12A490B1" w14:textId="0B20DA40" w:rsidR="0097663D" w:rsidRPr="0097663D" w:rsidRDefault="0097663D" w:rsidP="00287389">
      <w:pPr>
        <w:pStyle w:val="NotesBody11pt"/>
        <w:numPr>
          <w:ilvl w:val="2"/>
          <w:numId w:val="39"/>
        </w:numPr>
        <w:spacing w:line="240" w:lineRule="auto"/>
        <w:rPr>
          <w:color w:val="000000" w:themeColor="text1"/>
        </w:rPr>
      </w:pPr>
      <w:r w:rsidRPr="0097663D">
        <w:rPr>
          <w:color w:val="000000" w:themeColor="text1"/>
        </w:rPr>
        <w:t xml:space="preserve">Details of costs to whatever level </w:t>
      </w:r>
      <w:r w:rsidR="00287389">
        <w:rPr>
          <w:color w:val="000000" w:themeColor="text1"/>
        </w:rPr>
        <w:t>necessary</w:t>
      </w:r>
      <w:r w:rsidRPr="0097663D">
        <w:rPr>
          <w:color w:val="000000" w:themeColor="text1"/>
        </w:rPr>
        <w:t xml:space="preserve"> to inform reviewers</w:t>
      </w:r>
    </w:p>
    <w:p w14:paraId="4E4F8116" w14:textId="77777777" w:rsidR="0097663D" w:rsidRPr="0097663D" w:rsidRDefault="0097663D" w:rsidP="00287389">
      <w:pPr>
        <w:pStyle w:val="NotesBody11pt"/>
        <w:numPr>
          <w:ilvl w:val="2"/>
          <w:numId w:val="39"/>
        </w:numPr>
        <w:spacing w:line="240" w:lineRule="auto"/>
        <w:rPr>
          <w:color w:val="000000" w:themeColor="text1"/>
        </w:rPr>
      </w:pPr>
      <w:r w:rsidRPr="0097663D">
        <w:rPr>
          <w:color w:val="000000" w:themeColor="text1"/>
        </w:rPr>
        <w:t>Important procurement and design strategies chosen</w:t>
      </w:r>
    </w:p>
    <w:p w14:paraId="48ED2379" w14:textId="003DA135" w:rsidR="00287389" w:rsidRPr="00287389" w:rsidRDefault="0097663D" w:rsidP="00287389">
      <w:pPr>
        <w:pStyle w:val="NotesBody11pt"/>
        <w:numPr>
          <w:ilvl w:val="1"/>
          <w:numId w:val="39"/>
        </w:numPr>
        <w:spacing w:line="240" w:lineRule="auto"/>
        <w:rPr>
          <w:color w:val="000000" w:themeColor="text1"/>
        </w:rPr>
      </w:pPr>
      <w:r w:rsidRPr="0097663D">
        <w:rPr>
          <w:color w:val="000000" w:themeColor="text1"/>
        </w:rPr>
        <w:t>Known alternative configurations/designs that achieve the same function but may not have been chosen</w:t>
      </w:r>
    </w:p>
    <w:p w14:paraId="5F6543CA" w14:textId="70DA8B57" w:rsidR="0097663D" w:rsidRDefault="00287389" w:rsidP="00287389">
      <w:pPr>
        <w:pStyle w:val="NotesBody11pt"/>
        <w:numPr>
          <w:ilvl w:val="0"/>
          <w:numId w:val="39"/>
        </w:numPr>
        <w:spacing w:line="240" w:lineRule="auto"/>
        <w:rPr>
          <w:color w:val="000000" w:themeColor="text1"/>
        </w:rPr>
      </w:pPr>
      <w:r>
        <w:rPr>
          <w:color w:val="000000" w:themeColor="text1"/>
        </w:rPr>
        <w:t>Opportunity Generation #1 (Brainstorming/speculation)</w:t>
      </w:r>
    </w:p>
    <w:p w14:paraId="569D5347" w14:textId="5950A62D" w:rsidR="00287389" w:rsidRDefault="00287389" w:rsidP="00287389">
      <w:pPr>
        <w:pStyle w:val="NotesBody11pt"/>
        <w:numPr>
          <w:ilvl w:val="1"/>
          <w:numId w:val="39"/>
        </w:numPr>
        <w:spacing w:line="240" w:lineRule="auto"/>
        <w:rPr>
          <w:color w:val="000000" w:themeColor="text1"/>
        </w:rPr>
      </w:pPr>
      <w:r>
        <w:rPr>
          <w:color w:val="000000" w:themeColor="text1"/>
        </w:rPr>
        <w:t>Produce list of VE opportunities by facilitating discussion</w:t>
      </w:r>
    </w:p>
    <w:p w14:paraId="227A3062" w14:textId="53C7E72A" w:rsidR="00287389" w:rsidRDefault="00287389" w:rsidP="00287389">
      <w:pPr>
        <w:pStyle w:val="NotesBody11pt"/>
        <w:numPr>
          <w:ilvl w:val="1"/>
          <w:numId w:val="39"/>
        </w:numPr>
        <w:spacing w:line="240" w:lineRule="auto"/>
        <w:rPr>
          <w:color w:val="000000" w:themeColor="text1"/>
        </w:rPr>
      </w:pPr>
      <w:r>
        <w:rPr>
          <w:color w:val="000000" w:themeColor="text1"/>
        </w:rPr>
        <w:t>Engage of all stakeholders and workshop participants</w:t>
      </w:r>
    </w:p>
    <w:p w14:paraId="5A139BDA" w14:textId="3AAE75B6" w:rsidR="00287389" w:rsidRDefault="00287389" w:rsidP="00287389">
      <w:pPr>
        <w:pStyle w:val="NotesBody11pt"/>
        <w:numPr>
          <w:ilvl w:val="1"/>
          <w:numId w:val="39"/>
        </w:numPr>
        <w:spacing w:line="240" w:lineRule="auto"/>
        <w:rPr>
          <w:color w:val="000000" w:themeColor="text1"/>
        </w:rPr>
      </w:pPr>
      <w:r>
        <w:rPr>
          <w:color w:val="000000" w:themeColor="text1"/>
        </w:rPr>
        <w:t>Log opportunities</w:t>
      </w:r>
    </w:p>
    <w:p w14:paraId="6A28283B" w14:textId="15685C52" w:rsidR="00287389" w:rsidRDefault="00287389" w:rsidP="00287389">
      <w:pPr>
        <w:pStyle w:val="NotesBody11pt"/>
        <w:numPr>
          <w:ilvl w:val="0"/>
          <w:numId w:val="39"/>
        </w:numPr>
        <w:spacing w:line="240" w:lineRule="auto"/>
        <w:rPr>
          <w:color w:val="000000" w:themeColor="text1"/>
        </w:rPr>
      </w:pPr>
      <w:r>
        <w:rPr>
          <w:color w:val="000000" w:themeColor="text1"/>
        </w:rPr>
        <w:t>L3/4 Sub-system Talk #2…</w:t>
      </w:r>
    </w:p>
    <w:p w14:paraId="4EDC9027" w14:textId="3F57D7DC" w:rsidR="00287389" w:rsidRPr="00287389" w:rsidRDefault="00287389" w:rsidP="00287389">
      <w:pPr>
        <w:pStyle w:val="NotesBody11pt"/>
        <w:numPr>
          <w:ilvl w:val="0"/>
          <w:numId w:val="39"/>
        </w:numPr>
        <w:spacing w:line="240" w:lineRule="auto"/>
        <w:rPr>
          <w:color w:val="000000" w:themeColor="text1"/>
        </w:rPr>
      </w:pPr>
      <w:r>
        <w:rPr>
          <w:color w:val="000000" w:themeColor="text1"/>
        </w:rPr>
        <w:t xml:space="preserve">Opportunity Generation #2… </w:t>
      </w:r>
    </w:p>
    <w:p w14:paraId="7108C677" w14:textId="4217A5B5" w:rsidR="00287389" w:rsidRDefault="00287389" w:rsidP="00287389">
      <w:pPr>
        <w:pStyle w:val="NotesBody11pt"/>
        <w:spacing w:line="240" w:lineRule="auto"/>
        <w:ind w:left="360"/>
        <w:rPr>
          <w:color w:val="000000" w:themeColor="text1"/>
        </w:rPr>
      </w:pPr>
    </w:p>
    <w:p w14:paraId="203CE55A" w14:textId="727FB550" w:rsidR="004A32D5" w:rsidRDefault="004A32D5" w:rsidP="000E321A">
      <w:pPr>
        <w:pStyle w:val="NotesBody11pt"/>
        <w:spacing w:line="240" w:lineRule="auto"/>
        <w:ind w:left="720"/>
        <w:rPr>
          <w:color w:val="000000" w:themeColor="text1"/>
        </w:rPr>
      </w:pPr>
      <w:r>
        <w:rPr>
          <w:color w:val="000000" w:themeColor="text1"/>
        </w:rPr>
        <w:lastRenderedPageBreak/>
        <w:t xml:space="preserve">It is </w:t>
      </w:r>
      <w:r w:rsidR="000E321A">
        <w:rPr>
          <w:color w:val="000000" w:themeColor="text1"/>
        </w:rPr>
        <w:t>important to note:</w:t>
      </w:r>
    </w:p>
    <w:p w14:paraId="6473CCD1" w14:textId="1518CDC4" w:rsidR="00287389" w:rsidRDefault="00287389" w:rsidP="00872D18">
      <w:pPr>
        <w:pStyle w:val="NotesBody11pt"/>
        <w:spacing w:line="240" w:lineRule="auto"/>
        <w:ind w:left="864"/>
        <w:rPr>
          <w:color w:val="000000" w:themeColor="text1"/>
        </w:rPr>
      </w:pPr>
      <w:r>
        <w:rPr>
          <w:color w:val="000000" w:themeColor="text1"/>
        </w:rPr>
        <w:t>*No opportunities are evalua</w:t>
      </w:r>
      <w:r w:rsidR="00144655">
        <w:rPr>
          <w:color w:val="000000" w:themeColor="text1"/>
        </w:rPr>
        <w:t>ted during workshop</w:t>
      </w:r>
    </w:p>
    <w:p w14:paraId="10711831" w14:textId="2C5BB9E1" w:rsidR="00287389" w:rsidRDefault="00287389" w:rsidP="00872D18">
      <w:pPr>
        <w:pStyle w:val="NotesBody11pt"/>
        <w:spacing w:line="240" w:lineRule="auto"/>
        <w:ind w:left="864"/>
        <w:rPr>
          <w:color w:val="000000" w:themeColor="text1"/>
        </w:rPr>
      </w:pPr>
      <w:r>
        <w:rPr>
          <w:color w:val="000000" w:themeColor="text1"/>
        </w:rPr>
        <w:t>*Quantity of ideas essential to</w:t>
      </w:r>
      <w:r w:rsidR="00ED2A61">
        <w:rPr>
          <w:color w:val="000000" w:themeColor="text1"/>
        </w:rPr>
        <w:t xml:space="preserve"> the </w:t>
      </w:r>
      <w:r>
        <w:rPr>
          <w:color w:val="000000" w:themeColor="text1"/>
        </w:rPr>
        <w:t>effectiveness</w:t>
      </w:r>
      <w:r w:rsidR="00ED2A61">
        <w:rPr>
          <w:color w:val="000000" w:themeColor="text1"/>
        </w:rPr>
        <w:t xml:space="preserve"> of the process</w:t>
      </w:r>
    </w:p>
    <w:p w14:paraId="78A50B2D" w14:textId="0E1E6348" w:rsidR="003925FA" w:rsidRDefault="003925FA" w:rsidP="00927027">
      <w:pPr>
        <w:pStyle w:val="NotesBody11pt"/>
        <w:spacing w:line="240" w:lineRule="auto"/>
        <w:ind w:left="360"/>
        <w:rPr>
          <w:color w:val="000000" w:themeColor="text1"/>
        </w:rPr>
      </w:pPr>
    </w:p>
    <w:p w14:paraId="3ED38C76" w14:textId="7C6CE23F" w:rsidR="00872D18" w:rsidRPr="00510B7A" w:rsidRDefault="006554BC" w:rsidP="00927027">
      <w:pPr>
        <w:pStyle w:val="NotesBody11pt"/>
        <w:spacing w:line="240" w:lineRule="auto"/>
        <w:ind w:left="360"/>
        <w:rPr>
          <w:color w:val="000000" w:themeColor="text1"/>
        </w:rPr>
      </w:pPr>
      <w:r>
        <w:rPr>
          <w:color w:val="000000" w:themeColor="text1"/>
        </w:rPr>
        <w:t xml:space="preserve">All identified opportunities must be logged in the </w:t>
      </w:r>
      <w:r w:rsidRPr="00325C54">
        <w:rPr>
          <w:i/>
        </w:rPr>
        <w:t>PIP-II VE Opportunity Tracking Sheet</w:t>
      </w:r>
      <w:r>
        <w:rPr>
          <w:i/>
        </w:rPr>
        <w:t xml:space="preserve"> </w:t>
      </w:r>
      <w:r>
        <w:rPr>
          <w:color w:val="000000" w:themeColor="text1"/>
        </w:rPr>
        <w:t>following the work</w:t>
      </w:r>
      <w:r w:rsidR="00CA1E6F">
        <w:rPr>
          <w:color w:val="000000" w:themeColor="text1"/>
        </w:rPr>
        <w:t>shop</w:t>
      </w:r>
      <w:r>
        <w:rPr>
          <w:i/>
        </w:rPr>
        <w:t>.</w:t>
      </w:r>
      <w:r>
        <w:t xml:space="preserve">  </w:t>
      </w:r>
      <w:r>
        <w:rPr>
          <w:color w:val="000000" w:themeColor="text1"/>
        </w:rPr>
        <w:t>Opportunities</w:t>
      </w:r>
      <w:r w:rsidR="00872D18">
        <w:rPr>
          <w:color w:val="000000" w:themeColor="text1"/>
        </w:rPr>
        <w:t xml:space="preserve"> will be evaluated by th</w:t>
      </w:r>
      <w:r w:rsidR="00CA1E6F">
        <w:rPr>
          <w:color w:val="000000" w:themeColor="text1"/>
        </w:rPr>
        <w:t>e procedure defined in section 8</w:t>
      </w:r>
      <w:r w:rsidR="00872D18">
        <w:rPr>
          <w:color w:val="000000" w:themeColor="text1"/>
        </w:rPr>
        <w:t xml:space="preserve"> of this document.</w:t>
      </w:r>
    </w:p>
    <w:p w14:paraId="197E7AE2" w14:textId="5BF803D8" w:rsidR="00EB04CA" w:rsidRDefault="005A7D94" w:rsidP="00DB329A">
      <w:pPr>
        <w:pStyle w:val="Heading1"/>
      </w:pPr>
      <w:bookmarkStart w:id="7" w:name="_Toc535999637"/>
      <w:r>
        <w:t>VE during Basis of Estimate Reviews</w:t>
      </w:r>
      <w:bookmarkEnd w:id="7"/>
    </w:p>
    <w:p w14:paraId="44661D90" w14:textId="4334669D" w:rsidR="00325C54" w:rsidRDefault="00325C54" w:rsidP="006554BC">
      <w:pPr>
        <w:pStyle w:val="Normal2a"/>
        <w:numPr>
          <w:ilvl w:val="0"/>
          <w:numId w:val="0"/>
        </w:numPr>
        <w:spacing w:line="240" w:lineRule="auto"/>
        <w:ind w:left="360"/>
      </w:pPr>
      <w:r>
        <w:t xml:space="preserve">The </w:t>
      </w:r>
      <w:r w:rsidR="005A7D94">
        <w:t>PIP-II Project</w:t>
      </w:r>
      <w:r>
        <w:t xml:space="preserve"> cost </w:t>
      </w:r>
      <w:r w:rsidR="00D648FF">
        <w:t xml:space="preserve">estimate </w:t>
      </w:r>
      <w:r>
        <w:t>is broken down into</w:t>
      </w:r>
      <w:r w:rsidR="00583D0A">
        <w:t xml:space="preserve"> multiple</w:t>
      </w:r>
      <w:r>
        <w:t xml:space="preserve"> control accounts.  Each control account </w:t>
      </w:r>
      <w:r w:rsidR="006554BC">
        <w:t>h</w:t>
      </w:r>
      <w:r>
        <w:t xml:space="preserve">as an associated Basis of Estimate (BOE) </w:t>
      </w:r>
      <w:r w:rsidR="006554BC">
        <w:t>document</w:t>
      </w:r>
      <w:r>
        <w:t xml:space="preserve"> </w:t>
      </w:r>
      <w:r w:rsidR="006554BC">
        <w:t>that justifies</w:t>
      </w:r>
      <w:r>
        <w:t xml:space="preserve"> the sum of the costs for its respective scope of work.  Prior to formalizing the cost </w:t>
      </w:r>
      <w:r w:rsidR="009942A0">
        <w:t>basis</w:t>
      </w:r>
      <w:r>
        <w:t xml:space="preserve"> of the control account in the Resource Loaded Schedule (RLS), each BOE</w:t>
      </w:r>
      <w:r w:rsidR="005A7D94">
        <w:t xml:space="preserve"> </w:t>
      </w:r>
      <w:r>
        <w:t>undergoes a formal review and approval process.</w:t>
      </w:r>
    </w:p>
    <w:p w14:paraId="4D4D870A" w14:textId="77777777" w:rsidR="00325C54" w:rsidRDefault="00325C54" w:rsidP="005A7D94">
      <w:pPr>
        <w:pStyle w:val="Normal2a"/>
        <w:numPr>
          <w:ilvl w:val="0"/>
          <w:numId w:val="0"/>
        </w:numPr>
        <w:spacing w:line="240" w:lineRule="auto"/>
        <w:ind w:left="432"/>
      </w:pPr>
    </w:p>
    <w:p w14:paraId="369D476E" w14:textId="2896386E" w:rsidR="008B5CCF" w:rsidRDefault="00CA35D2" w:rsidP="006554BC">
      <w:pPr>
        <w:pStyle w:val="Normal2a"/>
        <w:numPr>
          <w:ilvl w:val="0"/>
          <w:numId w:val="0"/>
        </w:numPr>
        <w:spacing w:line="240" w:lineRule="auto"/>
        <w:ind w:left="360"/>
      </w:pPr>
      <w:r>
        <w:t>As part of the BOE review</w:t>
      </w:r>
      <w:r w:rsidR="00583D0A">
        <w:t xml:space="preserve"> process</w:t>
      </w:r>
      <w:r>
        <w:t>, t</w:t>
      </w:r>
      <w:r w:rsidR="00325C54">
        <w:t xml:space="preserve">he PIP-II Project </w:t>
      </w:r>
      <w:r w:rsidR="00583D0A">
        <w:t>will instruct</w:t>
      </w:r>
      <w:r w:rsidR="00325C54">
        <w:t xml:space="preserve"> the BOE reviewers </w:t>
      </w:r>
      <w:r w:rsidR="00583D0A">
        <w:t xml:space="preserve">to examine the estimates and scope described in the documents and </w:t>
      </w:r>
      <w:r w:rsidR="00325C54">
        <w:t>record any</w:t>
      </w:r>
      <w:r>
        <w:t xml:space="preserve"> possible</w:t>
      </w:r>
      <w:r w:rsidR="00325C54">
        <w:t xml:space="preserve"> VE opportunities in the </w:t>
      </w:r>
      <w:r w:rsidR="00FC2CBD" w:rsidRPr="00872D18">
        <w:rPr>
          <w:i/>
          <w:color w:val="000000" w:themeColor="text1"/>
        </w:rPr>
        <w:t xml:space="preserve">PIP-II </w:t>
      </w:r>
      <w:r w:rsidR="00FC2CBD">
        <w:rPr>
          <w:i/>
          <w:color w:val="000000" w:themeColor="text1"/>
        </w:rPr>
        <w:t xml:space="preserve">VE Opportunities List for </w:t>
      </w:r>
      <w:r w:rsidR="00FC2CBD" w:rsidRPr="00872D18">
        <w:rPr>
          <w:i/>
          <w:color w:val="000000" w:themeColor="text1"/>
        </w:rPr>
        <w:t>Reviewer</w:t>
      </w:r>
      <w:r w:rsidR="00FC2CBD">
        <w:rPr>
          <w:i/>
          <w:color w:val="000000" w:themeColor="text1"/>
        </w:rPr>
        <w:t>s</w:t>
      </w:r>
      <w:r w:rsidR="006554BC">
        <w:rPr>
          <w:i/>
          <w:color w:val="000000" w:themeColor="text1"/>
        </w:rPr>
        <w:t>.</w:t>
      </w:r>
      <w:r w:rsidR="00583D0A">
        <w:t xml:space="preserve">  The recorded opportunities will be provided to the L2</w:t>
      </w:r>
      <w:r w:rsidR="003906ED">
        <w:t>M</w:t>
      </w:r>
      <w:r w:rsidR="00583D0A">
        <w:t xml:space="preserve"> as part of the review feedback.</w:t>
      </w:r>
    </w:p>
    <w:p w14:paraId="239E7CB1" w14:textId="122260FB" w:rsidR="006554BC" w:rsidRDefault="006554BC" w:rsidP="005A7D94">
      <w:pPr>
        <w:pStyle w:val="Normal2a"/>
        <w:numPr>
          <w:ilvl w:val="0"/>
          <w:numId w:val="0"/>
        </w:numPr>
        <w:spacing w:line="240" w:lineRule="auto"/>
        <w:ind w:left="432"/>
      </w:pPr>
    </w:p>
    <w:p w14:paraId="4BEF2605" w14:textId="18BD7AF9" w:rsidR="006554BC" w:rsidRDefault="006554BC" w:rsidP="006554BC">
      <w:pPr>
        <w:pStyle w:val="NotesBody11pt"/>
        <w:spacing w:line="240" w:lineRule="auto"/>
        <w:ind w:left="360"/>
      </w:pPr>
      <w:r>
        <w:rPr>
          <w:color w:val="000000" w:themeColor="text1"/>
        </w:rPr>
        <w:t xml:space="preserve">Following the BOE review, all identified opportunities </w:t>
      </w:r>
      <w:r w:rsidR="00511814">
        <w:rPr>
          <w:color w:val="000000" w:themeColor="text1"/>
        </w:rPr>
        <w:t>will</w:t>
      </w:r>
      <w:r>
        <w:rPr>
          <w:color w:val="000000" w:themeColor="text1"/>
        </w:rPr>
        <w:t xml:space="preserve"> be logged in the </w:t>
      </w:r>
      <w:r w:rsidRPr="00325C54">
        <w:rPr>
          <w:i/>
        </w:rPr>
        <w:t>PIP-II VE Opportunity Tracking Sheet</w:t>
      </w:r>
      <w:r w:rsidR="001D2FA7">
        <w:rPr>
          <w:i/>
        </w:rPr>
        <w:t xml:space="preserve"> </w:t>
      </w:r>
      <w:r w:rsidR="001D2FA7">
        <w:t>by the L2</w:t>
      </w:r>
      <w:r w:rsidR="003906ED">
        <w:t>M</w:t>
      </w:r>
      <w:r w:rsidR="001D2FA7">
        <w:t>.</w:t>
      </w:r>
      <w:r>
        <w:t xml:space="preserve"> </w:t>
      </w:r>
      <w:r>
        <w:rPr>
          <w:color w:val="000000" w:themeColor="text1"/>
        </w:rPr>
        <w:t>Opportunities will be evaluated by th</w:t>
      </w:r>
      <w:r w:rsidR="00CA1E6F">
        <w:rPr>
          <w:color w:val="000000" w:themeColor="text1"/>
        </w:rPr>
        <w:t>e procedure defined in section 8</w:t>
      </w:r>
      <w:r>
        <w:rPr>
          <w:color w:val="000000" w:themeColor="text1"/>
        </w:rPr>
        <w:t xml:space="preserve"> of this document.</w:t>
      </w:r>
    </w:p>
    <w:p w14:paraId="6A1375DF" w14:textId="0CB60850" w:rsidR="00C42210" w:rsidRDefault="005A7D94" w:rsidP="009604D2">
      <w:pPr>
        <w:pStyle w:val="Heading1"/>
      </w:pPr>
      <w:bookmarkStart w:id="8" w:name="_Toc535999638"/>
      <w:r>
        <w:t>VE during Technical Design Reviews</w:t>
      </w:r>
      <w:bookmarkEnd w:id="8"/>
    </w:p>
    <w:p w14:paraId="70DD404F" w14:textId="6AC2E4D6" w:rsidR="006554BC" w:rsidRPr="001D2FA7" w:rsidRDefault="00CA1E6F" w:rsidP="006554BC">
      <w:pPr>
        <w:pStyle w:val="NotesBody11pt"/>
        <w:spacing w:line="240" w:lineRule="auto"/>
        <w:ind w:left="360"/>
        <w:rPr>
          <w:color w:val="000000" w:themeColor="text1"/>
        </w:rPr>
      </w:pPr>
      <w:bookmarkStart w:id="9" w:name="_Toc300307738"/>
      <w:r>
        <w:rPr>
          <w:color w:val="000000" w:themeColor="text1"/>
        </w:rPr>
        <w:t xml:space="preserve">L2 </w:t>
      </w:r>
      <w:r w:rsidR="0019240F">
        <w:rPr>
          <w:color w:val="000000" w:themeColor="text1"/>
        </w:rPr>
        <w:t xml:space="preserve">system and sub-system designs are formalized </w:t>
      </w:r>
      <w:r w:rsidR="00384090">
        <w:rPr>
          <w:color w:val="000000" w:themeColor="text1"/>
        </w:rPr>
        <w:t>through</w:t>
      </w:r>
      <w:r w:rsidR="00DC24EB">
        <w:rPr>
          <w:color w:val="000000" w:themeColor="text1"/>
        </w:rPr>
        <w:t xml:space="preserve"> the </w:t>
      </w:r>
      <w:r w:rsidR="0019240F">
        <w:rPr>
          <w:color w:val="000000" w:themeColor="text1"/>
        </w:rPr>
        <w:t xml:space="preserve">design review process established by the </w:t>
      </w:r>
      <w:r w:rsidR="0019240F" w:rsidRPr="0019240F">
        <w:rPr>
          <w:i/>
          <w:color w:val="000000" w:themeColor="text1"/>
        </w:rPr>
        <w:t>PIP-II Review Plan</w:t>
      </w:r>
      <w:r w:rsidR="0019240F">
        <w:rPr>
          <w:color w:val="000000" w:themeColor="text1"/>
        </w:rPr>
        <w:t xml:space="preserve"> [5].  During the preliminary design reviews (PDR) </w:t>
      </w:r>
      <w:r w:rsidR="001D2FA7">
        <w:rPr>
          <w:color w:val="000000" w:themeColor="text1"/>
        </w:rPr>
        <w:t>held</w:t>
      </w:r>
      <w:r w:rsidR="0019240F">
        <w:rPr>
          <w:color w:val="000000" w:themeColor="text1"/>
        </w:rPr>
        <w:t xml:space="preserve"> </w:t>
      </w:r>
      <w:r w:rsidR="002A5006">
        <w:rPr>
          <w:color w:val="000000" w:themeColor="text1"/>
        </w:rPr>
        <w:t>through</w:t>
      </w:r>
      <w:r w:rsidR="001D2FA7">
        <w:rPr>
          <w:color w:val="000000" w:themeColor="text1"/>
        </w:rPr>
        <w:t xml:space="preserve"> the design cycles of the</w:t>
      </w:r>
      <w:r w:rsidR="0019240F">
        <w:rPr>
          <w:color w:val="000000" w:themeColor="text1"/>
        </w:rPr>
        <w:t xml:space="preserve"> L3/4 sub-system</w:t>
      </w:r>
      <w:r w:rsidR="001D2FA7">
        <w:rPr>
          <w:color w:val="000000" w:themeColor="text1"/>
        </w:rPr>
        <w:t>s</w:t>
      </w:r>
      <w:r w:rsidR="0019240F">
        <w:rPr>
          <w:color w:val="000000" w:themeColor="text1"/>
        </w:rPr>
        <w:t>, technical reviewers are requested to identify</w:t>
      </w:r>
      <w:r w:rsidR="00A807A2">
        <w:rPr>
          <w:color w:val="000000" w:themeColor="text1"/>
        </w:rPr>
        <w:t xml:space="preserve"> potential</w:t>
      </w:r>
      <w:r w:rsidR="0019240F">
        <w:rPr>
          <w:color w:val="000000" w:themeColor="text1"/>
        </w:rPr>
        <w:t xml:space="preserve"> VE opportunities</w:t>
      </w:r>
      <w:r w:rsidR="001D2FA7">
        <w:rPr>
          <w:color w:val="000000" w:themeColor="text1"/>
        </w:rPr>
        <w:t xml:space="preserve"> for the respective system and sub-system managers to consider</w:t>
      </w:r>
      <w:r w:rsidR="0019240F">
        <w:rPr>
          <w:color w:val="000000" w:themeColor="text1"/>
        </w:rPr>
        <w:t>.</w:t>
      </w:r>
      <w:r w:rsidR="001D2FA7">
        <w:rPr>
          <w:color w:val="000000" w:themeColor="text1"/>
        </w:rPr>
        <w:t xml:space="preserve">  </w:t>
      </w:r>
      <w:r w:rsidR="00996FCF">
        <w:rPr>
          <w:color w:val="000000" w:themeColor="text1"/>
        </w:rPr>
        <w:t>VE o</w:t>
      </w:r>
      <w:r w:rsidR="001D2FA7">
        <w:rPr>
          <w:color w:val="000000" w:themeColor="text1"/>
        </w:rPr>
        <w:t xml:space="preserve">pportunities are not included in the list of </w:t>
      </w:r>
      <w:r w:rsidR="009A0AE8">
        <w:rPr>
          <w:color w:val="000000" w:themeColor="text1"/>
        </w:rPr>
        <w:t xml:space="preserve">formal </w:t>
      </w:r>
      <w:r w:rsidR="001D2FA7">
        <w:rPr>
          <w:color w:val="000000" w:themeColor="text1"/>
        </w:rPr>
        <w:t>recommendations.</w:t>
      </w:r>
      <w:r w:rsidR="0019240F">
        <w:rPr>
          <w:color w:val="000000" w:themeColor="text1"/>
        </w:rPr>
        <w:t xml:space="preserve">  The PDR Chair </w:t>
      </w:r>
      <w:r w:rsidR="00384090">
        <w:rPr>
          <w:color w:val="000000" w:themeColor="text1"/>
        </w:rPr>
        <w:t xml:space="preserve">is responsible for </w:t>
      </w:r>
      <w:r w:rsidR="0019240F">
        <w:rPr>
          <w:color w:val="000000" w:themeColor="text1"/>
        </w:rPr>
        <w:t>record</w:t>
      </w:r>
      <w:r w:rsidR="00384090">
        <w:rPr>
          <w:color w:val="000000" w:themeColor="text1"/>
        </w:rPr>
        <w:t>ing</w:t>
      </w:r>
      <w:r w:rsidR="0019240F">
        <w:rPr>
          <w:color w:val="000000" w:themeColor="text1"/>
        </w:rPr>
        <w:t xml:space="preserve"> </w:t>
      </w:r>
      <w:r w:rsidR="001D2FA7">
        <w:rPr>
          <w:color w:val="000000" w:themeColor="text1"/>
        </w:rPr>
        <w:t xml:space="preserve">any identified </w:t>
      </w:r>
      <w:r w:rsidR="0019240F">
        <w:rPr>
          <w:color w:val="000000" w:themeColor="text1"/>
        </w:rPr>
        <w:t xml:space="preserve">opportunities in the </w:t>
      </w:r>
      <w:r w:rsidR="00FC2CBD" w:rsidRPr="00872D18">
        <w:rPr>
          <w:i/>
          <w:color w:val="000000" w:themeColor="text1"/>
        </w:rPr>
        <w:t xml:space="preserve">PIP-II </w:t>
      </w:r>
      <w:r w:rsidR="00FC2CBD">
        <w:rPr>
          <w:i/>
          <w:color w:val="000000" w:themeColor="text1"/>
        </w:rPr>
        <w:t xml:space="preserve">VE Opportunities List for </w:t>
      </w:r>
      <w:r w:rsidR="00FC2CBD" w:rsidRPr="00872D18">
        <w:rPr>
          <w:i/>
          <w:color w:val="000000" w:themeColor="text1"/>
        </w:rPr>
        <w:t>Reviewer</w:t>
      </w:r>
      <w:r w:rsidR="00FC2CBD">
        <w:rPr>
          <w:i/>
          <w:color w:val="000000" w:themeColor="text1"/>
        </w:rPr>
        <w:t>s</w:t>
      </w:r>
      <w:r w:rsidR="00FC2CBD">
        <w:rPr>
          <w:color w:val="000000" w:themeColor="text1"/>
        </w:rPr>
        <w:t xml:space="preserve"> </w:t>
      </w:r>
      <w:r w:rsidR="00BC04AE">
        <w:rPr>
          <w:color w:val="000000" w:themeColor="text1"/>
        </w:rPr>
        <w:t xml:space="preserve">spreadsheet </w:t>
      </w:r>
      <w:r w:rsidR="001D2FA7">
        <w:rPr>
          <w:color w:val="000000" w:themeColor="text1"/>
        </w:rPr>
        <w:t>as part of the</w:t>
      </w:r>
      <w:r w:rsidR="00B549B9">
        <w:rPr>
          <w:color w:val="000000" w:themeColor="text1"/>
        </w:rPr>
        <w:t xml:space="preserve"> final</w:t>
      </w:r>
      <w:r w:rsidR="001D2FA7">
        <w:rPr>
          <w:color w:val="000000" w:themeColor="text1"/>
        </w:rPr>
        <w:t xml:space="preserve"> PDR Chair report.</w:t>
      </w:r>
      <w:r w:rsidR="00BC04AE">
        <w:rPr>
          <w:color w:val="000000" w:themeColor="text1"/>
        </w:rPr>
        <w:t xml:space="preserve"> </w:t>
      </w:r>
    </w:p>
    <w:p w14:paraId="56B74745" w14:textId="77777777" w:rsidR="006554BC" w:rsidRDefault="006554BC" w:rsidP="006554BC">
      <w:pPr>
        <w:pStyle w:val="NotesBody11pt"/>
        <w:spacing w:line="240" w:lineRule="auto"/>
        <w:ind w:left="360"/>
        <w:rPr>
          <w:color w:val="000000" w:themeColor="text1"/>
        </w:rPr>
      </w:pPr>
    </w:p>
    <w:p w14:paraId="1724261F" w14:textId="41F4BA8C" w:rsidR="006554BC" w:rsidRDefault="006554BC" w:rsidP="00CA1E6F">
      <w:pPr>
        <w:pStyle w:val="NotesBody11pt"/>
        <w:spacing w:line="240" w:lineRule="auto"/>
        <w:ind w:left="360"/>
        <w:rPr>
          <w:color w:val="000000" w:themeColor="text1"/>
        </w:rPr>
      </w:pPr>
      <w:r>
        <w:rPr>
          <w:color w:val="000000" w:themeColor="text1"/>
        </w:rPr>
        <w:t xml:space="preserve">Following the technical design reviews, </w:t>
      </w:r>
      <w:r w:rsidR="00263E53">
        <w:rPr>
          <w:color w:val="000000" w:themeColor="text1"/>
        </w:rPr>
        <w:t xml:space="preserve">the L2M will log </w:t>
      </w:r>
      <w:r>
        <w:rPr>
          <w:color w:val="000000" w:themeColor="text1"/>
        </w:rPr>
        <w:t xml:space="preserve">all identified opportunities in the </w:t>
      </w:r>
      <w:r w:rsidRPr="00325C54">
        <w:rPr>
          <w:i/>
        </w:rPr>
        <w:t>PIP-II VE Opportunity Tracking Sheet</w:t>
      </w:r>
      <w:r w:rsidR="001D2FA7">
        <w:t>.</w:t>
      </w:r>
      <w:r>
        <w:t xml:space="preserve">  </w:t>
      </w:r>
      <w:r>
        <w:rPr>
          <w:color w:val="000000" w:themeColor="text1"/>
        </w:rPr>
        <w:t>Opportunities</w:t>
      </w:r>
      <w:r w:rsidR="009A0AE8">
        <w:rPr>
          <w:color w:val="000000" w:themeColor="text1"/>
        </w:rPr>
        <w:t xml:space="preserve"> are</w:t>
      </w:r>
      <w:r>
        <w:rPr>
          <w:color w:val="000000" w:themeColor="text1"/>
        </w:rPr>
        <w:t xml:space="preserve"> evaluated by th</w:t>
      </w:r>
      <w:r w:rsidR="001D2FA7">
        <w:rPr>
          <w:color w:val="000000" w:themeColor="text1"/>
        </w:rPr>
        <w:t>e procedure defined in section 8</w:t>
      </w:r>
      <w:r>
        <w:rPr>
          <w:color w:val="000000" w:themeColor="text1"/>
        </w:rPr>
        <w:t xml:space="preserve"> of this document.</w:t>
      </w:r>
    </w:p>
    <w:p w14:paraId="4F56B2CF" w14:textId="57AB48FB" w:rsidR="003F62B3" w:rsidRDefault="003F62B3" w:rsidP="00CA1E6F">
      <w:pPr>
        <w:pStyle w:val="NotesBody11pt"/>
        <w:spacing w:line="240" w:lineRule="auto"/>
        <w:ind w:left="360"/>
      </w:pPr>
    </w:p>
    <w:p w14:paraId="611B9714" w14:textId="1220931F" w:rsidR="003F62B3" w:rsidRDefault="009F5BEF" w:rsidP="00CA1E6F">
      <w:pPr>
        <w:pStyle w:val="NotesBody11pt"/>
        <w:spacing w:line="240" w:lineRule="auto"/>
        <w:ind w:left="360"/>
      </w:pPr>
      <w:r>
        <w:t xml:space="preserve">On occasion, additional VE opportunities may arise following the preliminary design </w:t>
      </w:r>
      <w:r w:rsidR="008F0CD2">
        <w:t>phase</w:t>
      </w:r>
      <w:r>
        <w:t xml:space="preserve">.  </w:t>
      </w:r>
      <w:r w:rsidR="00C34CF9">
        <w:t>The L2M</w:t>
      </w:r>
      <w:r w:rsidR="008F0CD2">
        <w:t xml:space="preserve"> will record and evaluate these on an ad hoc basis.</w:t>
      </w:r>
    </w:p>
    <w:p w14:paraId="612B6061" w14:textId="3D6D5579" w:rsidR="00D05FFF" w:rsidRDefault="00D57BB2" w:rsidP="009604D2">
      <w:pPr>
        <w:pStyle w:val="Heading1"/>
      </w:pPr>
      <w:bookmarkStart w:id="10" w:name="_Toc535999639"/>
      <w:bookmarkEnd w:id="9"/>
      <w:r>
        <w:t xml:space="preserve">Logging, Tracking, </w:t>
      </w:r>
      <w:r w:rsidR="000F0A42">
        <w:t>Evaluating</w:t>
      </w:r>
      <w:r>
        <w:t>, and Implementing</w:t>
      </w:r>
      <w:r w:rsidR="000F0A42">
        <w:t xml:space="preserve"> VE Opportunities</w:t>
      </w:r>
      <w:bookmarkEnd w:id="10"/>
    </w:p>
    <w:p w14:paraId="006F3C4E" w14:textId="55FBF86B" w:rsidR="0009017C" w:rsidRDefault="000F0A42" w:rsidP="000F0A42">
      <w:pPr>
        <w:pStyle w:val="Heading2"/>
      </w:pPr>
      <w:bookmarkStart w:id="11" w:name="_Toc535999640"/>
      <w:r>
        <w:t>Logging and Tracking VE Opportunities</w:t>
      </w:r>
      <w:bookmarkEnd w:id="11"/>
    </w:p>
    <w:p w14:paraId="0C02B3C4" w14:textId="219F67D7" w:rsidR="00191B57" w:rsidRDefault="00583D0A" w:rsidP="00E225D3">
      <w:pPr>
        <w:pStyle w:val="Normal1"/>
        <w:spacing w:before="240" w:line="240" w:lineRule="auto"/>
        <w:ind w:left="360"/>
        <w:jc w:val="both"/>
        <w:rPr>
          <w:color w:val="000000" w:themeColor="text1"/>
        </w:rPr>
      </w:pPr>
      <w:r>
        <w:t xml:space="preserve">The </w:t>
      </w:r>
      <w:r w:rsidRPr="00872D18">
        <w:rPr>
          <w:i/>
          <w:color w:val="000000" w:themeColor="text1"/>
        </w:rPr>
        <w:t>PIP-II Reviewer VE Opportunities List Templat</w:t>
      </w:r>
      <w:r>
        <w:rPr>
          <w:i/>
          <w:color w:val="000000" w:themeColor="text1"/>
        </w:rPr>
        <w:t xml:space="preserve">e </w:t>
      </w:r>
      <w:r>
        <w:rPr>
          <w:color w:val="000000" w:themeColor="text1"/>
        </w:rPr>
        <w:t xml:space="preserve">spreadsheet will be used as a standard form to collect identified </w:t>
      </w:r>
      <w:r w:rsidR="00E01331">
        <w:rPr>
          <w:color w:val="000000" w:themeColor="text1"/>
        </w:rPr>
        <w:t xml:space="preserve">VE </w:t>
      </w:r>
      <w:r>
        <w:rPr>
          <w:color w:val="000000" w:themeColor="text1"/>
        </w:rPr>
        <w:t>opportunities in the VE workshops, BOE reviews, and design reviews.</w:t>
      </w:r>
      <w:r w:rsidR="00FC2CBD">
        <w:rPr>
          <w:color w:val="000000" w:themeColor="text1"/>
        </w:rPr>
        <w:t xml:space="preserve">  A</w:t>
      </w:r>
      <w:r w:rsidR="00802527">
        <w:rPr>
          <w:color w:val="000000" w:themeColor="text1"/>
        </w:rPr>
        <w:t>n image</w:t>
      </w:r>
      <w:r w:rsidR="00FC2CBD">
        <w:rPr>
          <w:color w:val="000000" w:themeColor="text1"/>
        </w:rPr>
        <w:t xml:space="preserve"> of the spreadsheet is shown below in </w:t>
      </w:r>
      <w:r w:rsidR="00484B27">
        <w:rPr>
          <w:color w:val="000000" w:themeColor="text1"/>
        </w:rPr>
        <w:t>Figure 2</w:t>
      </w:r>
      <w:r w:rsidR="00FC2CBD">
        <w:rPr>
          <w:color w:val="000000" w:themeColor="text1"/>
        </w:rPr>
        <w:t xml:space="preserve"> with an example VE opportunity filled out.</w:t>
      </w:r>
    </w:p>
    <w:p w14:paraId="775ED1E9" w14:textId="7065E040" w:rsidR="00FC2CBD" w:rsidRPr="00583D0A" w:rsidRDefault="00FC2CBD" w:rsidP="00FC2CBD">
      <w:pPr>
        <w:pStyle w:val="Normal1"/>
        <w:spacing w:before="240" w:line="240" w:lineRule="auto"/>
        <w:ind w:left="360"/>
        <w:jc w:val="center"/>
      </w:pPr>
      <w:r>
        <w:rPr>
          <w:noProof/>
        </w:rPr>
        <w:lastRenderedPageBreak/>
        <w:drawing>
          <wp:inline distT="0" distB="0" distL="0" distR="0" wp14:anchorId="0F58DBE2" wp14:editId="6A612CD9">
            <wp:extent cx="5895917" cy="216768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19112" cy="2176213"/>
                    </a:xfrm>
                    <a:prstGeom prst="rect">
                      <a:avLst/>
                    </a:prstGeom>
                  </pic:spPr>
                </pic:pic>
              </a:graphicData>
            </a:graphic>
          </wp:inline>
        </w:drawing>
      </w:r>
    </w:p>
    <w:p w14:paraId="26F438B6" w14:textId="77777777" w:rsidR="00FC2CBD" w:rsidRDefault="00FC2CBD" w:rsidP="00FC2CBD">
      <w:pPr>
        <w:pStyle w:val="NotesBody11pt"/>
        <w:tabs>
          <w:tab w:val="right" w:pos="10350"/>
        </w:tabs>
        <w:spacing w:line="240" w:lineRule="auto"/>
        <w:jc w:val="center"/>
      </w:pPr>
    </w:p>
    <w:p w14:paraId="2D46210B" w14:textId="79D0A02D" w:rsidR="007149A1" w:rsidRDefault="00484B27" w:rsidP="00FC2CBD">
      <w:pPr>
        <w:pStyle w:val="NotesBody11pt"/>
        <w:tabs>
          <w:tab w:val="right" w:pos="10350"/>
        </w:tabs>
        <w:spacing w:line="240" w:lineRule="auto"/>
        <w:jc w:val="center"/>
        <w:rPr>
          <w:i/>
          <w:color w:val="000000" w:themeColor="text1"/>
        </w:rPr>
      </w:pPr>
      <w:r>
        <w:t>Figure</w:t>
      </w:r>
      <w:r w:rsidR="00FC2CBD">
        <w:t xml:space="preserve"> </w:t>
      </w:r>
      <w:r>
        <w:t>2</w:t>
      </w:r>
      <w:r w:rsidR="00FC2CBD">
        <w:t xml:space="preserve">:  Example VE opportunity identified in the </w:t>
      </w:r>
      <w:r w:rsidR="00FC2CBD" w:rsidRPr="00872D18">
        <w:rPr>
          <w:i/>
          <w:color w:val="000000" w:themeColor="text1"/>
        </w:rPr>
        <w:t xml:space="preserve">PIP-II </w:t>
      </w:r>
      <w:r w:rsidR="00FC2CBD">
        <w:rPr>
          <w:i/>
          <w:color w:val="000000" w:themeColor="text1"/>
        </w:rPr>
        <w:t xml:space="preserve">VE Opportunities List for </w:t>
      </w:r>
      <w:r w:rsidR="00FC2CBD" w:rsidRPr="00872D18">
        <w:rPr>
          <w:i/>
          <w:color w:val="000000" w:themeColor="text1"/>
        </w:rPr>
        <w:t>Reviewer</w:t>
      </w:r>
      <w:r w:rsidR="00FC2CBD">
        <w:rPr>
          <w:i/>
          <w:color w:val="000000" w:themeColor="text1"/>
        </w:rPr>
        <w:t>s</w:t>
      </w:r>
    </w:p>
    <w:p w14:paraId="522E9E2F" w14:textId="61775CBF" w:rsidR="00FC2CBD" w:rsidRDefault="00FC2CBD" w:rsidP="00FC2CBD">
      <w:pPr>
        <w:pStyle w:val="NotesBody11pt"/>
        <w:tabs>
          <w:tab w:val="right" w:pos="10350"/>
        </w:tabs>
        <w:spacing w:line="240" w:lineRule="auto"/>
        <w:ind w:left="432"/>
        <w:jc w:val="left"/>
        <w:rPr>
          <w:color w:val="000000" w:themeColor="text1"/>
        </w:rPr>
      </w:pPr>
    </w:p>
    <w:p w14:paraId="704B0095" w14:textId="4D7EE9D4" w:rsidR="00E01331" w:rsidRDefault="00E01331" w:rsidP="00940664">
      <w:pPr>
        <w:pStyle w:val="NotesBody11pt"/>
        <w:tabs>
          <w:tab w:val="right" w:pos="10350"/>
        </w:tabs>
        <w:spacing w:line="240" w:lineRule="auto"/>
        <w:ind w:left="432"/>
      </w:pPr>
      <w:r>
        <w:t xml:space="preserve">All columns of information </w:t>
      </w:r>
      <w:r w:rsidR="006A0D04">
        <w:t>are</w:t>
      </w:r>
      <w:r>
        <w:t xml:space="preserve"> completed to the extent information is known at the time the opportunity is identified.  The </w:t>
      </w:r>
      <w:r w:rsidR="00940664">
        <w:t>‘D</w:t>
      </w:r>
      <w:r>
        <w:t>escription</w:t>
      </w:r>
      <w:r w:rsidR="00940664">
        <w:t>’</w:t>
      </w:r>
      <w:r>
        <w:t xml:space="preserve"> and </w:t>
      </w:r>
      <w:r w:rsidR="00940664">
        <w:t>‘C</w:t>
      </w:r>
      <w:r>
        <w:t>omments</w:t>
      </w:r>
      <w:r w:rsidR="00940664">
        <w:t>’ fields</w:t>
      </w:r>
      <w:r>
        <w:t xml:space="preserve"> </w:t>
      </w:r>
      <w:r w:rsidR="006A0D04">
        <w:t>must</w:t>
      </w:r>
      <w:r w:rsidR="0009017C">
        <w:t xml:space="preserve"> </w:t>
      </w:r>
      <w:r>
        <w:t xml:space="preserve">be completed with </w:t>
      </w:r>
      <w:r w:rsidR="0092494A">
        <w:t>enough</w:t>
      </w:r>
      <w:r>
        <w:t xml:space="preserve"> detail to establish a basis </w:t>
      </w:r>
      <w:r w:rsidR="00940664">
        <w:t>to evaluate the</w:t>
      </w:r>
      <w:r>
        <w:t xml:space="preserve"> </w:t>
      </w:r>
      <w:r w:rsidR="00940664">
        <w:t>opportunity.</w:t>
      </w:r>
    </w:p>
    <w:p w14:paraId="06FCDFEE" w14:textId="2E275EEA" w:rsidR="00E01331" w:rsidRDefault="00E01331" w:rsidP="00E01331">
      <w:pPr>
        <w:pStyle w:val="NotesBody11pt"/>
        <w:tabs>
          <w:tab w:val="right" w:pos="10350"/>
        </w:tabs>
        <w:spacing w:line="240" w:lineRule="auto"/>
        <w:ind w:left="432"/>
        <w:jc w:val="left"/>
      </w:pPr>
    </w:p>
    <w:p w14:paraId="21792D79" w14:textId="1D5DB560" w:rsidR="00F61936" w:rsidRDefault="00940664" w:rsidP="00F61936">
      <w:pPr>
        <w:pStyle w:val="NotesBody11pt"/>
        <w:tabs>
          <w:tab w:val="right" w:pos="10350"/>
        </w:tabs>
        <w:spacing w:line="240" w:lineRule="auto"/>
        <w:ind w:left="432"/>
      </w:pPr>
      <w:r>
        <w:t xml:space="preserve">When </w:t>
      </w:r>
      <w:r w:rsidR="00E01331">
        <w:t>VE opportunities</w:t>
      </w:r>
      <w:r>
        <w:t xml:space="preserve"> are identified, they</w:t>
      </w:r>
      <w:r w:rsidR="00E01331">
        <w:t xml:space="preserve"> are</w:t>
      </w:r>
      <w:r>
        <w:t xml:space="preserve"> given to</w:t>
      </w:r>
      <w:r w:rsidR="00E01331">
        <w:t xml:space="preserve"> the affected L2</w:t>
      </w:r>
      <w:r w:rsidR="00E14FA1">
        <w:t xml:space="preserve">M </w:t>
      </w:r>
      <w:r>
        <w:t xml:space="preserve">who </w:t>
      </w:r>
      <w:r w:rsidR="00396027">
        <w:t>records</w:t>
      </w:r>
      <w:r>
        <w:t xml:space="preserve"> them in the </w:t>
      </w:r>
      <w:r w:rsidRPr="00325C54">
        <w:rPr>
          <w:i/>
        </w:rPr>
        <w:t>PIP-II VE Opportunity Tracking Sheet</w:t>
      </w:r>
      <w:r w:rsidR="0009017C">
        <w:t xml:space="preserve"> located on PIP-II </w:t>
      </w:r>
      <w:proofErr w:type="spellStart"/>
      <w:r w:rsidR="0009017C">
        <w:t>DocDB</w:t>
      </w:r>
      <w:proofErr w:type="spellEnd"/>
      <w:r w:rsidR="0009017C">
        <w:t xml:space="preserve">.  These opportunities are added to the bottom of the running VE opportunity list.  Each new entry </w:t>
      </w:r>
      <w:r w:rsidR="00DC3911">
        <w:t>will</w:t>
      </w:r>
      <w:r w:rsidR="0009017C">
        <w:t xml:space="preserve"> receive a unique ID.</w:t>
      </w:r>
    </w:p>
    <w:p w14:paraId="1D97092F" w14:textId="46480307" w:rsidR="0009017C" w:rsidRDefault="0009017C" w:rsidP="0009017C">
      <w:pPr>
        <w:pStyle w:val="NotesBody11pt"/>
        <w:tabs>
          <w:tab w:val="right" w:pos="10350"/>
        </w:tabs>
        <w:spacing w:line="240" w:lineRule="auto"/>
        <w:ind w:left="432"/>
      </w:pPr>
    </w:p>
    <w:p w14:paraId="53A8EACD" w14:textId="74FAAD5A" w:rsidR="0009017C" w:rsidRDefault="0009017C" w:rsidP="0009017C">
      <w:pPr>
        <w:pStyle w:val="NotesBody11pt"/>
        <w:tabs>
          <w:tab w:val="right" w:pos="10350"/>
        </w:tabs>
        <w:spacing w:line="240" w:lineRule="auto"/>
        <w:ind w:left="432"/>
      </w:pPr>
      <w:r>
        <w:t>Once VE opportunities are l</w:t>
      </w:r>
      <w:r w:rsidR="000F0A42">
        <w:t>ogged, the L2</w:t>
      </w:r>
      <w:r w:rsidR="00396027">
        <w:t xml:space="preserve">M </w:t>
      </w:r>
      <w:r>
        <w:t xml:space="preserve">is responsible for evaluating each opportunity and recording the results and status in the </w:t>
      </w:r>
      <w:r w:rsidRPr="00325C54">
        <w:rPr>
          <w:i/>
        </w:rPr>
        <w:t>PIP-II VE Opportunity Tracking Sheet</w:t>
      </w:r>
      <w:r>
        <w:rPr>
          <w:i/>
        </w:rPr>
        <w:t>.</w:t>
      </w:r>
      <w:r>
        <w:t xml:space="preserve"> </w:t>
      </w:r>
    </w:p>
    <w:p w14:paraId="4FC6A24A" w14:textId="124CC16F" w:rsidR="000F0A42" w:rsidRDefault="000F0A42" w:rsidP="0009017C">
      <w:pPr>
        <w:pStyle w:val="NotesBody11pt"/>
        <w:tabs>
          <w:tab w:val="right" w:pos="10350"/>
        </w:tabs>
        <w:spacing w:line="240" w:lineRule="auto"/>
        <w:ind w:left="432"/>
      </w:pPr>
    </w:p>
    <w:p w14:paraId="4118CBDE" w14:textId="3F59C76A" w:rsidR="000F0A42" w:rsidRPr="000F0A42" w:rsidRDefault="000F0A42" w:rsidP="000F0A42">
      <w:pPr>
        <w:pStyle w:val="Heading2"/>
      </w:pPr>
      <w:bookmarkStart w:id="12" w:name="_Toc535999641"/>
      <w:r>
        <w:t>Evaluating VE Opportunities</w:t>
      </w:r>
      <w:bookmarkEnd w:id="12"/>
    </w:p>
    <w:p w14:paraId="3517B7BE" w14:textId="7CD604A5" w:rsidR="00013CCD" w:rsidRDefault="00013CCD" w:rsidP="00013CCD">
      <w:pPr>
        <w:pStyle w:val="Heading3"/>
      </w:pPr>
      <w:r>
        <w:t>Preliminary Assessment</w:t>
      </w:r>
    </w:p>
    <w:p w14:paraId="5BBDC5CC" w14:textId="61573637" w:rsidR="000F0A42" w:rsidRDefault="002557BE" w:rsidP="00F61936">
      <w:pPr>
        <w:pStyle w:val="NotesBody11pt"/>
        <w:ind w:left="432"/>
      </w:pPr>
      <w:r>
        <w:t>T</w:t>
      </w:r>
      <w:r w:rsidR="000F0A42">
        <w:t>he L2</w:t>
      </w:r>
      <w:r w:rsidR="00A5472B">
        <w:t>M and</w:t>
      </w:r>
      <w:r w:rsidR="000F0A42">
        <w:t xml:space="preserve"> affected L3/CAMs</w:t>
      </w:r>
      <w:r w:rsidR="00A5472B">
        <w:t xml:space="preserve"> </w:t>
      </w:r>
      <w:r>
        <w:t xml:space="preserve">complete the </w:t>
      </w:r>
      <w:r w:rsidR="00206204">
        <w:t>p</w:t>
      </w:r>
      <w:r>
        <w:t xml:space="preserve">reliminary </w:t>
      </w:r>
      <w:r w:rsidR="00206204">
        <w:t>a</w:t>
      </w:r>
      <w:r>
        <w:t xml:space="preserve">ssessment of the </w:t>
      </w:r>
      <w:r w:rsidR="00291CA5">
        <w:t xml:space="preserve">proposed </w:t>
      </w:r>
      <w:r>
        <w:t xml:space="preserve">VE opportunity after </w:t>
      </w:r>
      <w:r w:rsidR="00291CA5">
        <w:t>it</w:t>
      </w:r>
      <w:r>
        <w:t xml:space="preserve"> is logged in the </w:t>
      </w:r>
      <w:r w:rsidRPr="00325C54">
        <w:rPr>
          <w:i/>
        </w:rPr>
        <w:t>PIP-II VE Opportunity Tracking Sheet</w:t>
      </w:r>
      <w:r>
        <w:rPr>
          <w:i/>
        </w:rPr>
        <w:t>.</w:t>
      </w:r>
      <w:r w:rsidR="000F0A42">
        <w:t xml:space="preserve">  </w:t>
      </w:r>
      <w:r w:rsidR="00206204">
        <w:t xml:space="preserve">The preliminary assessment may be completed via discussion, </w:t>
      </w:r>
      <w:r w:rsidR="009A48D9">
        <w:t xml:space="preserve">analysis, or other means of examination as appropriate.  </w:t>
      </w:r>
      <w:r>
        <w:t xml:space="preserve">The results of the assessment are </w:t>
      </w:r>
      <w:r w:rsidR="003A6A89">
        <w:t>documented</w:t>
      </w:r>
      <w:r>
        <w:t xml:space="preserve"> by appending the fields in the VE opportunity with </w:t>
      </w:r>
      <w:r w:rsidR="00F30599">
        <w:t>enough</w:t>
      </w:r>
      <w:r w:rsidR="003578B1">
        <w:t xml:space="preserve"> </w:t>
      </w:r>
      <w:r>
        <w:t xml:space="preserve">information to justify the conclusion.  </w:t>
      </w:r>
      <w:r w:rsidR="00F61936">
        <w:t>The goal</w:t>
      </w:r>
      <w:r w:rsidR="000F0A42">
        <w:t xml:space="preserve"> of the preliminary </w:t>
      </w:r>
      <w:r w:rsidR="00F61936">
        <w:t>assessment</w:t>
      </w:r>
      <w:r w:rsidR="000F0A42">
        <w:t xml:space="preserve"> is to identify VE opportunities that should </w:t>
      </w:r>
      <w:r w:rsidR="003A6A89">
        <w:t>proceed to the Evaluation P</w:t>
      </w:r>
      <w:r w:rsidR="00F61936">
        <w:t>hase which includes a formal cost and impact analys</w:t>
      </w:r>
      <w:r w:rsidR="003A6A89">
        <w:t xml:space="preserve">is.  </w:t>
      </w:r>
    </w:p>
    <w:p w14:paraId="0FF31768" w14:textId="7BD5A5D4" w:rsidR="00F61936" w:rsidRDefault="00F61936" w:rsidP="00F61936">
      <w:pPr>
        <w:pStyle w:val="NotesBody11pt"/>
        <w:ind w:left="432"/>
      </w:pPr>
    </w:p>
    <w:p w14:paraId="4E47A6EF" w14:textId="7DF5FA51" w:rsidR="00F61936" w:rsidRDefault="00F61936" w:rsidP="00F61936">
      <w:pPr>
        <w:pStyle w:val="NotesBody11pt"/>
        <w:ind w:left="432"/>
      </w:pPr>
      <w:r>
        <w:t>During the preliminary assessment, a VE opportunity is discussed</w:t>
      </w:r>
      <w:r w:rsidR="003A6A89">
        <w:t>, documented,</w:t>
      </w:r>
      <w:r>
        <w:t xml:space="preserve"> and characterized</w:t>
      </w:r>
      <w:r w:rsidR="003A6A89">
        <w:t xml:space="preserve"> by the following classifications</w:t>
      </w:r>
      <w:r>
        <w:t>:</w:t>
      </w:r>
    </w:p>
    <w:p w14:paraId="61BED18F" w14:textId="707A52E8" w:rsidR="00F61936" w:rsidRDefault="00F61936" w:rsidP="00F61936">
      <w:pPr>
        <w:pStyle w:val="NotesBody11pt"/>
        <w:ind w:left="432"/>
      </w:pPr>
    </w:p>
    <w:p w14:paraId="26EFF883" w14:textId="01C0302D" w:rsidR="003A6A89" w:rsidRDefault="003A6A89" w:rsidP="0009645A">
      <w:pPr>
        <w:pStyle w:val="NotesBody11pt"/>
        <w:numPr>
          <w:ilvl w:val="0"/>
          <w:numId w:val="41"/>
        </w:numPr>
        <w:jc w:val="left"/>
      </w:pPr>
      <w:r w:rsidRPr="003A6A89">
        <w:rPr>
          <w:u w:val="single"/>
        </w:rPr>
        <w:t>Reject</w:t>
      </w:r>
      <w:r>
        <w:rPr>
          <w:u w:val="single"/>
        </w:rPr>
        <w:t>:</w:t>
      </w:r>
      <w:r>
        <w:t xml:space="preserve"> (</w:t>
      </w:r>
      <w:r w:rsidRPr="003A6A89">
        <w:t>fails function</w:t>
      </w:r>
      <w:r>
        <w:t>al requirements</w:t>
      </w:r>
      <w:r w:rsidRPr="003A6A89">
        <w:t xml:space="preserve">, increases total lifecycle costs, </w:t>
      </w:r>
      <w:r w:rsidR="00F82EE5">
        <w:t xml:space="preserve">lowers performance to level uncompensated by possible cost reduction, </w:t>
      </w:r>
      <w:r w:rsidRPr="003A6A89">
        <w:t>negatively impacts other systems</w:t>
      </w:r>
      <w:r w:rsidR="00D57BB2">
        <w:t>, increases risks to an unacceptable level</w:t>
      </w:r>
      <w:r>
        <w:t>)</w:t>
      </w:r>
    </w:p>
    <w:p w14:paraId="755C1662" w14:textId="66DCD19B" w:rsidR="00F61936" w:rsidRPr="003A6A89" w:rsidRDefault="003A6A89" w:rsidP="0009645A">
      <w:pPr>
        <w:pStyle w:val="NotesBody11pt"/>
        <w:numPr>
          <w:ilvl w:val="0"/>
          <w:numId w:val="40"/>
        </w:numPr>
        <w:jc w:val="left"/>
        <w:rPr>
          <w:u w:val="single"/>
        </w:rPr>
      </w:pPr>
      <w:r w:rsidRPr="003A6A89">
        <w:rPr>
          <w:u w:val="single"/>
        </w:rPr>
        <w:lastRenderedPageBreak/>
        <w:t>Consider</w:t>
      </w:r>
      <w:r>
        <w:rPr>
          <w:u w:val="single"/>
        </w:rPr>
        <w:t>:</w:t>
      </w:r>
      <w:r>
        <w:t xml:space="preserve"> (</w:t>
      </w:r>
      <w:r w:rsidRPr="003A6A89">
        <w:t>may achieve function</w:t>
      </w:r>
      <w:r>
        <w:t>al requirements</w:t>
      </w:r>
      <w:r w:rsidRPr="003A6A89">
        <w:t xml:space="preserve">, </w:t>
      </w:r>
      <w:r w:rsidR="00F82EE5">
        <w:t xml:space="preserve">may improve performance, </w:t>
      </w:r>
      <w:r w:rsidRPr="003A6A89">
        <w:t>may lower total lifecycle costs, may not negatively impact other systems</w:t>
      </w:r>
      <w:r w:rsidR="00D57BB2">
        <w:t>, does not increase risks to an unacceptable level</w:t>
      </w:r>
      <w:r>
        <w:t>)</w:t>
      </w:r>
    </w:p>
    <w:p w14:paraId="3F12918E" w14:textId="14134BFD" w:rsidR="00F61936" w:rsidRPr="003A6A89" w:rsidRDefault="00F61936" w:rsidP="0009645A">
      <w:pPr>
        <w:pStyle w:val="NotesBody11pt"/>
        <w:numPr>
          <w:ilvl w:val="0"/>
          <w:numId w:val="40"/>
        </w:numPr>
        <w:jc w:val="left"/>
        <w:rPr>
          <w:u w:val="single"/>
        </w:rPr>
      </w:pPr>
      <w:r w:rsidRPr="003A6A89">
        <w:rPr>
          <w:u w:val="single"/>
        </w:rPr>
        <w:t>Proceed to Evaluation Phase</w:t>
      </w:r>
      <w:r w:rsidR="003A6A89">
        <w:rPr>
          <w:u w:val="single"/>
        </w:rPr>
        <w:t>:</w:t>
      </w:r>
      <w:r w:rsidR="003A6A89">
        <w:t xml:space="preserve"> (</w:t>
      </w:r>
      <w:r w:rsidR="003A6A89" w:rsidRPr="003A6A89">
        <w:t>achieves function</w:t>
      </w:r>
      <w:r w:rsidR="003A6A89">
        <w:t>al requirements</w:t>
      </w:r>
      <w:r w:rsidR="003A6A89" w:rsidRPr="003A6A89">
        <w:t xml:space="preserve">, </w:t>
      </w:r>
      <w:r w:rsidR="00F82EE5">
        <w:t xml:space="preserve">improves performance, </w:t>
      </w:r>
      <w:r w:rsidR="003A6A89" w:rsidRPr="003A6A89">
        <w:t xml:space="preserve">may lower total lifecycle costs, </w:t>
      </w:r>
      <w:r w:rsidR="003A6A89">
        <w:t>not likely to</w:t>
      </w:r>
      <w:r w:rsidR="003A6A89" w:rsidRPr="003A6A89">
        <w:t xml:space="preserve"> negatively impact other systems</w:t>
      </w:r>
      <w:r w:rsidR="00D57BB2">
        <w:t>, does not increase risks to an unacceptable level</w:t>
      </w:r>
      <w:r w:rsidR="003A6A89">
        <w:t>)</w:t>
      </w:r>
    </w:p>
    <w:p w14:paraId="2338ABDA" w14:textId="02E44DE6" w:rsidR="00F61936" w:rsidRPr="00F82EE5" w:rsidRDefault="00F61936" w:rsidP="0009645A">
      <w:pPr>
        <w:pStyle w:val="NotesBody11pt"/>
        <w:numPr>
          <w:ilvl w:val="0"/>
          <w:numId w:val="40"/>
        </w:numPr>
        <w:jc w:val="left"/>
        <w:rPr>
          <w:u w:val="single"/>
        </w:rPr>
      </w:pPr>
      <w:r w:rsidRPr="003A6A89">
        <w:rPr>
          <w:u w:val="single"/>
        </w:rPr>
        <w:t>Additional Information Needed</w:t>
      </w:r>
      <w:r w:rsidR="003A6A89">
        <w:rPr>
          <w:u w:val="single"/>
        </w:rPr>
        <w:t>:</w:t>
      </w:r>
      <w:r w:rsidR="003A6A89">
        <w:t xml:space="preserve"> (</w:t>
      </w:r>
      <w:r w:rsidR="00F82EE5">
        <w:t>assessment incomplete until additional information obtained</w:t>
      </w:r>
      <w:r w:rsidR="00A41547">
        <w:t xml:space="preserve"> and considered</w:t>
      </w:r>
      <w:r w:rsidR="00F82EE5">
        <w:t>)</w:t>
      </w:r>
    </w:p>
    <w:p w14:paraId="55B69697" w14:textId="19102DA8" w:rsidR="00F82EE5" w:rsidRDefault="00F82EE5" w:rsidP="00F82EE5">
      <w:pPr>
        <w:pStyle w:val="NotesBody11pt"/>
        <w:ind w:left="432"/>
        <w:jc w:val="left"/>
      </w:pPr>
    </w:p>
    <w:p w14:paraId="57850830" w14:textId="3590FDD3" w:rsidR="00013CCD" w:rsidRDefault="00013CCD" w:rsidP="00013CCD">
      <w:pPr>
        <w:pStyle w:val="NotesBody11pt"/>
        <w:ind w:left="432"/>
      </w:pPr>
      <w:r w:rsidRPr="00013CCD">
        <w:rPr>
          <w:i/>
        </w:rPr>
        <w:t>Rejected opportunities</w:t>
      </w:r>
      <w:r>
        <w:t xml:space="preserve"> are documented with statements and information justifying the rejection. </w:t>
      </w:r>
      <w:r w:rsidRPr="00013CCD">
        <w:rPr>
          <w:i/>
        </w:rPr>
        <w:t>Considered opportunities</w:t>
      </w:r>
      <w:r>
        <w:t xml:space="preserve"> may proceed to the Evaluation Phase at the discretion of the L2</w:t>
      </w:r>
      <w:r w:rsidR="00DA300A">
        <w:t>M</w:t>
      </w:r>
      <w:r>
        <w:t>.  When additional information is needed, the L2</w:t>
      </w:r>
      <w:r w:rsidR="00D522E0">
        <w:t xml:space="preserve">M </w:t>
      </w:r>
      <w:r w:rsidR="005A2FFE">
        <w:t>identif</w:t>
      </w:r>
      <w:r w:rsidR="009A5DC9">
        <w:t>ies</w:t>
      </w:r>
      <w:r w:rsidR="005A2FFE">
        <w:t xml:space="preserve"> </w:t>
      </w:r>
      <w:r w:rsidR="009D11DB">
        <w:t>and obtain</w:t>
      </w:r>
      <w:r w:rsidR="009A5DC9">
        <w:t>s</w:t>
      </w:r>
      <w:r w:rsidR="009D11DB">
        <w:t xml:space="preserve"> what is required </w:t>
      </w:r>
      <w:r>
        <w:t>to complete the preliminary assessment.</w:t>
      </w:r>
    </w:p>
    <w:p w14:paraId="34C2E044" w14:textId="33224F32" w:rsidR="00013CCD" w:rsidRDefault="00013CCD" w:rsidP="00F82EE5">
      <w:pPr>
        <w:pStyle w:val="NotesBody11pt"/>
        <w:ind w:left="432"/>
        <w:jc w:val="left"/>
      </w:pPr>
    </w:p>
    <w:p w14:paraId="4644F75F" w14:textId="2558E0C2" w:rsidR="00013CCD" w:rsidRDefault="00013CCD" w:rsidP="00013CCD">
      <w:pPr>
        <w:pStyle w:val="Heading3"/>
      </w:pPr>
      <w:r>
        <w:t>Evaluation Phase</w:t>
      </w:r>
    </w:p>
    <w:p w14:paraId="5DB3475E" w14:textId="77427D1C" w:rsidR="00013CCD" w:rsidRDefault="00013CCD" w:rsidP="00013CCD">
      <w:pPr>
        <w:pStyle w:val="NotesBody11pt"/>
        <w:ind w:left="432"/>
      </w:pPr>
    </w:p>
    <w:p w14:paraId="05FBBED0" w14:textId="3BB6554A" w:rsidR="00474F01" w:rsidRDefault="00921CBB" w:rsidP="00013CCD">
      <w:pPr>
        <w:pStyle w:val="NotesBody11pt"/>
        <w:ind w:left="432"/>
      </w:pPr>
      <w:r>
        <w:t>The L2</w:t>
      </w:r>
      <w:r w:rsidR="009A5DC9">
        <w:t>M</w:t>
      </w:r>
      <w:r>
        <w:t xml:space="preserve"> </w:t>
      </w:r>
      <w:r w:rsidR="00D57BB2">
        <w:t xml:space="preserve">proceeds to evaluate compelling VE opportunities by performing a formal cost and impact analysis.  </w:t>
      </w:r>
      <w:r w:rsidR="00474F01">
        <w:t>For some VE opportunities, the cost and impact are contained solely within the L2 System</w:t>
      </w:r>
      <w:r w:rsidR="002C3D9E">
        <w:t xml:space="preserve"> boundaries</w:t>
      </w:r>
      <w:r w:rsidR="00474F01">
        <w:t xml:space="preserve">.  For others, VE opportunities may cross L2 System boundaries and affect the cost </w:t>
      </w:r>
      <w:r w:rsidR="00DB10FF">
        <w:t>or</w:t>
      </w:r>
      <w:r w:rsidR="00474F01">
        <w:t xml:space="preserve"> impact other systems.</w:t>
      </w:r>
    </w:p>
    <w:p w14:paraId="4C378B9E" w14:textId="77777777" w:rsidR="00474F01" w:rsidRDefault="00474F01" w:rsidP="00013CCD">
      <w:pPr>
        <w:pStyle w:val="NotesBody11pt"/>
        <w:ind w:left="432"/>
      </w:pPr>
    </w:p>
    <w:p w14:paraId="4CC68C50" w14:textId="15AC6CC2" w:rsidR="00921CBB" w:rsidRDefault="00474F01" w:rsidP="00013CCD">
      <w:pPr>
        <w:pStyle w:val="NotesBody11pt"/>
        <w:ind w:left="432"/>
      </w:pPr>
      <w:r>
        <w:t>The</w:t>
      </w:r>
      <w:r w:rsidR="00D57BB2">
        <w:t xml:space="preserve"> cost analysis must include the total lifecycle cost of the proposed change for the primary system in question as well as all other impacted systems.  A cost reduction in one system may be offset by a cost increase in another affected system.  Care must be taken to identify and understand the total lifecycle costs of the opportunity.</w:t>
      </w:r>
    </w:p>
    <w:p w14:paraId="3CF8EF97" w14:textId="350C3B30" w:rsidR="00474F01" w:rsidRDefault="00474F01" w:rsidP="00013CCD">
      <w:pPr>
        <w:pStyle w:val="NotesBody11pt"/>
        <w:ind w:left="432"/>
      </w:pPr>
    </w:p>
    <w:p w14:paraId="31477748" w14:textId="22919C64" w:rsidR="00474F01" w:rsidRDefault="00474F01" w:rsidP="00013CCD">
      <w:pPr>
        <w:pStyle w:val="NotesBody11pt"/>
        <w:ind w:left="432"/>
      </w:pPr>
      <w:r>
        <w:t>The impact analysis must include an examination of possible changes to cross-cutting interfaces, functional requirements, and performance risks</w:t>
      </w:r>
      <w:r w:rsidR="00DB10FF">
        <w:t>.</w:t>
      </w:r>
      <w:r>
        <w:t xml:space="preserve"> </w:t>
      </w:r>
    </w:p>
    <w:p w14:paraId="390FAAF1" w14:textId="47297A01" w:rsidR="00D57BB2" w:rsidRDefault="00D57BB2" w:rsidP="00013CCD">
      <w:pPr>
        <w:pStyle w:val="NotesBody11pt"/>
        <w:ind w:left="432"/>
      </w:pPr>
    </w:p>
    <w:p w14:paraId="1D3A4265" w14:textId="6D64DA66" w:rsidR="00DB10FF" w:rsidRDefault="00DB10FF" w:rsidP="00013CCD">
      <w:pPr>
        <w:pStyle w:val="NotesBody11pt"/>
        <w:ind w:left="432"/>
      </w:pPr>
      <w:r>
        <w:t>Both the cost and impact analyses must be documented sufficiently to justify either rejection, direct implementation, or presentation to the DCB or CCB as required.</w:t>
      </w:r>
    </w:p>
    <w:p w14:paraId="511B6B26" w14:textId="23EA6075" w:rsidR="000D65E6" w:rsidRDefault="000D65E6" w:rsidP="00013CCD">
      <w:pPr>
        <w:pStyle w:val="NotesBody11pt"/>
        <w:ind w:left="432"/>
      </w:pPr>
    </w:p>
    <w:p w14:paraId="71831F33" w14:textId="5D4E3817" w:rsidR="000D65E6" w:rsidRDefault="000D65E6" w:rsidP="00013CCD">
      <w:pPr>
        <w:pStyle w:val="NotesBody11pt"/>
        <w:ind w:left="432"/>
      </w:pPr>
      <w:r>
        <w:t xml:space="preserve">A positive outcome of the Evaluation Phase is either directly included in the L2 system project plans or prepared for approval via the Design Change Board (DCB) or Change Control Board (CCB) according to process defined in the </w:t>
      </w:r>
      <w:r w:rsidRPr="002A7B6F">
        <w:rPr>
          <w:i/>
        </w:rPr>
        <w:t>PIP-II Configuration Management Plan</w:t>
      </w:r>
      <w:r>
        <w:t xml:space="preserve"> (CMP) [6].</w:t>
      </w:r>
    </w:p>
    <w:p w14:paraId="75103AFB" w14:textId="519099FD" w:rsidR="00D57BB2" w:rsidRPr="00013CCD" w:rsidRDefault="00D57BB2" w:rsidP="00DB10FF">
      <w:pPr>
        <w:pStyle w:val="Heading2"/>
      </w:pPr>
      <w:bookmarkStart w:id="13" w:name="_Toc535999642"/>
      <w:r>
        <w:t>Oppor</w:t>
      </w:r>
      <w:r w:rsidR="00DB10FF">
        <w:t>tunity Implementation</w:t>
      </w:r>
      <w:bookmarkEnd w:id="13"/>
    </w:p>
    <w:p w14:paraId="2E5B66C5" w14:textId="03825F8C" w:rsidR="00F61936" w:rsidRDefault="00F61936" w:rsidP="00F61936">
      <w:pPr>
        <w:pStyle w:val="NotesBody11pt"/>
        <w:ind w:left="432"/>
      </w:pPr>
    </w:p>
    <w:p w14:paraId="3B983861" w14:textId="0E9E6080" w:rsidR="00F61936" w:rsidRPr="00DB10FF" w:rsidRDefault="00DB10FF" w:rsidP="00F61936">
      <w:pPr>
        <w:pStyle w:val="NotesBody11pt"/>
        <w:ind w:left="432"/>
      </w:pPr>
      <w:r>
        <w:lastRenderedPageBreak/>
        <w:t xml:space="preserve">VE opportunities that clear the </w:t>
      </w:r>
      <w:r w:rsidR="00E97D4D">
        <w:t>e</w:t>
      </w:r>
      <w:r>
        <w:t xml:space="preserve">valuation </w:t>
      </w:r>
      <w:r w:rsidR="00E97D4D">
        <w:t>p</w:t>
      </w:r>
      <w:r>
        <w:t xml:space="preserve">hase with a positive outcome </w:t>
      </w:r>
      <w:r w:rsidR="00DC5E9A">
        <w:t>and are contained within</w:t>
      </w:r>
      <w:r>
        <w:t xml:space="preserve"> L2 System boundaries</w:t>
      </w:r>
      <w:r w:rsidR="00E97D4D">
        <w:t xml:space="preserve"> may be implemented </w:t>
      </w:r>
      <w:r w:rsidR="00686BA3">
        <w:t>directly into</w:t>
      </w:r>
      <w:r>
        <w:t xml:space="preserve"> the</w:t>
      </w:r>
      <w:r w:rsidR="00686BA3">
        <w:t xml:space="preserve"> </w:t>
      </w:r>
      <w:r>
        <w:t xml:space="preserve">L2 System plans.  Implemented opportunities must be logged </w:t>
      </w:r>
      <w:r w:rsidR="00F325FA">
        <w:t xml:space="preserve">and status updated </w:t>
      </w:r>
      <w:r>
        <w:t xml:space="preserve">in the </w:t>
      </w:r>
      <w:r w:rsidRPr="00325C54">
        <w:rPr>
          <w:i/>
        </w:rPr>
        <w:t>PIP-II VE Opportunity Tracking Sheet</w:t>
      </w:r>
      <w:r>
        <w:t>.</w:t>
      </w:r>
    </w:p>
    <w:p w14:paraId="2F6D631A" w14:textId="127FA654" w:rsidR="00DB10FF" w:rsidRDefault="00DB10FF" w:rsidP="00F61936">
      <w:pPr>
        <w:pStyle w:val="NotesBody11pt"/>
        <w:ind w:left="432"/>
      </w:pPr>
    </w:p>
    <w:p w14:paraId="461C9BBD" w14:textId="3360B929" w:rsidR="00DB10FF" w:rsidRDefault="00DB10FF" w:rsidP="00F61936">
      <w:pPr>
        <w:pStyle w:val="NotesBody11pt"/>
        <w:ind w:left="432"/>
      </w:pPr>
      <w:r>
        <w:t>VE opportunities that cross L2 System boundaries</w:t>
      </w:r>
      <w:r w:rsidR="003A52AA">
        <w:t xml:space="preserve"> or </w:t>
      </w:r>
      <w:r w:rsidR="0039090C">
        <w:t xml:space="preserve">potentially </w:t>
      </w:r>
      <w:r w:rsidR="003A52AA">
        <w:t>negatively impact functional requirements</w:t>
      </w:r>
      <w:r w:rsidR="00B75EA2">
        <w:t xml:space="preserve"> require a</w:t>
      </w:r>
      <w:r>
        <w:t xml:space="preserve"> formal change control process as defined in the CMP.</w:t>
      </w:r>
      <w:r w:rsidR="00B75EA2">
        <w:t xml:space="preserve">  </w:t>
      </w:r>
      <w:r w:rsidR="0039090C">
        <w:t xml:space="preserve">VE opportunities with these characteristics must also be logged and tracked in the </w:t>
      </w:r>
      <w:r w:rsidR="0039090C" w:rsidRPr="00325C54">
        <w:rPr>
          <w:i/>
        </w:rPr>
        <w:t>PIP-II VE Opportunity Tracking Sheet</w:t>
      </w:r>
      <w:r w:rsidR="0039090C">
        <w:t>.</w:t>
      </w:r>
      <w:r w:rsidR="00651B36">
        <w:t xml:space="preserve">  </w:t>
      </w:r>
    </w:p>
    <w:p w14:paraId="652B98DF" w14:textId="54948E75" w:rsidR="00DB10FF" w:rsidRDefault="00DB10FF" w:rsidP="00F61936">
      <w:pPr>
        <w:pStyle w:val="NotesBody11pt"/>
        <w:ind w:left="432"/>
      </w:pPr>
    </w:p>
    <w:p w14:paraId="7CFDF9C6" w14:textId="56C51F1E" w:rsidR="00543372" w:rsidRDefault="00DB10FF" w:rsidP="00F61936">
      <w:pPr>
        <w:pStyle w:val="NotesBody11pt"/>
        <w:ind w:left="432"/>
      </w:pPr>
      <w:r>
        <w:t>For ex</w:t>
      </w:r>
      <w:r w:rsidR="00B23C00">
        <w:t>ceptional</w:t>
      </w:r>
      <w:r>
        <w:t xml:space="preserve"> cases, </w:t>
      </w:r>
      <w:r w:rsidR="005D7528">
        <w:t>VE opportunities can be included in the overall Project plan at the discretion of the PIP-II Project Director.</w:t>
      </w:r>
    </w:p>
    <w:p w14:paraId="2E79082E" w14:textId="77777777" w:rsidR="00543372" w:rsidRPr="00171B48" w:rsidRDefault="00543372" w:rsidP="00543372">
      <w:pPr>
        <w:pStyle w:val="Heading1"/>
        <w:rPr>
          <w:rFonts w:cs="Helvetica"/>
          <w:sz w:val="24"/>
        </w:rPr>
      </w:pPr>
      <w:bookmarkStart w:id="14" w:name="_Toc525299010"/>
      <w:bookmarkStart w:id="15" w:name="_Toc533156263"/>
      <w:bookmarkStart w:id="16" w:name="_Toc535796023"/>
      <w:bookmarkStart w:id="17" w:name="_Toc535999643"/>
      <w:r w:rsidRPr="00171B48">
        <w:rPr>
          <w:rFonts w:cs="Helvetica"/>
          <w:sz w:val="24"/>
        </w:rPr>
        <w:t>Records</w:t>
      </w:r>
      <w:bookmarkEnd w:id="14"/>
      <w:bookmarkEnd w:id="15"/>
      <w:bookmarkEnd w:id="16"/>
      <w:bookmarkEnd w:id="17"/>
    </w:p>
    <w:p w14:paraId="743BA400" w14:textId="77777777" w:rsidR="00543372" w:rsidRPr="00A61D08" w:rsidRDefault="00543372" w:rsidP="00543372">
      <w:pPr>
        <w:pStyle w:val="NotesBody11pt"/>
        <w:spacing w:line="240" w:lineRule="auto"/>
        <w:rPr>
          <w:rFonts w:cs="Helvetica"/>
          <w:i/>
        </w:rPr>
      </w:pPr>
      <w:r w:rsidRPr="00A61D08">
        <w:rPr>
          <w:rFonts w:cs="Helvetica"/>
          <w:i/>
        </w:rPr>
        <w:t>PIP-II VE Opportunities List for Reviewers</w:t>
      </w:r>
    </w:p>
    <w:p w14:paraId="2789FD76" w14:textId="741FCCA5" w:rsidR="00543372" w:rsidRPr="00171B48" w:rsidRDefault="00543372" w:rsidP="00543372">
      <w:pPr>
        <w:pStyle w:val="NotesBody11pt"/>
        <w:spacing w:line="240" w:lineRule="auto"/>
        <w:rPr>
          <w:rFonts w:cs="Helvetica"/>
        </w:rPr>
      </w:pPr>
      <w:r w:rsidRPr="00A61D08">
        <w:rPr>
          <w:rFonts w:cs="Helvetica"/>
          <w:i/>
        </w:rPr>
        <w:t>PIP-II VE Opportunity Tracking Sheet</w:t>
      </w:r>
    </w:p>
    <w:p w14:paraId="73CD6843" w14:textId="77777777" w:rsidR="00543372" w:rsidRPr="00171B48" w:rsidRDefault="00543372" w:rsidP="00543372">
      <w:pPr>
        <w:pStyle w:val="Heading2"/>
      </w:pPr>
      <w:bookmarkStart w:id="18" w:name="_Toc525299011"/>
      <w:bookmarkStart w:id="19" w:name="_Toc533156264"/>
      <w:bookmarkStart w:id="20" w:name="_Toc535796024"/>
      <w:bookmarkStart w:id="21" w:name="_Toc535999644"/>
      <w:r w:rsidRPr="00171B48">
        <w:t>Record Retention Schedule</w:t>
      </w:r>
      <w:bookmarkEnd w:id="18"/>
      <w:bookmarkEnd w:id="19"/>
      <w:bookmarkEnd w:id="20"/>
      <w:bookmarkEnd w:id="21"/>
    </w:p>
    <w:p w14:paraId="2A25DA39" w14:textId="77777777" w:rsidR="00543372" w:rsidRPr="00240859" w:rsidRDefault="00543372" w:rsidP="00543372">
      <w:pPr>
        <w:pStyle w:val="Default"/>
        <w:rPr>
          <w:rFonts w:ascii="Helvetica" w:eastAsia="Times New Roman" w:hAnsi="Helvetica" w:cs="Helvetica"/>
          <w:noProof/>
          <w:color w:val="000000" w:themeColor="text1"/>
          <w:sz w:val="22"/>
          <w:szCs w:val="22"/>
        </w:rPr>
      </w:pPr>
      <w:r w:rsidRPr="00240859">
        <w:rPr>
          <w:rFonts w:ascii="Helvetica" w:eastAsia="Times New Roman" w:hAnsi="Helvetica" w:cs="Helvetica"/>
          <w:noProof/>
          <w:color w:val="000000" w:themeColor="text1"/>
          <w:sz w:val="22"/>
          <w:szCs w:val="22"/>
        </w:rPr>
        <w:t xml:space="preserve">As of ADM 17 Section 30-C, the records associated with this process shall be stored throughout the life of the related systems/subsystems, assemblies, and components. </w:t>
      </w:r>
    </w:p>
    <w:p w14:paraId="093192F4" w14:textId="77777777" w:rsidR="00543372" w:rsidRDefault="00543372" w:rsidP="00543372">
      <w:pPr>
        <w:pStyle w:val="NotesBody11pt"/>
        <w:ind w:left="432"/>
      </w:pPr>
    </w:p>
    <w:p w14:paraId="374A0A47" w14:textId="77777777" w:rsidR="00543372" w:rsidRDefault="00543372" w:rsidP="00F61936">
      <w:pPr>
        <w:pStyle w:val="NotesBody11pt"/>
        <w:ind w:left="432"/>
      </w:pPr>
    </w:p>
    <w:sectPr w:rsidR="00543372" w:rsidSect="000E7B9C">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5D984" w14:textId="77777777" w:rsidR="00CD74B2" w:rsidRDefault="00CD74B2" w:rsidP="008C6B3A">
      <w:r>
        <w:separator/>
      </w:r>
    </w:p>
    <w:p w14:paraId="671655BF" w14:textId="77777777" w:rsidR="00CD74B2" w:rsidRDefault="00CD74B2"/>
    <w:p w14:paraId="5EE47473" w14:textId="77777777" w:rsidR="00CD74B2" w:rsidRDefault="00CD74B2" w:rsidP="00D346FA"/>
  </w:endnote>
  <w:endnote w:type="continuationSeparator" w:id="0">
    <w:p w14:paraId="2546FC26" w14:textId="77777777" w:rsidR="00CD74B2" w:rsidRDefault="00CD74B2" w:rsidP="008C6B3A">
      <w:r>
        <w:continuationSeparator/>
      </w:r>
    </w:p>
    <w:p w14:paraId="2F43F5C7" w14:textId="77777777" w:rsidR="00CD74B2" w:rsidRDefault="00CD74B2"/>
    <w:p w14:paraId="5D38A111" w14:textId="77777777" w:rsidR="00CD74B2" w:rsidRDefault="00CD74B2" w:rsidP="00D346FA"/>
  </w:endnote>
  <w:endnote w:type="continuationNotice" w:id="1">
    <w:p w14:paraId="5B3BFE2C" w14:textId="77777777" w:rsidR="00CD74B2" w:rsidRDefault="00CD74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w:altName w:val="Arial Unicode MS"/>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3B8A" w14:textId="77777777" w:rsidR="00F61936" w:rsidRDefault="00F61936" w:rsidP="3FBF57C1">
    <w:pPr>
      <w:pStyle w:val="Footer"/>
      <w:framePr w:wrap="around" w:vAnchor="text" w:hAnchor="margin" w:xAlign="right" w:y="1"/>
      <w:tabs>
        <w:tab w:val="clear" w:pos="1714"/>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3F31F7F2" w14:textId="77777777" w:rsidR="00F61936" w:rsidRDefault="00F61936" w:rsidP="006F10CE">
    <w:pPr>
      <w:pStyle w:val="Footer"/>
      <w:tabs>
        <w:tab w:val="clear" w:pos="1714"/>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ABF6" w14:textId="3674918B" w:rsidR="00F61936" w:rsidRPr="00ED6DFD" w:rsidRDefault="00F61936" w:rsidP="3FBF57C1">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3FBF57C1">
      <w:rPr>
        <w:rStyle w:val="PageNumber"/>
        <w:noProof/>
        <w:sz w:val="15"/>
        <w:szCs w:val="15"/>
      </w:rPr>
      <w:fldChar w:fldCharType="begin"/>
    </w:r>
    <w:r w:rsidRPr="00ED6DFD">
      <w:rPr>
        <w:rStyle w:val="PageNumber"/>
        <w:sz w:val="15"/>
        <w:szCs w:val="15"/>
      </w:rPr>
      <w:instrText xml:space="preserve"> PAGE </w:instrText>
    </w:r>
    <w:r w:rsidRPr="3FBF57C1">
      <w:rPr>
        <w:rStyle w:val="PageNumber"/>
        <w:sz w:val="15"/>
        <w:szCs w:val="15"/>
      </w:rPr>
      <w:fldChar w:fldCharType="separate"/>
    </w:r>
    <w:r>
      <w:rPr>
        <w:rStyle w:val="PageNumber"/>
        <w:noProof/>
        <w:sz w:val="15"/>
        <w:szCs w:val="15"/>
      </w:rPr>
      <w:t>15</w:t>
    </w:r>
    <w:r w:rsidRPr="3FBF57C1">
      <w:rPr>
        <w:rStyle w:val="PageNumber"/>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5D7B1" w14:textId="77777777" w:rsidR="00CD74B2" w:rsidRDefault="00CD74B2" w:rsidP="008C6B3A">
      <w:r>
        <w:separator/>
      </w:r>
    </w:p>
    <w:p w14:paraId="79705B11" w14:textId="77777777" w:rsidR="00CD74B2" w:rsidRDefault="00CD74B2"/>
    <w:p w14:paraId="66629D19" w14:textId="77777777" w:rsidR="00CD74B2" w:rsidRDefault="00CD74B2" w:rsidP="00D346FA"/>
  </w:footnote>
  <w:footnote w:type="continuationSeparator" w:id="0">
    <w:p w14:paraId="40AF6C43" w14:textId="77777777" w:rsidR="00CD74B2" w:rsidRDefault="00CD74B2" w:rsidP="008C6B3A">
      <w:r>
        <w:continuationSeparator/>
      </w:r>
    </w:p>
    <w:p w14:paraId="24D91517" w14:textId="77777777" w:rsidR="00CD74B2" w:rsidRDefault="00CD74B2"/>
    <w:p w14:paraId="370AE986" w14:textId="77777777" w:rsidR="00CD74B2" w:rsidRDefault="00CD74B2" w:rsidP="00D346FA"/>
  </w:footnote>
  <w:footnote w:type="continuationNotice" w:id="1">
    <w:p w14:paraId="755A6E7C" w14:textId="77777777" w:rsidR="00CD74B2" w:rsidRDefault="00CD74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AA8A" w14:textId="77777777" w:rsidR="00F61936" w:rsidRDefault="00F61936" w:rsidP="008738F9">
    <w:pPr>
      <w:pStyle w:val="Header"/>
    </w:pPr>
    <w:r>
      <w:t>[Type text]</w:t>
    </w:r>
    <w:r>
      <w:rPr>
        <w:color w:val="auto"/>
      </w:rPr>
      <w:tab/>
    </w:r>
    <w:r>
      <w:t>[Type text]</w:t>
    </w:r>
    <w:r>
      <w:rPr>
        <w:color w:val="auto"/>
      </w:rPr>
      <w:tab/>
    </w:r>
    <w:r>
      <w:t>[Type text]</w:t>
    </w:r>
  </w:p>
  <w:p w14:paraId="48761872" w14:textId="77777777" w:rsidR="00F61936" w:rsidRDefault="00F61936" w:rsidP="008738F9">
    <w:pPr>
      <w:pStyle w:val="Header"/>
    </w:pPr>
    <w:r>
      <w:t>[Type text]</w:t>
    </w:r>
    <w:r>
      <w:tab/>
      <w:t>[Type text]</w:t>
    </w:r>
    <w:r>
      <w:tab/>
      <w:t>[Type text]</w:t>
    </w:r>
  </w:p>
  <w:p w14:paraId="7594B39D" w14:textId="77777777" w:rsidR="00F61936" w:rsidRDefault="00F61936"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1BF2" w14:textId="529757B4" w:rsidR="00F61936" w:rsidRPr="008738F9" w:rsidRDefault="00F61936" w:rsidP="008738F9">
    <w:pPr>
      <w:pStyle w:val="Header"/>
    </w:pPr>
    <w:r w:rsidRPr="008738F9">
      <w:rPr>
        <w:noProof/>
      </w:rPr>
      <w:drawing>
        <wp:anchor distT="0" distB="0" distL="114300" distR="114300" simplePos="0" relativeHeight="251658241" behindDoc="1" locked="0" layoutInCell="1" allowOverlap="1" wp14:anchorId="308589C9" wp14:editId="0E03A97B">
          <wp:simplePos x="0" y="0"/>
          <wp:positionH relativeFrom="leftMargin">
            <wp:posOffset>0</wp:posOffset>
          </wp:positionH>
          <wp:positionV relativeFrom="paragraph">
            <wp:posOffset>-274320</wp:posOffset>
          </wp:positionV>
          <wp:extent cx="7772400" cy="10058400"/>
          <wp:effectExtent l="0" t="0" r="0" b="0"/>
          <wp:wrapNone/>
          <wp:docPr id="187" name="Picture 187"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98">
      <w:fldChar w:fldCharType="begin"/>
    </w:r>
    <w:r w:rsidR="000A4298">
      <w:instrText xml:space="preserve"> DOCPROPERTY  Project  \* MERGEFORMAT </w:instrText>
    </w:r>
    <w:r w:rsidR="000A4298">
      <w:fldChar w:fldCharType="separate"/>
    </w:r>
    <w:r>
      <w:t>PIP-II</w:t>
    </w:r>
    <w:r w:rsidR="000A4298">
      <w:fldChar w:fldCharType="end"/>
    </w:r>
    <w:r w:rsidRPr="6926947E">
      <w:t xml:space="preserve"> </w:t>
    </w:r>
    <w:r w:rsidR="000A4298">
      <w:fldChar w:fldCharType="begin"/>
    </w:r>
    <w:r w:rsidR="000A4298">
      <w:instrText xml:space="preserve"> SUBJECT  \* FirstCap  \* MERGEFORMAT </w:instrText>
    </w:r>
    <w:r w:rsidR="000A4298">
      <w:fldChar w:fldCharType="separate"/>
    </w:r>
    <w:r w:rsidR="007C5B8A">
      <w:t xml:space="preserve">Value Engineering </w:t>
    </w:r>
    <w:r>
      <w:t>Plan</w:t>
    </w:r>
    <w:r w:rsidR="000A4298">
      <w:fldChar w:fldCharType="end"/>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CE85" w14:textId="77777777" w:rsidR="00F61936" w:rsidRDefault="00F61936" w:rsidP="008738F9">
    <w:pPr>
      <w:pStyle w:val="Header"/>
    </w:pPr>
    <w:r>
      <w:rPr>
        <w:noProof/>
      </w:rPr>
      <w:drawing>
        <wp:anchor distT="0" distB="0" distL="114300" distR="114300" simplePos="0" relativeHeight="251658240" behindDoc="1" locked="1" layoutInCell="1" allowOverlap="1" wp14:anchorId="3D8995C5" wp14:editId="62438859">
          <wp:simplePos x="0" y="0"/>
          <wp:positionH relativeFrom="leftMargin">
            <wp:posOffset>0</wp:posOffset>
          </wp:positionH>
          <wp:positionV relativeFrom="margin">
            <wp:posOffset>-1143000</wp:posOffset>
          </wp:positionV>
          <wp:extent cx="7772400" cy="1005840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A64"/>
    <w:multiLevelType w:val="hybridMultilevel"/>
    <w:tmpl w:val="C3808B3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99549B2"/>
    <w:multiLevelType w:val="hybridMultilevel"/>
    <w:tmpl w:val="08564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3070"/>
    <w:multiLevelType w:val="multilevel"/>
    <w:tmpl w:val="07E419E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A7B69"/>
    <w:multiLevelType w:val="hybridMultilevel"/>
    <w:tmpl w:val="70E8E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EE0A9C"/>
    <w:multiLevelType w:val="hybridMultilevel"/>
    <w:tmpl w:val="6A20EEF0"/>
    <w:lvl w:ilvl="0" w:tplc="30BE46AA">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16F9769F"/>
    <w:multiLevelType w:val="hybridMultilevel"/>
    <w:tmpl w:val="02A85D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FE8259B"/>
    <w:multiLevelType w:val="hybridMultilevel"/>
    <w:tmpl w:val="DC487514"/>
    <w:lvl w:ilvl="0" w:tplc="BA665FEC">
      <w:start w:val="121"/>
      <w:numFmt w:val="bullet"/>
      <w:lvlText w:val="-"/>
      <w:lvlJc w:val="left"/>
      <w:pPr>
        <w:ind w:left="1080" w:hanging="360"/>
      </w:pPr>
      <w:rPr>
        <w:rFonts w:ascii="Helvetica" w:eastAsia="MS Mincho"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2"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5"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5E082A21"/>
    <w:multiLevelType w:val="hybridMultilevel"/>
    <w:tmpl w:val="EC4E3248"/>
    <w:lvl w:ilvl="0" w:tplc="BA665FEC">
      <w:start w:val="121"/>
      <w:numFmt w:val="bullet"/>
      <w:lvlText w:val="-"/>
      <w:lvlJc w:val="left"/>
      <w:pPr>
        <w:ind w:left="1080" w:hanging="360"/>
      </w:pPr>
      <w:rPr>
        <w:rFonts w:ascii="Helvetica" w:eastAsia="MS Mincho"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4" w15:restartNumberingAfterBreak="0">
    <w:nsid w:val="66866A21"/>
    <w:multiLevelType w:val="hybridMultilevel"/>
    <w:tmpl w:val="5C1C0992"/>
    <w:lvl w:ilvl="0" w:tplc="BA665FEC">
      <w:start w:val="121"/>
      <w:numFmt w:val="bullet"/>
      <w:lvlText w:val="-"/>
      <w:lvlJc w:val="left"/>
      <w:pPr>
        <w:ind w:left="1080" w:hanging="360"/>
      </w:pPr>
      <w:rPr>
        <w:rFonts w:ascii="Helvetica" w:eastAsia="MS Mincho" w:hAnsi="Helvetica" w:cs="Helvetic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BF6515"/>
    <w:multiLevelType w:val="hybridMultilevel"/>
    <w:tmpl w:val="61CEB9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698B4391"/>
    <w:multiLevelType w:val="hybridMultilevel"/>
    <w:tmpl w:val="ACACE5FE"/>
    <w:lvl w:ilvl="0" w:tplc="5296BEF2">
      <w:start w:val="1"/>
      <w:numFmt w:val="bullet"/>
      <w:pStyle w:val="Normal2a"/>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7A073675"/>
    <w:multiLevelType w:val="hybridMultilevel"/>
    <w:tmpl w:val="52C0F0A2"/>
    <w:lvl w:ilvl="0" w:tplc="BC8825E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15:restartNumberingAfterBreak="0">
    <w:nsid w:val="7E747897"/>
    <w:multiLevelType w:val="hybridMultilevel"/>
    <w:tmpl w:val="FC6A3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18"/>
  </w:num>
  <w:num w:numId="3">
    <w:abstractNumId w:val="31"/>
  </w:num>
  <w:num w:numId="4">
    <w:abstractNumId w:val="19"/>
  </w:num>
  <w:num w:numId="5">
    <w:abstractNumId w:val="25"/>
  </w:num>
  <w:num w:numId="6">
    <w:abstractNumId w:val="22"/>
  </w:num>
  <w:num w:numId="7">
    <w:abstractNumId w:val="1"/>
  </w:num>
  <w:num w:numId="8">
    <w:abstractNumId w:val="7"/>
  </w:num>
  <w:num w:numId="9">
    <w:abstractNumId w:val="11"/>
  </w:num>
  <w:num w:numId="10">
    <w:abstractNumId w:val="23"/>
  </w:num>
  <w:num w:numId="11">
    <w:abstractNumId w:val="8"/>
  </w:num>
  <w:num w:numId="12">
    <w:abstractNumId w:val="20"/>
  </w:num>
  <w:num w:numId="13">
    <w:abstractNumId w:val="16"/>
  </w:num>
  <w:num w:numId="14">
    <w:abstractNumId w:val="32"/>
  </w:num>
  <w:num w:numId="15">
    <w:abstractNumId w:val="13"/>
  </w:num>
  <w:num w:numId="16">
    <w:abstractNumId w:val="27"/>
  </w:num>
  <w:num w:numId="17">
    <w:abstractNumId w:val="14"/>
  </w:num>
  <w:num w:numId="18">
    <w:abstractNumId w:val="9"/>
  </w:num>
  <w:num w:numId="19">
    <w:abstractNumId w:val="17"/>
  </w:num>
  <w:num w:numId="20">
    <w:abstractNumId w:val="28"/>
  </w:num>
  <w:num w:numId="21">
    <w:abstractNumId w:val="15"/>
  </w:num>
  <w:num w:numId="22">
    <w:abstractNumId w:val="12"/>
  </w:num>
  <w:num w:numId="23">
    <w:abstractNumId w:val="12"/>
  </w:num>
  <w:num w:numId="24">
    <w:abstractNumId w:val="31"/>
  </w:num>
  <w:num w:numId="25">
    <w:abstractNumId w:val="31"/>
  </w:num>
  <w:num w:numId="26">
    <w:abstractNumId w:val="31"/>
  </w:num>
  <w:num w:numId="27">
    <w:abstractNumId w:val="5"/>
  </w:num>
  <w:num w:numId="28">
    <w:abstractNumId w:val="26"/>
  </w:num>
  <w:num w:numId="29">
    <w:abstractNumId w:val="0"/>
  </w:num>
  <w:num w:numId="30">
    <w:abstractNumId w:val="3"/>
  </w:num>
  <w:num w:numId="31">
    <w:abstractNumId w:val="3"/>
  </w:num>
  <w:num w:numId="32">
    <w:abstractNumId w:val="3"/>
  </w:num>
  <w:num w:numId="33">
    <w:abstractNumId w:val="3"/>
  </w:num>
  <w:num w:numId="34">
    <w:abstractNumId w:val="2"/>
  </w:num>
  <w:num w:numId="35">
    <w:abstractNumId w:val="6"/>
  </w:num>
  <w:num w:numId="36">
    <w:abstractNumId w:val="30"/>
  </w:num>
  <w:num w:numId="37">
    <w:abstractNumId w:val="4"/>
  </w:num>
  <w:num w:numId="38">
    <w:abstractNumId w:val="26"/>
  </w:num>
  <w:num w:numId="39">
    <w:abstractNumId w:val="24"/>
  </w:num>
  <w:num w:numId="40">
    <w:abstractNumId w:val="21"/>
  </w:num>
  <w:num w:numId="41">
    <w:abstractNumId w:val="10"/>
  </w:num>
  <w:num w:numId="42">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43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29E1"/>
    <w:rsid w:val="00013CCD"/>
    <w:rsid w:val="00015C3B"/>
    <w:rsid w:val="000207DD"/>
    <w:rsid w:val="00027B21"/>
    <w:rsid w:val="00027F12"/>
    <w:rsid w:val="00030A2B"/>
    <w:rsid w:val="000414EB"/>
    <w:rsid w:val="00044930"/>
    <w:rsid w:val="00045A78"/>
    <w:rsid w:val="0004685C"/>
    <w:rsid w:val="00050A5A"/>
    <w:rsid w:val="0005291C"/>
    <w:rsid w:val="00062B5B"/>
    <w:rsid w:val="00063CFB"/>
    <w:rsid w:val="00067F4F"/>
    <w:rsid w:val="000732C6"/>
    <w:rsid w:val="000732E8"/>
    <w:rsid w:val="00075889"/>
    <w:rsid w:val="00076CD9"/>
    <w:rsid w:val="00076FBE"/>
    <w:rsid w:val="0008072A"/>
    <w:rsid w:val="000808C5"/>
    <w:rsid w:val="00083147"/>
    <w:rsid w:val="0008655E"/>
    <w:rsid w:val="000879A7"/>
    <w:rsid w:val="0009017C"/>
    <w:rsid w:val="00095418"/>
    <w:rsid w:val="0009645A"/>
    <w:rsid w:val="000A05CE"/>
    <w:rsid w:val="000A326B"/>
    <w:rsid w:val="000A4298"/>
    <w:rsid w:val="000B0F4E"/>
    <w:rsid w:val="000B1EB0"/>
    <w:rsid w:val="000B3500"/>
    <w:rsid w:val="000B40F6"/>
    <w:rsid w:val="000B529B"/>
    <w:rsid w:val="000B6145"/>
    <w:rsid w:val="000D1025"/>
    <w:rsid w:val="000D515B"/>
    <w:rsid w:val="000D65E6"/>
    <w:rsid w:val="000D7680"/>
    <w:rsid w:val="000D7978"/>
    <w:rsid w:val="000E2CB8"/>
    <w:rsid w:val="000E321A"/>
    <w:rsid w:val="000E380B"/>
    <w:rsid w:val="000E3A82"/>
    <w:rsid w:val="000E5FAA"/>
    <w:rsid w:val="000E6F03"/>
    <w:rsid w:val="000E7B9C"/>
    <w:rsid w:val="000F0A42"/>
    <w:rsid w:val="000F1653"/>
    <w:rsid w:val="00100464"/>
    <w:rsid w:val="0010186E"/>
    <w:rsid w:val="00101AA4"/>
    <w:rsid w:val="00105DC5"/>
    <w:rsid w:val="001107F7"/>
    <w:rsid w:val="00110A9C"/>
    <w:rsid w:val="00112694"/>
    <w:rsid w:val="0011554D"/>
    <w:rsid w:val="001158AC"/>
    <w:rsid w:val="00116AC4"/>
    <w:rsid w:val="00121C7F"/>
    <w:rsid w:val="0012353F"/>
    <w:rsid w:val="001314BE"/>
    <w:rsid w:val="00134954"/>
    <w:rsid w:val="00140082"/>
    <w:rsid w:val="00140851"/>
    <w:rsid w:val="00142DF9"/>
    <w:rsid w:val="00143C3C"/>
    <w:rsid w:val="00144655"/>
    <w:rsid w:val="00147C42"/>
    <w:rsid w:val="00152972"/>
    <w:rsid w:val="001553AC"/>
    <w:rsid w:val="001602A7"/>
    <w:rsid w:val="00160E7A"/>
    <w:rsid w:val="00161989"/>
    <w:rsid w:val="00166DBE"/>
    <w:rsid w:val="00167357"/>
    <w:rsid w:val="00170C35"/>
    <w:rsid w:val="00172F94"/>
    <w:rsid w:val="001747CF"/>
    <w:rsid w:val="00177150"/>
    <w:rsid w:val="001774E6"/>
    <w:rsid w:val="00187355"/>
    <w:rsid w:val="00187981"/>
    <w:rsid w:val="0019148A"/>
    <w:rsid w:val="00191B57"/>
    <w:rsid w:val="0019240F"/>
    <w:rsid w:val="00193770"/>
    <w:rsid w:val="001937B1"/>
    <w:rsid w:val="00194C60"/>
    <w:rsid w:val="001954A6"/>
    <w:rsid w:val="001975FA"/>
    <w:rsid w:val="001B3A34"/>
    <w:rsid w:val="001C6F5E"/>
    <w:rsid w:val="001C74E9"/>
    <w:rsid w:val="001C7AD5"/>
    <w:rsid w:val="001D1A1A"/>
    <w:rsid w:val="001D2FA7"/>
    <w:rsid w:val="001D3070"/>
    <w:rsid w:val="001E2492"/>
    <w:rsid w:val="001E31DB"/>
    <w:rsid w:val="001E5213"/>
    <w:rsid w:val="001F063D"/>
    <w:rsid w:val="001F0700"/>
    <w:rsid w:val="001F1425"/>
    <w:rsid w:val="001F7C54"/>
    <w:rsid w:val="002037D0"/>
    <w:rsid w:val="002048C2"/>
    <w:rsid w:val="00206204"/>
    <w:rsid w:val="002067C9"/>
    <w:rsid w:val="00207BB9"/>
    <w:rsid w:val="00210650"/>
    <w:rsid w:val="00225385"/>
    <w:rsid w:val="00231FEA"/>
    <w:rsid w:val="00233570"/>
    <w:rsid w:val="00235077"/>
    <w:rsid w:val="00235AB7"/>
    <w:rsid w:val="00243D22"/>
    <w:rsid w:val="0024751E"/>
    <w:rsid w:val="00247C6E"/>
    <w:rsid w:val="002545E3"/>
    <w:rsid w:val="00254955"/>
    <w:rsid w:val="002557BE"/>
    <w:rsid w:val="0025745C"/>
    <w:rsid w:val="0026047E"/>
    <w:rsid w:val="00263E53"/>
    <w:rsid w:val="0026461B"/>
    <w:rsid w:val="002706DD"/>
    <w:rsid w:val="00272C5D"/>
    <w:rsid w:val="00275299"/>
    <w:rsid w:val="002778E8"/>
    <w:rsid w:val="00287389"/>
    <w:rsid w:val="00291CA5"/>
    <w:rsid w:val="00291D53"/>
    <w:rsid w:val="002932D6"/>
    <w:rsid w:val="002950F6"/>
    <w:rsid w:val="00296141"/>
    <w:rsid w:val="00297CC8"/>
    <w:rsid w:val="002A2E75"/>
    <w:rsid w:val="002A5006"/>
    <w:rsid w:val="002A5673"/>
    <w:rsid w:val="002A7B6F"/>
    <w:rsid w:val="002B1998"/>
    <w:rsid w:val="002B39F9"/>
    <w:rsid w:val="002B6167"/>
    <w:rsid w:val="002C3D9E"/>
    <w:rsid w:val="002C57C7"/>
    <w:rsid w:val="002C5B89"/>
    <w:rsid w:val="002D0732"/>
    <w:rsid w:val="002D515C"/>
    <w:rsid w:val="002D72C2"/>
    <w:rsid w:val="002E385F"/>
    <w:rsid w:val="002F022F"/>
    <w:rsid w:val="002F19D3"/>
    <w:rsid w:val="002F79DB"/>
    <w:rsid w:val="003002EB"/>
    <w:rsid w:val="003003F4"/>
    <w:rsid w:val="00300C28"/>
    <w:rsid w:val="00301323"/>
    <w:rsid w:val="00304032"/>
    <w:rsid w:val="00304A6F"/>
    <w:rsid w:val="00305BC1"/>
    <w:rsid w:val="00316B20"/>
    <w:rsid w:val="00325C54"/>
    <w:rsid w:val="00334AFB"/>
    <w:rsid w:val="00342BD6"/>
    <w:rsid w:val="003470CD"/>
    <w:rsid w:val="003563F4"/>
    <w:rsid w:val="003578B1"/>
    <w:rsid w:val="003610FF"/>
    <w:rsid w:val="00362CD0"/>
    <w:rsid w:val="00365D98"/>
    <w:rsid w:val="0036657D"/>
    <w:rsid w:val="003712CF"/>
    <w:rsid w:val="003738B2"/>
    <w:rsid w:val="00382C7C"/>
    <w:rsid w:val="0038319B"/>
    <w:rsid w:val="00384090"/>
    <w:rsid w:val="00384AA0"/>
    <w:rsid w:val="003906ED"/>
    <w:rsid w:val="0039090C"/>
    <w:rsid w:val="00391204"/>
    <w:rsid w:val="003925FA"/>
    <w:rsid w:val="00392E24"/>
    <w:rsid w:val="00392E8A"/>
    <w:rsid w:val="00396027"/>
    <w:rsid w:val="00397FD8"/>
    <w:rsid w:val="003A0651"/>
    <w:rsid w:val="003A10B2"/>
    <w:rsid w:val="003A52AA"/>
    <w:rsid w:val="003A6A89"/>
    <w:rsid w:val="003A6CC2"/>
    <w:rsid w:val="003B0260"/>
    <w:rsid w:val="003B0980"/>
    <w:rsid w:val="003B22E3"/>
    <w:rsid w:val="003B744E"/>
    <w:rsid w:val="003C2AF5"/>
    <w:rsid w:val="003C4343"/>
    <w:rsid w:val="003C58EF"/>
    <w:rsid w:val="003C5A3A"/>
    <w:rsid w:val="003D303F"/>
    <w:rsid w:val="003F2ED1"/>
    <w:rsid w:val="003F55EA"/>
    <w:rsid w:val="003F62B3"/>
    <w:rsid w:val="00402E14"/>
    <w:rsid w:val="00407167"/>
    <w:rsid w:val="00414F45"/>
    <w:rsid w:val="00415805"/>
    <w:rsid w:val="004211C3"/>
    <w:rsid w:val="00432143"/>
    <w:rsid w:val="00436F3E"/>
    <w:rsid w:val="00442729"/>
    <w:rsid w:val="004439F9"/>
    <w:rsid w:val="00444609"/>
    <w:rsid w:val="00453FDF"/>
    <w:rsid w:val="00455140"/>
    <w:rsid w:val="00455A07"/>
    <w:rsid w:val="0045717D"/>
    <w:rsid w:val="0046336F"/>
    <w:rsid w:val="00465865"/>
    <w:rsid w:val="00466298"/>
    <w:rsid w:val="00474F01"/>
    <w:rsid w:val="00481A64"/>
    <w:rsid w:val="00483AF8"/>
    <w:rsid w:val="00484B27"/>
    <w:rsid w:val="004908A3"/>
    <w:rsid w:val="00493391"/>
    <w:rsid w:val="004A32D5"/>
    <w:rsid w:val="004A42F9"/>
    <w:rsid w:val="004A7B7F"/>
    <w:rsid w:val="004B110D"/>
    <w:rsid w:val="004C20E2"/>
    <w:rsid w:val="004C4255"/>
    <w:rsid w:val="004C4D5E"/>
    <w:rsid w:val="004D0EE8"/>
    <w:rsid w:val="004D1DD3"/>
    <w:rsid w:val="004D27B8"/>
    <w:rsid w:val="004D3ED7"/>
    <w:rsid w:val="004D707B"/>
    <w:rsid w:val="004D7764"/>
    <w:rsid w:val="004D78D0"/>
    <w:rsid w:val="004E6E66"/>
    <w:rsid w:val="004F0E43"/>
    <w:rsid w:val="004F45D6"/>
    <w:rsid w:val="004F4722"/>
    <w:rsid w:val="005011CE"/>
    <w:rsid w:val="00501F50"/>
    <w:rsid w:val="00502085"/>
    <w:rsid w:val="00503C02"/>
    <w:rsid w:val="00510B7A"/>
    <w:rsid w:val="00511814"/>
    <w:rsid w:val="00514922"/>
    <w:rsid w:val="00517F94"/>
    <w:rsid w:val="00526FD3"/>
    <w:rsid w:val="00527A28"/>
    <w:rsid w:val="00534410"/>
    <w:rsid w:val="00534749"/>
    <w:rsid w:val="0053646C"/>
    <w:rsid w:val="00536578"/>
    <w:rsid w:val="0053735B"/>
    <w:rsid w:val="00540A46"/>
    <w:rsid w:val="00540F60"/>
    <w:rsid w:val="00542A6E"/>
    <w:rsid w:val="00542CA5"/>
    <w:rsid w:val="00543372"/>
    <w:rsid w:val="005454C8"/>
    <w:rsid w:val="00545914"/>
    <w:rsid w:val="0054748B"/>
    <w:rsid w:val="00567357"/>
    <w:rsid w:val="0057615E"/>
    <w:rsid w:val="00581327"/>
    <w:rsid w:val="00583A8A"/>
    <w:rsid w:val="00583D0A"/>
    <w:rsid w:val="00585509"/>
    <w:rsid w:val="005858E8"/>
    <w:rsid w:val="00596237"/>
    <w:rsid w:val="00597C5C"/>
    <w:rsid w:val="005A0009"/>
    <w:rsid w:val="005A09AB"/>
    <w:rsid w:val="005A10B7"/>
    <w:rsid w:val="005A2FFE"/>
    <w:rsid w:val="005A536A"/>
    <w:rsid w:val="005A6215"/>
    <w:rsid w:val="005A7D94"/>
    <w:rsid w:val="005B1C2F"/>
    <w:rsid w:val="005B4499"/>
    <w:rsid w:val="005B5B8D"/>
    <w:rsid w:val="005C373D"/>
    <w:rsid w:val="005C38E9"/>
    <w:rsid w:val="005C3963"/>
    <w:rsid w:val="005C4B11"/>
    <w:rsid w:val="005C6F3B"/>
    <w:rsid w:val="005D2F6C"/>
    <w:rsid w:val="005D7528"/>
    <w:rsid w:val="005E1151"/>
    <w:rsid w:val="005E6307"/>
    <w:rsid w:val="005F1EC9"/>
    <w:rsid w:val="005F25A8"/>
    <w:rsid w:val="005F4965"/>
    <w:rsid w:val="005F643E"/>
    <w:rsid w:val="005F76BD"/>
    <w:rsid w:val="00603083"/>
    <w:rsid w:val="006052D5"/>
    <w:rsid w:val="006053B0"/>
    <w:rsid w:val="00605BC2"/>
    <w:rsid w:val="006077F8"/>
    <w:rsid w:val="00611DD3"/>
    <w:rsid w:val="00616423"/>
    <w:rsid w:val="006201A1"/>
    <w:rsid w:val="00620E3C"/>
    <w:rsid w:val="006230A2"/>
    <w:rsid w:val="006242CC"/>
    <w:rsid w:val="00626554"/>
    <w:rsid w:val="006274B3"/>
    <w:rsid w:val="00630287"/>
    <w:rsid w:val="00633E65"/>
    <w:rsid w:val="00634CD6"/>
    <w:rsid w:val="00637CF4"/>
    <w:rsid w:val="00641B5D"/>
    <w:rsid w:val="00643A90"/>
    <w:rsid w:val="00645A32"/>
    <w:rsid w:val="00645DBD"/>
    <w:rsid w:val="0064657C"/>
    <w:rsid w:val="00646D88"/>
    <w:rsid w:val="00646FD6"/>
    <w:rsid w:val="00650769"/>
    <w:rsid w:val="00651B36"/>
    <w:rsid w:val="00653C48"/>
    <w:rsid w:val="006554BC"/>
    <w:rsid w:val="006555E7"/>
    <w:rsid w:val="00660239"/>
    <w:rsid w:val="0066168E"/>
    <w:rsid w:val="0066322E"/>
    <w:rsid w:val="00666493"/>
    <w:rsid w:val="006715E9"/>
    <w:rsid w:val="00673BC1"/>
    <w:rsid w:val="00675806"/>
    <w:rsid w:val="00677435"/>
    <w:rsid w:val="00682383"/>
    <w:rsid w:val="00686BA3"/>
    <w:rsid w:val="006909AA"/>
    <w:rsid w:val="00690F1C"/>
    <w:rsid w:val="00693F88"/>
    <w:rsid w:val="00695F8E"/>
    <w:rsid w:val="00696033"/>
    <w:rsid w:val="00697624"/>
    <w:rsid w:val="00697649"/>
    <w:rsid w:val="006A09AA"/>
    <w:rsid w:val="006A0D04"/>
    <w:rsid w:val="006B4405"/>
    <w:rsid w:val="006C5AFD"/>
    <w:rsid w:val="006D18FE"/>
    <w:rsid w:val="006E26F3"/>
    <w:rsid w:val="006E5B2C"/>
    <w:rsid w:val="006F10CE"/>
    <w:rsid w:val="006F2319"/>
    <w:rsid w:val="006F3391"/>
    <w:rsid w:val="007011E4"/>
    <w:rsid w:val="00701F2D"/>
    <w:rsid w:val="00706EA3"/>
    <w:rsid w:val="00707C00"/>
    <w:rsid w:val="00711F96"/>
    <w:rsid w:val="007126EC"/>
    <w:rsid w:val="00712F7E"/>
    <w:rsid w:val="007149A1"/>
    <w:rsid w:val="00716889"/>
    <w:rsid w:val="007240CC"/>
    <w:rsid w:val="00725838"/>
    <w:rsid w:val="0072659D"/>
    <w:rsid w:val="00727EC8"/>
    <w:rsid w:val="00733AEC"/>
    <w:rsid w:val="007425E6"/>
    <w:rsid w:val="0075060F"/>
    <w:rsid w:val="00752FCB"/>
    <w:rsid w:val="00760B43"/>
    <w:rsid w:val="007629ED"/>
    <w:rsid w:val="00770CDD"/>
    <w:rsid w:val="0077227E"/>
    <w:rsid w:val="00774D3B"/>
    <w:rsid w:val="00781276"/>
    <w:rsid w:val="00781B19"/>
    <w:rsid w:val="00787547"/>
    <w:rsid w:val="007916F4"/>
    <w:rsid w:val="007923D4"/>
    <w:rsid w:val="007A20C4"/>
    <w:rsid w:val="007A3D9E"/>
    <w:rsid w:val="007A6FBE"/>
    <w:rsid w:val="007A7E4F"/>
    <w:rsid w:val="007B2E8F"/>
    <w:rsid w:val="007C195D"/>
    <w:rsid w:val="007C5B8A"/>
    <w:rsid w:val="007D3F02"/>
    <w:rsid w:val="007D4BCE"/>
    <w:rsid w:val="007D4C35"/>
    <w:rsid w:val="007D60D4"/>
    <w:rsid w:val="007D6D07"/>
    <w:rsid w:val="007D753F"/>
    <w:rsid w:val="007D7DC3"/>
    <w:rsid w:val="007D7EDE"/>
    <w:rsid w:val="007E0D86"/>
    <w:rsid w:val="007E1C13"/>
    <w:rsid w:val="007E4A38"/>
    <w:rsid w:val="007E5AFC"/>
    <w:rsid w:val="007E69EF"/>
    <w:rsid w:val="007F0D69"/>
    <w:rsid w:val="007F442C"/>
    <w:rsid w:val="007F51F0"/>
    <w:rsid w:val="007F58BC"/>
    <w:rsid w:val="00801A6F"/>
    <w:rsid w:val="00802527"/>
    <w:rsid w:val="0080271D"/>
    <w:rsid w:val="0081341C"/>
    <w:rsid w:val="00817DFD"/>
    <w:rsid w:val="00820E6B"/>
    <w:rsid w:val="008217BD"/>
    <w:rsid w:val="00821A60"/>
    <w:rsid w:val="008247C7"/>
    <w:rsid w:val="00825A50"/>
    <w:rsid w:val="008311EC"/>
    <w:rsid w:val="00831EEC"/>
    <w:rsid w:val="00835A49"/>
    <w:rsid w:val="00835B8F"/>
    <w:rsid w:val="00835E56"/>
    <w:rsid w:val="00840BBF"/>
    <w:rsid w:val="00844336"/>
    <w:rsid w:val="008455C1"/>
    <w:rsid w:val="0085393A"/>
    <w:rsid w:val="00854A86"/>
    <w:rsid w:val="0086362C"/>
    <w:rsid w:val="008657C5"/>
    <w:rsid w:val="008660DF"/>
    <w:rsid w:val="00871778"/>
    <w:rsid w:val="00871AE0"/>
    <w:rsid w:val="00872D18"/>
    <w:rsid w:val="008738F9"/>
    <w:rsid w:val="00875691"/>
    <w:rsid w:val="00875918"/>
    <w:rsid w:val="00880968"/>
    <w:rsid w:val="00882654"/>
    <w:rsid w:val="00882B97"/>
    <w:rsid w:val="008849B6"/>
    <w:rsid w:val="00885A1B"/>
    <w:rsid w:val="00887068"/>
    <w:rsid w:val="008942AA"/>
    <w:rsid w:val="008A0F62"/>
    <w:rsid w:val="008A3FF6"/>
    <w:rsid w:val="008B1172"/>
    <w:rsid w:val="008B5CCF"/>
    <w:rsid w:val="008C2A05"/>
    <w:rsid w:val="008C6B3A"/>
    <w:rsid w:val="008D1883"/>
    <w:rsid w:val="008D3005"/>
    <w:rsid w:val="008E0F57"/>
    <w:rsid w:val="008F015D"/>
    <w:rsid w:val="008F0CD2"/>
    <w:rsid w:val="008F15DF"/>
    <w:rsid w:val="008F4073"/>
    <w:rsid w:val="008F4A14"/>
    <w:rsid w:val="008F7BD0"/>
    <w:rsid w:val="009127E2"/>
    <w:rsid w:val="00916B3E"/>
    <w:rsid w:val="009206F1"/>
    <w:rsid w:val="00921CBB"/>
    <w:rsid w:val="00921DA4"/>
    <w:rsid w:val="0092494A"/>
    <w:rsid w:val="00927027"/>
    <w:rsid w:val="00927A0D"/>
    <w:rsid w:val="00940664"/>
    <w:rsid w:val="00940856"/>
    <w:rsid w:val="009416DF"/>
    <w:rsid w:val="009476B2"/>
    <w:rsid w:val="0095224D"/>
    <w:rsid w:val="009562A9"/>
    <w:rsid w:val="00957A2C"/>
    <w:rsid w:val="009604D2"/>
    <w:rsid w:val="00964325"/>
    <w:rsid w:val="0096777B"/>
    <w:rsid w:val="00972C83"/>
    <w:rsid w:val="00974361"/>
    <w:rsid w:val="0097663D"/>
    <w:rsid w:val="00980B1B"/>
    <w:rsid w:val="00983303"/>
    <w:rsid w:val="009904B1"/>
    <w:rsid w:val="00990A11"/>
    <w:rsid w:val="009942A0"/>
    <w:rsid w:val="00996DDF"/>
    <w:rsid w:val="00996FCF"/>
    <w:rsid w:val="009A0AE8"/>
    <w:rsid w:val="009A4119"/>
    <w:rsid w:val="009A48D9"/>
    <w:rsid w:val="009A553A"/>
    <w:rsid w:val="009A5680"/>
    <w:rsid w:val="009A5DA0"/>
    <w:rsid w:val="009A5DC9"/>
    <w:rsid w:val="009A6043"/>
    <w:rsid w:val="009B2C8A"/>
    <w:rsid w:val="009B6DC4"/>
    <w:rsid w:val="009C1A25"/>
    <w:rsid w:val="009C1EE0"/>
    <w:rsid w:val="009C6655"/>
    <w:rsid w:val="009D11DB"/>
    <w:rsid w:val="009D7228"/>
    <w:rsid w:val="009E009E"/>
    <w:rsid w:val="009E0459"/>
    <w:rsid w:val="009E26EA"/>
    <w:rsid w:val="009F0032"/>
    <w:rsid w:val="009F528B"/>
    <w:rsid w:val="009F5982"/>
    <w:rsid w:val="009F5BEF"/>
    <w:rsid w:val="009F5E8C"/>
    <w:rsid w:val="009F6E73"/>
    <w:rsid w:val="009F7DDD"/>
    <w:rsid w:val="00A0207B"/>
    <w:rsid w:val="00A065A6"/>
    <w:rsid w:val="00A0665F"/>
    <w:rsid w:val="00A06EFF"/>
    <w:rsid w:val="00A0751F"/>
    <w:rsid w:val="00A101F9"/>
    <w:rsid w:val="00A1084F"/>
    <w:rsid w:val="00A10877"/>
    <w:rsid w:val="00A12E82"/>
    <w:rsid w:val="00A131A9"/>
    <w:rsid w:val="00A13674"/>
    <w:rsid w:val="00A16405"/>
    <w:rsid w:val="00A16910"/>
    <w:rsid w:val="00A1700A"/>
    <w:rsid w:val="00A24B9F"/>
    <w:rsid w:val="00A24CF7"/>
    <w:rsid w:val="00A251C4"/>
    <w:rsid w:val="00A30BAD"/>
    <w:rsid w:val="00A32BF3"/>
    <w:rsid w:val="00A3617D"/>
    <w:rsid w:val="00A41547"/>
    <w:rsid w:val="00A41608"/>
    <w:rsid w:val="00A4213D"/>
    <w:rsid w:val="00A42842"/>
    <w:rsid w:val="00A43000"/>
    <w:rsid w:val="00A5162D"/>
    <w:rsid w:val="00A540C2"/>
    <w:rsid w:val="00A5472B"/>
    <w:rsid w:val="00A54D5D"/>
    <w:rsid w:val="00A6123C"/>
    <w:rsid w:val="00A61815"/>
    <w:rsid w:val="00A64B42"/>
    <w:rsid w:val="00A66435"/>
    <w:rsid w:val="00A673CF"/>
    <w:rsid w:val="00A70065"/>
    <w:rsid w:val="00A807A2"/>
    <w:rsid w:val="00A830EB"/>
    <w:rsid w:val="00A84F05"/>
    <w:rsid w:val="00A90405"/>
    <w:rsid w:val="00A91BB1"/>
    <w:rsid w:val="00A95CC6"/>
    <w:rsid w:val="00A97999"/>
    <w:rsid w:val="00AA1574"/>
    <w:rsid w:val="00AA5357"/>
    <w:rsid w:val="00AB76B8"/>
    <w:rsid w:val="00AC13F5"/>
    <w:rsid w:val="00AC35ED"/>
    <w:rsid w:val="00AC63CA"/>
    <w:rsid w:val="00AC711E"/>
    <w:rsid w:val="00AD6E33"/>
    <w:rsid w:val="00AD7112"/>
    <w:rsid w:val="00AE0659"/>
    <w:rsid w:val="00AF044C"/>
    <w:rsid w:val="00AF3DE1"/>
    <w:rsid w:val="00AF3E4B"/>
    <w:rsid w:val="00AF7034"/>
    <w:rsid w:val="00B01694"/>
    <w:rsid w:val="00B052C6"/>
    <w:rsid w:val="00B0655C"/>
    <w:rsid w:val="00B07380"/>
    <w:rsid w:val="00B10421"/>
    <w:rsid w:val="00B10A13"/>
    <w:rsid w:val="00B10BB0"/>
    <w:rsid w:val="00B10E94"/>
    <w:rsid w:val="00B10FD2"/>
    <w:rsid w:val="00B14F05"/>
    <w:rsid w:val="00B1702C"/>
    <w:rsid w:val="00B2383D"/>
    <w:rsid w:val="00B23C00"/>
    <w:rsid w:val="00B24811"/>
    <w:rsid w:val="00B24F16"/>
    <w:rsid w:val="00B25406"/>
    <w:rsid w:val="00B2722B"/>
    <w:rsid w:val="00B31794"/>
    <w:rsid w:val="00B32080"/>
    <w:rsid w:val="00B33B89"/>
    <w:rsid w:val="00B40ADB"/>
    <w:rsid w:val="00B4298F"/>
    <w:rsid w:val="00B47368"/>
    <w:rsid w:val="00B47F54"/>
    <w:rsid w:val="00B510A5"/>
    <w:rsid w:val="00B51CAC"/>
    <w:rsid w:val="00B5305A"/>
    <w:rsid w:val="00B549B9"/>
    <w:rsid w:val="00B61915"/>
    <w:rsid w:val="00B630B0"/>
    <w:rsid w:val="00B633A5"/>
    <w:rsid w:val="00B63DBD"/>
    <w:rsid w:val="00B6495B"/>
    <w:rsid w:val="00B64E1B"/>
    <w:rsid w:val="00B65C9B"/>
    <w:rsid w:val="00B7533E"/>
    <w:rsid w:val="00B75EA2"/>
    <w:rsid w:val="00B76B06"/>
    <w:rsid w:val="00B83FBE"/>
    <w:rsid w:val="00B8602D"/>
    <w:rsid w:val="00B9083B"/>
    <w:rsid w:val="00B912B0"/>
    <w:rsid w:val="00B95548"/>
    <w:rsid w:val="00B95FB3"/>
    <w:rsid w:val="00B97584"/>
    <w:rsid w:val="00B9785E"/>
    <w:rsid w:val="00BB0711"/>
    <w:rsid w:val="00BB0A47"/>
    <w:rsid w:val="00BB0C47"/>
    <w:rsid w:val="00BB48B3"/>
    <w:rsid w:val="00BC04AE"/>
    <w:rsid w:val="00BC316E"/>
    <w:rsid w:val="00BC37ED"/>
    <w:rsid w:val="00BC6FD1"/>
    <w:rsid w:val="00BC7EDC"/>
    <w:rsid w:val="00BD58E7"/>
    <w:rsid w:val="00BD6815"/>
    <w:rsid w:val="00BE25ED"/>
    <w:rsid w:val="00BE3A73"/>
    <w:rsid w:val="00BE601E"/>
    <w:rsid w:val="00BE602D"/>
    <w:rsid w:val="00BF1527"/>
    <w:rsid w:val="00BF1F9E"/>
    <w:rsid w:val="00BF38A7"/>
    <w:rsid w:val="00BF4D38"/>
    <w:rsid w:val="00BF5AF0"/>
    <w:rsid w:val="00C01390"/>
    <w:rsid w:val="00C05C17"/>
    <w:rsid w:val="00C070F2"/>
    <w:rsid w:val="00C075AC"/>
    <w:rsid w:val="00C10CAF"/>
    <w:rsid w:val="00C13503"/>
    <w:rsid w:val="00C1596A"/>
    <w:rsid w:val="00C160AD"/>
    <w:rsid w:val="00C16CD2"/>
    <w:rsid w:val="00C17B6D"/>
    <w:rsid w:val="00C22C67"/>
    <w:rsid w:val="00C34CF9"/>
    <w:rsid w:val="00C3723E"/>
    <w:rsid w:val="00C42210"/>
    <w:rsid w:val="00C43E12"/>
    <w:rsid w:val="00C46129"/>
    <w:rsid w:val="00C4630F"/>
    <w:rsid w:val="00C5055D"/>
    <w:rsid w:val="00C51377"/>
    <w:rsid w:val="00C51B43"/>
    <w:rsid w:val="00C62B8B"/>
    <w:rsid w:val="00C63D4F"/>
    <w:rsid w:val="00C64091"/>
    <w:rsid w:val="00C73FD2"/>
    <w:rsid w:val="00C7422F"/>
    <w:rsid w:val="00C7670F"/>
    <w:rsid w:val="00C808BC"/>
    <w:rsid w:val="00C90AE4"/>
    <w:rsid w:val="00C93084"/>
    <w:rsid w:val="00C97494"/>
    <w:rsid w:val="00CA1747"/>
    <w:rsid w:val="00CA1E6F"/>
    <w:rsid w:val="00CA35D2"/>
    <w:rsid w:val="00CB7CB5"/>
    <w:rsid w:val="00CC3C3D"/>
    <w:rsid w:val="00CC4E8A"/>
    <w:rsid w:val="00CC7A09"/>
    <w:rsid w:val="00CD2A5E"/>
    <w:rsid w:val="00CD68A7"/>
    <w:rsid w:val="00CD74B2"/>
    <w:rsid w:val="00CE14FD"/>
    <w:rsid w:val="00CE6127"/>
    <w:rsid w:val="00CF1D9A"/>
    <w:rsid w:val="00CF2B5A"/>
    <w:rsid w:val="00CF3A5F"/>
    <w:rsid w:val="00CF4439"/>
    <w:rsid w:val="00CF6A5D"/>
    <w:rsid w:val="00D027E8"/>
    <w:rsid w:val="00D050D7"/>
    <w:rsid w:val="00D05FFF"/>
    <w:rsid w:val="00D127BE"/>
    <w:rsid w:val="00D1492C"/>
    <w:rsid w:val="00D15202"/>
    <w:rsid w:val="00D15B94"/>
    <w:rsid w:val="00D17411"/>
    <w:rsid w:val="00D202E3"/>
    <w:rsid w:val="00D2204A"/>
    <w:rsid w:val="00D221BD"/>
    <w:rsid w:val="00D22A8C"/>
    <w:rsid w:val="00D30E80"/>
    <w:rsid w:val="00D346FA"/>
    <w:rsid w:val="00D40765"/>
    <w:rsid w:val="00D41330"/>
    <w:rsid w:val="00D41365"/>
    <w:rsid w:val="00D435B5"/>
    <w:rsid w:val="00D4647F"/>
    <w:rsid w:val="00D4787E"/>
    <w:rsid w:val="00D522E0"/>
    <w:rsid w:val="00D54939"/>
    <w:rsid w:val="00D57BB2"/>
    <w:rsid w:val="00D60D0F"/>
    <w:rsid w:val="00D63F7A"/>
    <w:rsid w:val="00D648FF"/>
    <w:rsid w:val="00D65D84"/>
    <w:rsid w:val="00D70C42"/>
    <w:rsid w:val="00D76049"/>
    <w:rsid w:val="00D772B7"/>
    <w:rsid w:val="00D7758B"/>
    <w:rsid w:val="00D80213"/>
    <w:rsid w:val="00D80F96"/>
    <w:rsid w:val="00D81085"/>
    <w:rsid w:val="00D825A4"/>
    <w:rsid w:val="00D84463"/>
    <w:rsid w:val="00DA16BD"/>
    <w:rsid w:val="00DA18D4"/>
    <w:rsid w:val="00DA234C"/>
    <w:rsid w:val="00DA300A"/>
    <w:rsid w:val="00DA3EE3"/>
    <w:rsid w:val="00DB0FF6"/>
    <w:rsid w:val="00DB10FF"/>
    <w:rsid w:val="00DB1B6E"/>
    <w:rsid w:val="00DB2D98"/>
    <w:rsid w:val="00DB329A"/>
    <w:rsid w:val="00DB404B"/>
    <w:rsid w:val="00DB6C9A"/>
    <w:rsid w:val="00DB78E8"/>
    <w:rsid w:val="00DC24EB"/>
    <w:rsid w:val="00DC3911"/>
    <w:rsid w:val="00DC5E9A"/>
    <w:rsid w:val="00DD2813"/>
    <w:rsid w:val="00DD3B2E"/>
    <w:rsid w:val="00DD5CE7"/>
    <w:rsid w:val="00DD5E0D"/>
    <w:rsid w:val="00DD6FDB"/>
    <w:rsid w:val="00DD76C2"/>
    <w:rsid w:val="00DE17E8"/>
    <w:rsid w:val="00DE2F47"/>
    <w:rsid w:val="00DE30B6"/>
    <w:rsid w:val="00DE3AC1"/>
    <w:rsid w:val="00DF4268"/>
    <w:rsid w:val="00E00D37"/>
    <w:rsid w:val="00E01331"/>
    <w:rsid w:val="00E03446"/>
    <w:rsid w:val="00E04533"/>
    <w:rsid w:val="00E0621E"/>
    <w:rsid w:val="00E11BE2"/>
    <w:rsid w:val="00E14FA1"/>
    <w:rsid w:val="00E1654E"/>
    <w:rsid w:val="00E170F6"/>
    <w:rsid w:val="00E220C1"/>
    <w:rsid w:val="00E225D3"/>
    <w:rsid w:val="00E3488C"/>
    <w:rsid w:val="00E36589"/>
    <w:rsid w:val="00E36EC8"/>
    <w:rsid w:val="00E41215"/>
    <w:rsid w:val="00E60C48"/>
    <w:rsid w:val="00E71C17"/>
    <w:rsid w:val="00E72535"/>
    <w:rsid w:val="00E7260E"/>
    <w:rsid w:val="00E73B11"/>
    <w:rsid w:val="00E83ACC"/>
    <w:rsid w:val="00E848D5"/>
    <w:rsid w:val="00E97D4D"/>
    <w:rsid w:val="00EA1AFA"/>
    <w:rsid w:val="00EA5ED0"/>
    <w:rsid w:val="00EA63D7"/>
    <w:rsid w:val="00EA6F8B"/>
    <w:rsid w:val="00EA6FC7"/>
    <w:rsid w:val="00EB04CA"/>
    <w:rsid w:val="00EB41B4"/>
    <w:rsid w:val="00EB5068"/>
    <w:rsid w:val="00EB6B0F"/>
    <w:rsid w:val="00EB7EFB"/>
    <w:rsid w:val="00EC0679"/>
    <w:rsid w:val="00EC2BF2"/>
    <w:rsid w:val="00EC3A72"/>
    <w:rsid w:val="00EC4E9C"/>
    <w:rsid w:val="00EC5837"/>
    <w:rsid w:val="00EC7B59"/>
    <w:rsid w:val="00ED2A61"/>
    <w:rsid w:val="00ED2D01"/>
    <w:rsid w:val="00ED6DFD"/>
    <w:rsid w:val="00EE61B8"/>
    <w:rsid w:val="00EF269C"/>
    <w:rsid w:val="00F0049C"/>
    <w:rsid w:val="00F01014"/>
    <w:rsid w:val="00F03053"/>
    <w:rsid w:val="00F030D3"/>
    <w:rsid w:val="00F10C29"/>
    <w:rsid w:val="00F10D4A"/>
    <w:rsid w:val="00F1184E"/>
    <w:rsid w:val="00F228D7"/>
    <w:rsid w:val="00F258C1"/>
    <w:rsid w:val="00F25E57"/>
    <w:rsid w:val="00F271BE"/>
    <w:rsid w:val="00F2722A"/>
    <w:rsid w:val="00F30599"/>
    <w:rsid w:val="00F3102F"/>
    <w:rsid w:val="00F325FA"/>
    <w:rsid w:val="00F33926"/>
    <w:rsid w:val="00F37AE1"/>
    <w:rsid w:val="00F41B71"/>
    <w:rsid w:val="00F41BA6"/>
    <w:rsid w:val="00F42EA9"/>
    <w:rsid w:val="00F43057"/>
    <w:rsid w:val="00F475AC"/>
    <w:rsid w:val="00F61936"/>
    <w:rsid w:val="00F65D99"/>
    <w:rsid w:val="00F70F3D"/>
    <w:rsid w:val="00F82EE5"/>
    <w:rsid w:val="00F84EF5"/>
    <w:rsid w:val="00F9298F"/>
    <w:rsid w:val="00F92D2A"/>
    <w:rsid w:val="00F956C3"/>
    <w:rsid w:val="00FA208E"/>
    <w:rsid w:val="00FA4245"/>
    <w:rsid w:val="00FB3D56"/>
    <w:rsid w:val="00FB492F"/>
    <w:rsid w:val="00FB607D"/>
    <w:rsid w:val="00FB702A"/>
    <w:rsid w:val="00FC2CBD"/>
    <w:rsid w:val="00FD526C"/>
    <w:rsid w:val="00FE42D6"/>
    <w:rsid w:val="00FE447E"/>
    <w:rsid w:val="00FE580C"/>
    <w:rsid w:val="049487A7"/>
    <w:rsid w:val="05EB39C2"/>
    <w:rsid w:val="167B8391"/>
    <w:rsid w:val="1ABD502D"/>
    <w:rsid w:val="25A5D91C"/>
    <w:rsid w:val="271A2BF1"/>
    <w:rsid w:val="272684C5"/>
    <w:rsid w:val="2DABD88B"/>
    <w:rsid w:val="32CAD7F5"/>
    <w:rsid w:val="3F17C21A"/>
    <w:rsid w:val="3FBF57C1"/>
    <w:rsid w:val="45A5486A"/>
    <w:rsid w:val="46A0D927"/>
    <w:rsid w:val="4D57FB5F"/>
    <w:rsid w:val="4E885BE6"/>
    <w:rsid w:val="527E97DD"/>
    <w:rsid w:val="5E86345D"/>
    <w:rsid w:val="639BFAAB"/>
    <w:rsid w:val="665678E2"/>
    <w:rsid w:val="686A2429"/>
    <w:rsid w:val="6926947E"/>
    <w:rsid w:val="6AA6F0C9"/>
    <w:rsid w:val="74C20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E9767CA"/>
  <w14:defaultImageDpi w14:val="300"/>
  <w15:docId w15:val="{2AB6F5C6-AF9E-4E4D-845C-236531CE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tabs>
        <w:tab w:val="clear" w:pos="1714"/>
      </w:tabs>
      <w:overflowPunct w:val="0"/>
      <w:autoSpaceDE w:val="0"/>
      <w:autoSpaceDN w:val="0"/>
      <w:adjustRightInd w:val="0"/>
      <w:spacing w:before="240" w:after="60" w:line="240" w:lineRule="auto"/>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A64B42"/>
    <w:pPr>
      <w:keepNext/>
      <w:keepLines/>
      <w:numPr>
        <w:ilvl w:val="2"/>
        <w:numId w:val="1"/>
      </w:numPr>
      <w:spacing w:before="200"/>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semiHidden/>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5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A64B42"/>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uiPriority w:val="1"/>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clear" w:pos="1714"/>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semiHidden/>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tabs>
        <w:tab w:val="clear" w:pos="1714"/>
      </w:tabs>
      <w:overflowPunct w:val="0"/>
      <w:autoSpaceDE w:val="0"/>
      <w:autoSpaceDN w:val="0"/>
      <w:adjustRightInd w:val="0"/>
      <w:spacing w:line="240" w:lineRule="auto"/>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tabs>
        <w:tab w:val="clear" w:pos="1714"/>
      </w:tabs>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tabs>
        <w:tab w:val="clear" w:pos="1714"/>
      </w:tabs>
      <w:overflowPunct w:val="0"/>
      <w:autoSpaceDE w:val="0"/>
      <w:autoSpaceDN w:val="0"/>
      <w:adjustRightInd w:val="0"/>
      <w:spacing w:line="240" w:lineRule="auto"/>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tabs>
        <w:tab w:val="clear" w:pos="1714"/>
      </w:tabs>
      <w:autoSpaceDE w:val="0"/>
      <w:autoSpaceDN w:val="0"/>
      <w:spacing w:before="117" w:line="240" w:lineRule="auto"/>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tabs>
        <w:tab w:val="clear" w:pos="1714"/>
      </w:tabs>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styleId="CommentReference">
    <w:name w:val="annotation reference"/>
    <w:basedOn w:val="DefaultParagraphFont"/>
    <w:uiPriority w:val="99"/>
    <w:semiHidden/>
    <w:unhideWhenUsed/>
    <w:rsid w:val="00187355"/>
    <w:rPr>
      <w:sz w:val="16"/>
      <w:szCs w:val="16"/>
    </w:rPr>
  </w:style>
  <w:style w:type="paragraph" w:styleId="CommentSubject">
    <w:name w:val="annotation subject"/>
    <w:basedOn w:val="CommentText"/>
    <w:next w:val="CommentText"/>
    <w:link w:val="CommentSubjectChar"/>
    <w:uiPriority w:val="99"/>
    <w:semiHidden/>
    <w:unhideWhenUsed/>
    <w:rsid w:val="00187355"/>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187355"/>
    <w:rPr>
      <w:rFonts w:ascii="Palatino" w:eastAsia="Times New Roman" w:hAnsi="Palatino"/>
      <w:b/>
      <w:bCs/>
      <w:szCs w:val="24"/>
    </w:rPr>
  </w:style>
  <w:style w:type="table" w:customStyle="1" w:styleId="TableGrid1">
    <w:name w:val="Table Grid1"/>
    <w:basedOn w:val="TableNormal"/>
    <w:next w:val="TableGrid"/>
    <w:uiPriority w:val="59"/>
    <w:rsid w:val="006E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83FBE"/>
  </w:style>
  <w:style w:type="character" w:styleId="UnresolvedMention">
    <w:name w:val="Unresolved Mention"/>
    <w:basedOn w:val="DefaultParagraphFont"/>
    <w:uiPriority w:val="99"/>
    <w:semiHidden/>
    <w:unhideWhenUsed/>
    <w:rsid w:val="001F14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139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ip2-docdb.fnal.gov/cgi-bin/private/ShowDocument?docid=4201"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ip2-docdb.fnal.gov/cgi-bin/private/ShowDocument?docid=1377" TargetMode="External"/><Relationship Id="rId2" Type="http://schemas.openxmlformats.org/officeDocument/2006/relationships/customXml" Target="../customXml/item2.xml"/><Relationship Id="rId16" Type="http://schemas.openxmlformats.org/officeDocument/2006/relationships/hyperlink" Target="https://www.directives.doe.gov/directives-documents/400-series/0413.3-BOrder-b" TargetMode="External"/><Relationship Id="rId20" Type="http://schemas.openxmlformats.org/officeDocument/2006/relationships/hyperlink" Target="https://pip2-docdb.fnal.gov/cgi-bin/sso/ShowDocument?docid=29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ip2-docdb.fnal.gov/cgi-bin/private/ShowDocument?docid=42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d\OneDrive%20-%20Fermi%20National%20Accelerator%20Laboratory\PIP-II%20Integration\PIP-II%20Templat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C8B11773DC345A6A7B1699CFCF121" ma:contentTypeVersion="17" ma:contentTypeDescription="Create a new document." ma:contentTypeScope="" ma:versionID="fd94eaeb3d623838830b53b075cd952b">
  <xsd:schema xmlns:xsd="http://www.w3.org/2001/XMLSchema" xmlns:xs="http://www.w3.org/2001/XMLSchema" xmlns:p="http://schemas.microsoft.com/office/2006/metadata/properties" xmlns:ns1="http://schemas.microsoft.com/sharepoint/v3" xmlns:ns3="35dea4f2-4136-4079-8218-3362b26dfbf2" xmlns:ns4="87d35bd7-cc13-486d-92f0-24078e59316b" targetNamespace="http://schemas.microsoft.com/office/2006/metadata/properties" ma:root="true" ma:fieldsID="4fc2bb998336f98a3165d01121fa71cd" ns1:_="" ns3:_="" ns4:_="">
    <xsd:import namespace="http://schemas.microsoft.com/sharepoint/v3"/>
    <xsd:import namespace="35dea4f2-4136-4079-8218-3362b26dfbf2"/>
    <xsd:import namespace="87d35bd7-cc13-486d-92f0-24078e59316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dea4f2-4136-4079-8218-3362b26dfb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d35bd7-cc13-486d-92f0-24078e59316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FEFFC2-F0DC-4D2E-87EF-EF71771D3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dea4f2-4136-4079-8218-3362b26dfbf2"/>
    <ds:schemaRef ds:uri="87d35bd7-cc13-486d-92f0-24078e593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CE527-8162-42A2-8189-22EAE5AAAE4E}">
  <ds:schemaRefs>
    <ds:schemaRef ds:uri="http://schemas.microsoft.com/sharepoint/v3/contenttype/forms"/>
  </ds:schemaRefs>
</ds:datastoreItem>
</file>

<file path=customXml/itemProps3.xml><?xml version="1.0" encoding="utf-8"?>
<ds:datastoreItem xmlns:ds="http://schemas.openxmlformats.org/officeDocument/2006/customXml" ds:itemID="{34E9834F-3623-4B3C-A26C-54CB9FC263E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AA145D5-F0E8-4BF1-A644-42DD284D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PIP-II Template Document.dotx</Template>
  <TotalTime>3</TotalTime>
  <Pages>10</Pages>
  <Words>2519</Words>
  <Characters>14359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Project Design Review Plan</vt:lpstr>
    </vt:vector>
  </TitlesOfParts>
  <Company>Fermi National Accelerator Laboratory</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Review Plan</dc:title>
  <dc:subject>Project Design Review Plan</dc:subject>
  <dc:creator>Tatiana Hamilton x8486 32216N</dc:creator>
  <cp:keywords/>
  <dc:description/>
  <cp:lastModifiedBy>Allan M Rowe</cp:lastModifiedBy>
  <cp:revision>2</cp:revision>
  <cp:lastPrinted>2018-08-03T18:36:00Z</cp:lastPrinted>
  <dcterms:created xsi:type="dcterms:W3CDTF">2019-12-02T15:05:00Z</dcterms:created>
  <dcterms:modified xsi:type="dcterms:W3CDTF">2019-12-02T15:05:00Z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y fmtid="{D5CDD505-2E9C-101B-9397-08002B2CF9AE}" pid="4" name="ContentTypeId">
    <vt:lpwstr>0x01010077AC8B11773DC345A6A7B1699CFCF121</vt:lpwstr>
  </property>
</Properties>
</file>