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714D" w14:textId="77777777" w:rsidR="001602A7" w:rsidRPr="000574E4" w:rsidRDefault="001602A7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64034E7E" w14:textId="77777777" w:rsidR="00B4298F" w:rsidRPr="000574E4" w:rsidRDefault="00B4298F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6DE72877" w14:textId="77777777" w:rsidR="00B4298F" w:rsidRPr="000574E4" w:rsidRDefault="00B4298F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58083E43" w14:textId="77777777" w:rsidR="00B4298F" w:rsidRPr="000574E4" w:rsidRDefault="00B4298F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4F4972DF" w14:textId="77777777" w:rsidR="00067F4F" w:rsidRPr="000574E4" w:rsidRDefault="00067F4F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6016DC4E" w14:textId="3EAE1BBD" w:rsidR="009C1A25" w:rsidRPr="00732A23" w:rsidRDefault="009B3C4D" w:rsidP="00821A60">
      <w:pPr>
        <w:pStyle w:val="Title24pt"/>
        <w:spacing w:line="240" w:lineRule="auto"/>
        <w:rPr>
          <w:rFonts w:ascii="Palatino Linotype" w:hAnsi="Palatino Linotype"/>
          <w:b w:val="0"/>
          <w:sz w:val="52"/>
        </w:rPr>
      </w:pPr>
      <w:r w:rsidRPr="00732A23">
        <w:rPr>
          <w:rFonts w:ascii="Palatino Linotype" w:hAnsi="Palatino Linotype"/>
          <w:b w:val="0"/>
          <w:sz w:val="52"/>
        </w:rPr>
        <w:t>PIP-II</w:t>
      </w:r>
      <w:r w:rsidR="00732A23" w:rsidRPr="00732A23">
        <w:rPr>
          <w:rFonts w:ascii="Palatino Linotype" w:hAnsi="Palatino Linotype"/>
          <w:b w:val="0"/>
          <w:sz w:val="52"/>
        </w:rPr>
        <w:t xml:space="preserve"> </w:t>
      </w:r>
      <w:r w:rsidR="00114B67">
        <w:rPr>
          <w:rFonts w:ascii="Palatino Linotype" w:hAnsi="Palatino Linotype"/>
          <w:b w:val="0"/>
          <w:sz w:val="52"/>
        </w:rPr>
        <w:t>Building Infrastructure</w:t>
      </w:r>
      <w:r w:rsidR="008C0CC6">
        <w:rPr>
          <w:rFonts w:ascii="Palatino Linotype" w:hAnsi="Palatino Linotype"/>
          <w:b w:val="0"/>
          <w:sz w:val="52"/>
        </w:rPr>
        <w:t xml:space="preserve"> </w:t>
      </w:r>
      <w:r w:rsidR="00033035">
        <w:rPr>
          <w:rFonts w:ascii="Palatino Linotype" w:hAnsi="Palatino Linotype"/>
          <w:b w:val="0"/>
          <w:sz w:val="52"/>
        </w:rPr>
        <w:t xml:space="preserve">Materials </w:t>
      </w:r>
      <w:r w:rsidR="008C0CC6">
        <w:rPr>
          <w:rFonts w:ascii="Palatino Linotype" w:hAnsi="Palatino Linotype"/>
          <w:b w:val="0"/>
          <w:sz w:val="52"/>
        </w:rPr>
        <w:t>Quality Control Plan</w:t>
      </w:r>
    </w:p>
    <w:p w14:paraId="680E9604" w14:textId="77777777" w:rsidR="00B4298F" w:rsidRPr="000574E4" w:rsidRDefault="00B4298F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55E75ABD" w14:textId="741BAE75" w:rsidR="00B4298F" w:rsidRPr="000574E4" w:rsidRDefault="009B3C4D" w:rsidP="00821A60">
      <w:pPr>
        <w:pStyle w:val="Subtitle16pt"/>
        <w:rPr>
          <w:rFonts w:ascii="Palatino Linotype" w:hAnsi="Palatino Linotype"/>
        </w:rPr>
      </w:pPr>
      <w:r w:rsidRPr="000574E4">
        <w:rPr>
          <w:rFonts w:ascii="Palatino Linotype" w:hAnsi="Palatino Linotype"/>
        </w:rPr>
        <w:t xml:space="preserve">Document number: </w:t>
      </w:r>
      <w:r w:rsidR="0078612F" w:rsidRPr="0078612F">
        <w:rPr>
          <w:rFonts w:ascii="Palatino Linotype" w:hAnsi="Palatino Linotype"/>
          <w:i/>
          <w:iCs/>
        </w:rPr>
        <w:t>PIP-II-Do</w:t>
      </w:r>
      <w:r w:rsidR="00E90397">
        <w:rPr>
          <w:rFonts w:ascii="Palatino Linotype" w:hAnsi="Palatino Linotype"/>
          <w:i/>
          <w:iCs/>
        </w:rPr>
        <w:t>c</w:t>
      </w:r>
      <w:r w:rsidR="0078612F" w:rsidRPr="0078612F">
        <w:rPr>
          <w:rFonts w:ascii="Palatino Linotype" w:hAnsi="Palatino Linotype"/>
          <w:i/>
          <w:iCs/>
        </w:rPr>
        <w:t>-</w:t>
      </w:r>
      <w:proofErr w:type="spellStart"/>
      <w:r w:rsidR="0078612F" w:rsidRPr="0078612F">
        <w:rPr>
          <w:rFonts w:ascii="Palatino Linotype" w:hAnsi="Palatino Linotype"/>
          <w:i/>
          <w:iCs/>
        </w:rPr>
        <w:t>xxxx</w:t>
      </w:r>
      <w:proofErr w:type="spellEnd"/>
    </w:p>
    <w:p w14:paraId="2790D8A8" w14:textId="77777777" w:rsidR="009416DF" w:rsidRPr="000574E4" w:rsidRDefault="009416DF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35D1EDB1" w14:textId="77777777" w:rsidR="004D3ED7" w:rsidRPr="000574E4" w:rsidRDefault="004D3ED7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51987265" w14:textId="77777777" w:rsidR="00453FDF" w:rsidRPr="000574E4" w:rsidRDefault="00453FDF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60697763" w14:textId="77777777" w:rsidR="00B4298F" w:rsidRPr="000574E4" w:rsidRDefault="00B4298F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491603FB" w14:textId="77777777" w:rsidR="00B4298F" w:rsidRPr="000574E4" w:rsidRDefault="00B4298F" w:rsidP="00821A60">
      <w:pPr>
        <w:pStyle w:val="NotesBody11pt"/>
        <w:spacing w:line="240" w:lineRule="auto"/>
        <w:rPr>
          <w:rFonts w:ascii="Palatino Linotype" w:hAnsi="Palatino Linotype"/>
          <w:color w:val="004C97"/>
        </w:rPr>
      </w:pPr>
    </w:p>
    <w:p w14:paraId="15DF42B9" w14:textId="6131CCD7" w:rsidR="001D1A1A" w:rsidRPr="000574E4" w:rsidRDefault="001D1A1A" w:rsidP="00D17411">
      <w:pPr>
        <w:pStyle w:val="NotesBody11pt"/>
        <w:rPr>
          <w:rFonts w:ascii="Palatino Linotype" w:hAnsi="Palatino Linotype"/>
        </w:rPr>
        <w:sectPr w:rsidR="001D1A1A" w:rsidRPr="000574E4" w:rsidSect="00A24C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00" w:right="1440" w:bottom="1440" w:left="1440" w:header="432" w:footer="389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004C97"/>
          <w:left w:val="single" w:sz="4" w:space="0" w:color="004C97"/>
          <w:bottom w:val="single" w:sz="4" w:space="0" w:color="004C97"/>
          <w:right w:val="single" w:sz="4" w:space="0" w:color="004C97"/>
          <w:insideH w:val="single" w:sz="4" w:space="0" w:color="004C97"/>
          <w:insideV w:val="single" w:sz="4" w:space="0" w:color="004C97"/>
        </w:tblBorders>
        <w:tblLook w:val="01E0" w:firstRow="1" w:lastRow="1" w:firstColumn="1" w:lastColumn="1" w:noHBand="0" w:noVBand="0"/>
      </w:tblPr>
      <w:tblGrid>
        <w:gridCol w:w="1345"/>
        <w:gridCol w:w="5243"/>
        <w:gridCol w:w="2700"/>
      </w:tblGrid>
      <w:tr w:rsidR="00816B35" w:rsidRPr="00D00442" w14:paraId="2DB8D89A" w14:textId="77777777" w:rsidTr="00E67AC2">
        <w:tc>
          <w:tcPr>
            <w:tcW w:w="6588" w:type="dxa"/>
            <w:gridSpan w:val="2"/>
            <w:shd w:val="clear" w:color="auto" w:fill="C6D9F1" w:themeFill="text2" w:themeFillTint="33"/>
            <w:vAlign w:val="center"/>
          </w:tcPr>
          <w:p w14:paraId="03D46C6D" w14:textId="7A39E111" w:rsidR="00816B35" w:rsidRPr="002E08AF" w:rsidRDefault="00816B35" w:rsidP="00E67AC2">
            <w:pPr>
              <w:rPr>
                <w:rFonts w:cs="Arial"/>
                <w:b/>
                <w:color w:val="004C97"/>
              </w:rPr>
            </w:pPr>
            <w:r w:rsidRPr="002E08AF">
              <w:rPr>
                <w:rFonts w:cs="Arial"/>
                <w:b/>
                <w:color w:val="004C97"/>
              </w:rPr>
              <w:lastRenderedPageBreak/>
              <w:t xml:space="preserve">Document </w:t>
            </w:r>
            <w:r>
              <w:rPr>
                <w:rFonts w:cs="Arial"/>
                <w:b/>
                <w:color w:val="004C97"/>
              </w:rPr>
              <w:t>Reviews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14:paraId="075046CD" w14:textId="19AA1E30" w:rsidR="00816B35" w:rsidRPr="002E08AF" w:rsidRDefault="00816B35" w:rsidP="00E67AC2">
            <w:pPr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Date Reviewed</w:t>
            </w:r>
            <w:r w:rsidR="002A11D7">
              <w:rPr>
                <w:rFonts w:cs="Arial"/>
                <w:b/>
                <w:color w:val="004C97"/>
              </w:rPr>
              <w:t xml:space="preserve"> / Approved</w:t>
            </w:r>
          </w:p>
        </w:tc>
      </w:tr>
      <w:tr w:rsidR="00B409FB" w:rsidRPr="00D00442" w14:paraId="5C7FDE71" w14:textId="77777777" w:rsidTr="00E67AC2">
        <w:tc>
          <w:tcPr>
            <w:tcW w:w="1345" w:type="dxa"/>
            <w:vAlign w:val="center"/>
          </w:tcPr>
          <w:p w14:paraId="275A5347" w14:textId="77777777" w:rsidR="00B409FB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Originator</w:t>
            </w:r>
          </w:p>
        </w:tc>
        <w:tc>
          <w:tcPr>
            <w:tcW w:w="5243" w:type="dxa"/>
            <w:vAlign w:val="center"/>
          </w:tcPr>
          <w:p w14:paraId="4F39A1A2" w14:textId="7689CAFA" w:rsidR="00B409FB" w:rsidRPr="00554261" w:rsidRDefault="00B409FB" w:rsidP="00E67AC2">
            <w:pPr>
              <w:tabs>
                <w:tab w:val="left" w:pos="720"/>
              </w:tabs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Jonathan Hunt</w:t>
            </w:r>
          </w:p>
        </w:tc>
        <w:tc>
          <w:tcPr>
            <w:tcW w:w="2700" w:type="dxa"/>
            <w:vMerge w:val="restart"/>
            <w:vAlign w:val="center"/>
          </w:tcPr>
          <w:p w14:paraId="5283F0CF" w14:textId="481507BE" w:rsidR="00B409FB" w:rsidRPr="00554261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color w:val="004C97"/>
              </w:rPr>
            </w:pPr>
          </w:p>
          <w:p w14:paraId="70FAB1B2" w14:textId="69D6DA90" w:rsidR="00B409FB" w:rsidRPr="00554261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color w:val="004C97"/>
              </w:rPr>
            </w:pPr>
          </w:p>
        </w:tc>
      </w:tr>
      <w:tr w:rsidR="00B409FB" w:rsidRPr="00D00442" w14:paraId="26700618" w14:textId="77777777" w:rsidTr="00E67AC2">
        <w:tc>
          <w:tcPr>
            <w:tcW w:w="1345" w:type="dxa"/>
            <w:vAlign w:val="center"/>
          </w:tcPr>
          <w:p w14:paraId="30857ABB" w14:textId="0092B47E" w:rsidR="00B409FB" w:rsidRPr="002E08AF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Contributor</w:t>
            </w:r>
          </w:p>
        </w:tc>
        <w:tc>
          <w:tcPr>
            <w:tcW w:w="5243" w:type="dxa"/>
            <w:vAlign w:val="center"/>
          </w:tcPr>
          <w:p w14:paraId="0BC21E12" w14:textId="3C6A1A37" w:rsidR="00B409FB" w:rsidRPr="00554261" w:rsidRDefault="00B409FB" w:rsidP="00E67AC2">
            <w:pPr>
              <w:tabs>
                <w:tab w:val="left" w:pos="720"/>
              </w:tabs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Tom DiGrazia</w:t>
            </w:r>
          </w:p>
        </w:tc>
        <w:tc>
          <w:tcPr>
            <w:tcW w:w="2700" w:type="dxa"/>
            <w:vMerge/>
            <w:vAlign w:val="center"/>
          </w:tcPr>
          <w:p w14:paraId="31084C9E" w14:textId="4B7E976C" w:rsidR="00B409FB" w:rsidRPr="00554261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color w:val="004C97"/>
              </w:rPr>
            </w:pPr>
          </w:p>
        </w:tc>
      </w:tr>
      <w:tr w:rsidR="00B409FB" w:rsidRPr="00D00442" w14:paraId="7870DD38" w14:textId="77777777" w:rsidTr="00E67AC2">
        <w:tc>
          <w:tcPr>
            <w:tcW w:w="1345" w:type="dxa"/>
            <w:vAlign w:val="center"/>
          </w:tcPr>
          <w:p w14:paraId="0A192723" w14:textId="20DE3F0D" w:rsidR="00B409FB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Contributor</w:t>
            </w:r>
          </w:p>
        </w:tc>
        <w:tc>
          <w:tcPr>
            <w:tcW w:w="5243" w:type="dxa"/>
            <w:vAlign w:val="center"/>
          </w:tcPr>
          <w:p w14:paraId="01FF17CD" w14:textId="592096DF" w:rsidR="00B409FB" w:rsidRDefault="00B409FB" w:rsidP="00E67AC2">
            <w:pPr>
              <w:tabs>
                <w:tab w:val="left" w:pos="720"/>
              </w:tabs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Ryan Crawford</w:t>
            </w:r>
          </w:p>
        </w:tc>
        <w:tc>
          <w:tcPr>
            <w:tcW w:w="2700" w:type="dxa"/>
            <w:vMerge/>
            <w:vAlign w:val="center"/>
          </w:tcPr>
          <w:p w14:paraId="3240BBC9" w14:textId="77777777" w:rsidR="00B409FB" w:rsidRPr="00554261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color w:val="004C97"/>
              </w:rPr>
            </w:pPr>
          </w:p>
        </w:tc>
      </w:tr>
      <w:tr w:rsidR="00B409FB" w:rsidRPr="00D00442" w14:paraId="5A12AAE6" w14:textId="77777777" w:rsidTr="00E67AC2">
        <w:tc>
          <w:tcPr>
            <w:tcW w:w="1345" w:type="dxa"/>
            <w:vAlign w:val="center"/>
          </w:tcPr>
          <w:p w14:paraId="388FF3C7" w14:textId="19332B99" w:rsidR="00B409FB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Contributor</w:t>
            </w:r>
          </w:p>
        </w:tc>
        <w:tc>
          <w:tcPr>
            <w:tcW w:w="5243" w:type="dxa"/>
            <w:vAlign w:val="center"/>
          </w:tcPr>
          <w:p w14:paraId="0587DB9C" w14:textId="07C42946" w:rsidR="00B409FB" w:rsidRDefault="00B409FB" w:rsidP="00E67AC2">
            <w:pPr>
              <w:tabs>
                <w:tab w:val="left" w:pos="720"/>
              </w:tabs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Jerzy Czajkowski</w:t>
            </w:r>
          </w:p>
        </w:tc>
        <w:tc>
          <w:tcPr>
            <w:tcW w:w="2700" w:type="dxa"/>
            <w:vMerge/>
            <w:vAlign w:val="center"/>
          </w:tcPr>
          <w:p w14:paraId="480099A2" w14:textId="77777777" w:rsidR="00B409FB" w:rsidRPr="00554261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color w:val="004C97"/>
              </w:rPr>
            </w:pPr>
          </w:p>
        </w:tc>
      </w:tr>
      <w:tr w:rsidR="00D46D3D" w:rsidRPr="00D00442" w14:paraId="1BE632B4" w14:textId="77777777" w:rsidTr="00E67AC2">
        <w:tc>
          <w:tcPr>
            <w:tcW w:w="1345" w:type="dxa"/>
            <w:vAlign w:val="center"/>
          </w:tcPr>
          <w:p w14:paraId="79C49735" w14:textId="667080BA" w:rsidR="00D46D3D" w:rsidRDefault="00D46D3D" w:rsidP="00D46D3D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Reviewer</w:t>
            </w:r>
          </w:p>
        </w:tc>
        <w:tc>
          <w:tcPr>
            <w:tcW w:w="5243" w:type="dxa"/>
            <w:vAlign w:val="center"/>
          </w:tcPr>
          <w:p w14:paraId="05E9CBB6" w14:textId="151B62BA" w:rsidR="00D46D3D" w:rsidRDefault="005A315A" w:rsidP="00D46D3D">
            <w:pPr>
              <w:tabs>
                <w:tab w:val="left" w:pos="720"/>
              </w:tabs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sz w:val="22"/>
              </w:rPr>
              <w:t>Jerry Leibfritz</w:t>
            </w:r>
          </w:p>
        </w:tc>
        <w:tc>
          <w:tcPr>
            <w:tcW w:w="2700" w:type="dxa"/>
            <w:vAlign w:val="center"/>
          </w:tcPr>
          <w:p w14:paraId="7538B78A" w14:textId="1A067A97" w:rsidR="00D46D3D" w:rsidRPr="00816B35" w:rsidRDefault="00D46D3D" w:rsidP="00D46D3D">
            <w:pPr>
              <w:tabs>
                <w:tab w:val="left" w:pos="720"/>
              </w:tabs>
              <w:jc w:val="center"/>
              <w:rPr>
                <w:rFonts w:cs="Arial"/>
                <w:color w:val="FF0000"/>
              </w:rPr>
            </w:pPr>
            <w:proofErr w:type="spellStart"/>
            <w:r w:rsidRPr="00816B35">
              <w:rPr>
                <w:rFonts w:cs="Arial"/>
                <w:color w:val="FF0000"/>
              </w:rPr>
              <w:t>xxxx</w:t>
            </w:r>
            <w:proofErr w:type="spellEnd"/>
          </w:p>
        </w:tc>
      </w:tr>
      <w:tr w:rsidR="00D46D3D" w:rsidRPr="00D00442" w14:paraId="673A320A" w14:textId="77777777" w:rsidTr="00E67AC2">
        <w:tc>
          <w:tcPr>
            <w:tcW w:w="1345" w:type="dxa"/>
            <w:vAlign w:val="center"/>
          </w:tcPr>
          <w:p w14:paraId="685695BC" w14:textId="7A179D96" w:rsidR="00D46D3D" w:rsidRDefault="00D46D3D" w:rsidP="00D46D3D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Reviewer</w:t>
            </w:r>
          </w:p>
        </w:tc>
        <w:tc>
          <w:tcPr>
            <w:tcW w:w="5243" w:type="dxa"/>
            <w:vAlign w:val="center"/>
          </w:tcPr>
          <w:p w14:paraId="5CBB4422" w14:textId="3AB0BAB4" w:rsidR="00D46D3D" w:rsidRPr="00EE1E8C" w:rsidRDefault="005A315A" w:rsidP="00D46D3D">
            <w:pPr>
              <w:tabs>
                <w:tab w:val="left" w:pos="720"/>
              </w:tabs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sz w:val="22"/>
              </w:rPr>
              <w:t>Curtis Baffes</w:t>
            </w:r>
          </w:p>
        </w:tc>
        <w:tc>
          <w:tcPr>
            <w:tcW w:w="2700" w:type="dxa"/>
            <w:vAlign w:val="center"/>
          </w:tcPr>
          <w:p w14:paraId="1731A957" w14:textId="169984D0" w:rsidR="00D46D3D" w:rsidRPr="00816B35" w:rsidRDefault="00D46D3D" w:rsidP="00D46D3D">
            <w:pPr>
              <w:tabs>
                <w:tab w:val="left" w:pos="720"/>
              </w:tabs>
              <w:jc w:val="center"/>
              <w:rPr>
                <w:rFonts w:cs="Arial"/>
                <w:color w:val="FF0000"/>
              </w:rPr>
            </w:pPr>
            <w:proofErr w:type="spellStart"/>
            <w:r w:rsidRPr="00816B35">
              <w:rPr>
                <w:rFonts w:cs="Arial"/>
                <w:color w:val="FF0000"/>
              </w:rPr>
              <w:t>xxxx</w:t>
            </w:r>
            <w:proofErr w:type="spellEnd"/>
          </w:p>
        </w:tc>
      </w:tr>
      <w:tr w:rsidR="005A315A" w:rsidRPr="00D00442" w14:paraId="0E1E20A0" w14:textId="77777777" w:rsidTr="00E67AC2">
        <w:tc>
          <w:tcPr>
            <w:tcW w:w="1345" w:type="dxa"/>
            <w:vAlign w:val="center"/>
          </w:tcPr>
          <w:p w14:paraId="6D0C0B48" w14:textId="7C0C2725" w:rsidR="005A315A" w:rsidRDefault="005A315A" w:rsidP="00D46D3D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Reviewer</w:t>
            </w:r>
          </w:p>
        </w:tc>
        <w:tc>
          <w:tcPr>
            <w:tcW w:w="5243" w:type="dxa"/>
            <w:vAlign w:val="center"/>
          </w:tcPr>
          <w:p w14:paraId="0219AC24" w14:textId="3265AE98" w:rsidR="005A315A" w:rsidRDefault="005A315A" w:rsidP="00D46D3D">
            <w:pPr>
              <w:tabs>
                <w:tab w:val="left" w:pos="720"/>
              </w:tabs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sz w:val="22"/>
              </w:rPr>
              <w:t>Denton Morris</w:t>
            </w:r>
          </w:p>
        </w:tc>
        <w:tc>
          <w:tcPr>
            <w:tcW w:w="2700" w:type="dxa"/>
            <w:vAlign w:val="center"/>
          </w:tcPr>
          <w:p w14:paraId="2DED929B" w14:textId="3BCD797C" w:rsidR="005A315A" w:rsidRPr="00816B35" w:rsidRDefault="005A315A" w:rsidP="00D46D3D">
            <w:pPr>
              <w:tabs>
                <w:tab w:val="left" w:pos="720"/>
              </w:tabs>
              <w:jc w:val="center"/>
              <w:rPr>
                <w:rFonts w:cs="Arial"/>
                <w:color w:val="FF0000"/>
              </w:rPr>
            </w:pPr>
            <w:proofErr w:type="spellStart"/>
            <w:r w:rsidRPr="00816B35">
              <w:rPr>
                <w:rFonts w:cs="Arial"/>
                <w:color w:val="FF0000"/>
              </w:rPr>
              <w:t>xxxx</w:t>
            </w:r>
            <w:proofErr w:type="spellEnd"/>
          </w:p>
        </w:tc>
      </w:tr>
      <w:tr w:rsidR="002A11D7" w:rsidRPr="00D00442" w14:paraId="791F8857" w14:textId="77777777" w:rsidTr="00E67AC2">
        <w:tc>
          <w:tcPr>
            <w:tcW w:w="1345" w:type="dxa"/>
            <w:vAlign w:val="center"/>
          </w:tcPr>
          <w:p w14:paraId="06589376" w14:textId="53E3F8CB" w:rsidR="002A11D7" w:rsidRDefault="002A11D7" w:rsidP="00D46D3D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Approver</w:t>
            </w:r>
          </w:p>
        </w:tc>
        <w:tc>
          <w:tcPr>
            <w:tcW w:w="5243" w:type="dxa"/>
            <w:vAlign w:val="center"/>
          </w:tcPr>
          <w:p w14:paraId="0F1DCB25" w14:textId="4C16D07A" w:rsidR="002A11D7" w:rsidRDefault="002A11D7" w:rsidP="00D46D3D">
            <w:pPr>
              <w:tabs>
                <w:tab w:val="left" w:pos="720"/>
              </w:tabs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sz w:val="22"/>
              </w:rPr>
              <w:t>Jerry Leibfritz</w:t>
            </w:r>
          </w:p>
        </w:tc>
        <w:tc>
          <w:tcPr>
            <w:tcW w:w="2700" w:type="dxa"/>
            <w:vAlign w:val="center"/>
          </w:tcPr>
          <w:p w14:paraId="0507038A" w14:textId="78BF23C9" w:rsidR="002A11D7" w:rsidRPr="00816B35" w:rsidRDefault="002A11D7" w:rsidP="00D46D3D">
            <w:pPr>
              <w:tabs>
                <w:tab w:val="left" w:pos="720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As in DocDB</w:t>
            </w:r>
          </w:p>
        </w:tc>
      </w:tr>
      <w:tr w:rsidR="002A11D7" w:rsidRPr="00D00442" w14:paraId="5C99100E" w14:textId="77777777" w:rsidTr="00E67AC2">
        <w:tc>
          <w:tcPr>
            <w:tcW w:w="1345" w:type="dxa"/>
            <w:vAlign w:val="center"/>
          </w:tcPr>
          <w:p w14:paraId="1DFD358C" w14:textId="2CB380A5" w:rsidR="002A11D7" w:rsidRDefault="002A11D7" w:rsidP="00D46D3D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Approver</w:t>
            </w:r>
          </w:p>
        </w:tc>
        <w:tc>
          <w:tcPr>
            <w:tcW w:w="5243" w:type="dxa"/>
            <w:vAlign w:val="center"/>
          </w:tcPr>
          <w:p w14:paraId="15FC0FC8" w14:textId="4426CABD" w:rsidR="002A11D7" w:rsidRDefault="002A11D7" w:rsidP="00D46D3D">
            <w:pPr>
              <w:tabs>
                <w:tab w:val="left" w:pos="720"/>
              </w:tabs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sz w:val="22"/>
              </w:rPr>
              <w:t>Jemila Adetunji</w:t>
            </w:r>
          </w:p>
        </w:tc>
        <w:tc>
          <w:tcPr>
            <w:tcW w:w="2700" w:type="dxa"/>
            <w:vAlign w:val="center"/>
          </w:tcPr>
          <w:p w14:paraId="01F62FEC" w14:textId="26C890EA" w:rsidR="002A11D7" w:rsidRPr="00816B35" w:rsidRDefault="002A11D7" w:rsidP="00D46D3D">
            <w:pPr>
              <w:tabs>
                <w:tab w:val="left" w:pos="720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As in DocDB</w:t>
            </w:r>
          </w:p>
        </w:tc>
      </w:tr>
      <w:tr w:rsidR="002A11D7" w:rsidRPr="00D00442" w14:paraId="6F772F2A" w14:textId="77777777" w:rsidTr="00E67AC2">
        <w:tc>
          <w:tcPr>
            <w:tcW w:w="1345" w:type="dxa"/>
            <w:vAlign w:val="center"/>
          </w:tcPr>
          <w:p w14:paraId="501E26D4" w14:textId="29981745" w:rsidR="002A11D7" w:rsidRDefault="002A11D7" w:rsidP="00D46D3D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Approver</w:t>
            </w:r>
          </w:p>
        </w:tc>
        <w:tc>
          <w:tcPr>
            <w:tcW w:w="5243" w:type="dxa"/>
            <w:vAlign w:val="center"/>
          </w:tcPr>
          <w:p w14:paraId="2FC46D4E" w14:textId="12EC375D" w:rsidR="002A11D7" w:rsidRDefault="002A11D7" w:rsidP="00D46D3D">
            <w:pPr>
              <w:tabs>
                <w:tab w:val="left" w:pos="720"/>
              </w:tabs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sz w:val="22"/>
              </w:rPr>
              <w:t>Arkadiy Klebaner</w:t>
            </w:r>
          </w:p>
        </w:tc>
        <w:tc>
          <w:tcPr>
            <w:tcW w:w="2700" w:type="dxa"/>
            <w:vAlign w:val="center"/>
          </w:tcPr>
          <w:p w14:paraId="1DA21E75" w14:textId="776C1B86" w:rsidR="002A11D7" w:rsidRPr="00816B35" w:rsidRDefault="002A11D7" w:rsidP="00D46D3D">
            <w:pPr>
              <w:tabs>
                <w:tab w:val="left" w:pos="720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As in DocDB</w:t>
            </w:r>
          </w:p>
        </w:tc>
      </w:tr>
      <w:tr w:rsidR="002A11D7" w:rsidRPr="00D00442" w14:paraId="1E45D447" w14:textId="77777777" w:rsidTr="00E67AC2">
        <w:tc>
          <w:tcPr>
            <w:tcW w:w="1345" w:type="dxa"/>
            <w:vAlign w:val="center"/>
          </w:tcPr>
          <w:p w14:paraId="3F43EE57" w14:textId="390686CE" w:rsidR="002A11D7" w:rsidRDefault="002A11D7" w:rsidP="00D46D3D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Approver</w:t>
            </w:r>
          </w:p>
        </w:tc>
        <w:tc>
          <w:tcPr>
            <w:tcW w:w="5243" w:type="dxa"/>
            <w:vAlign w:val="center"/>
          </w:tcPr>
          <w:p w14:paraId="2C1B5E51" w14:textId="64E129A4" w:rsidR="002A11D7" w:rsidRDefault="002A11D7" w:rsidP="00D46D3D">
            <w:pPr>
              <w:tabs>
                <w:tab w:val="left" w:pos="720"/>
              </w:tabs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sz w:val="22"/>
              </w:rPr>
              <w:t>Lidija Kokoska</w:t>
            </w:r>
          </w:p>
        </w:tc>
        <w:tc>
          <w:tcPr>
            <w:tcW w:w="2700" w:type="dxa"/>
            <w:vAlign w:val="center"/>
          </w:tcPr>
          <w:p w14:paraId="30FE13AE" w14:textId="0968DE91" w:rsidR="002A11D7" w:rsidRPr="00816B35" w:rsidRDefault="002A11D7" w:rsidP="00D46D3D">
            <w:pPr>
              <w:tabs>
                <w:tab w:val="left" w:pos="720"/>
              </w:tabs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As in DocDB</w:t>
            </w:r>
          </w:p>
        </w:tc>
      </w:tr>
    </w:tbl>
    <w:p w14:paraId="1D49018E" w14:textId="01688BD9" w:rsidR="00816B35" w:rsidRDefault="00816B35" w:rsidP="00AA1727">
      <w:pPr>
        <w:pStyle w:val="Notessubhead"/>
      </w:pPr>
    </w:p>
    <w:tbl>
      <w:tblPr>
        <w:tblW w:w="0" w:type="auto"/>
        <w:tblBorders>
          <w:top w:val="single" w:sz="4" w:space="0" w:color="004C97"/>
          <w:left w:val="single" w:sz="4" w:space="0" w:color="004C97"/>
          <w:bottom w:val="single" w:sz="4" w:space="0" w:color="004C97"/>
          <w:right w:val="single" w:sz="4" w:space="0" w:color="004C97"/>
          <w:insideH w:val="single" w:sz="4" w:space="0" w:color="004C97"/>
          <w:insideV w:val="single" w:sz="4" w:space="0" w:color="004C97"/>
        </w:tblBorders>
        <w:tblLook w:val="01E0" w:firstRow="1" w:lastRow="1" w:firstColumn="1" w:lastColumn="1" w:noHBand="0" w:noVBand="0"/>
      </w:tblPr>
      <w:tblGrid>
        <w:gridCol w:w="2076"/>
        <w:gridCol w:w="1522"/>
        <w:gridCol w:w="1674"/>
        <w:gridCol w:w="4078"/>
      </w:tblGrid>
      <w:tr w:rsidR="00816B35" w:rsidRPr="00D00442" w14:paraId="0EEDED5F" w14:textId="77777777" w:rsidTr="00E67AC2">
        <w:tc>
          <w:tcPr>
            <w:tcW w:w="9576" w:type="dxa"/>
            <w:gridSpan w:val="4"/>
            <w:shd w:val="clear" w:color="auto" w:fill="C6D9F1" w:themeFill="text2" w:themeFillTint="33"/>
          </w:tcPr>
          <w:p w14:paraId="2E9E6DFA" w14:textId="19C04E53" w:rsidR="00816B35" w:rsidRPr="00080849" w:rsidRDefault="00816B35" w:rsidP="00E67AC2">
            <w:pPr>
              <w:tabs>
                <w:tab w:val="left" w:pos="720"/>
              </w:tabs>
            </w:pPr>
            <w:r w:rsidRPr="00080849">
              <w:rPr>
                <w:rFonts w:cs="Arial"/>
                <w:b/>
                <w:color w:val="004C97"/>
              </w:rPr>
              <w:t>Revision History</w:t>
            </w:r>
          </w:p>
        </w:tc>
      </w:tr>
      <w:tr w:rsidR="00816B35" w:rsidRPr="00D00442" w14:paraId="334E255F" w14:textId="77777777" w:rsidTr="00816B35">
        <w:tc>
          <w:tcPr>
            <w:tcW w:w="2125" w:type="dxa"/>
            <w:vAlign w:val="center"/>
          </w:tcPr>
          <w:p w14:paraId="58B813AA" w14:textId="77777777" w:rsidR="00816B35" w:rsidRPr="002E08AF" w:rsidRDefault="00816B35" w:rsidP="00E67AC2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 w:rsidRPr="002E08AF">
              <w:rPr>
                <w:rFonts w:cs="Arial"/>
                <w:b/>
                <w:color w:val="004C97"/>
              </w:rPr>
              <w:t>Author</w:t>
            </w:r>
          </w:p>
        </w:tc>
        <w:tc>
          <w:tcPr>
            <w:tcW w:w="1549" w:type="dxa"/>
          </w:tcPr>
          <w:p w14:paraId="051E2B97" w14:textId="3692319D" w:rsidR="00816B35" w:rsidRPr="002E08AF" w:rsidRDefault="00816B35" w:rsidP="00816B35">
            <w:pPr>
              <w:tabs>
                <w:tab w:val="left" w:pos="720"/>
              </w:tabs>
              <w:jc w:val="center"/>
              <w:rPr>
                <w:rFonts w:cs="Arial"/>
                <w:b/>
                <w:color w:val="004C97"/>
              </w:rPr>
            </w:pPr>
            <w:r>
              <w:rPr>
                <w:rFonts w:cs="Arial"/>
                <w:b/>
                <w:color w:val="004C97"/>
              </w:rPr>
              <w:t>Version</w:t>
            </w:r>
          </w:p>
        </w:tc>
        <w:tc>
          <w:tcPr>
            <w:tcW w:w="1697" w:type="dxa"/>
            <w:vAlign w:val="center"/>
          </w:tcPr>
          <w:p w14:paraId="28D74128" w14:textId="21861FDD" w:rsidR="00816B35" w:rsidRPr="002E08AF" w:rsidRDefault="00816B35" w:rsidP="00E67AC2">
            <w:pPr>
              <w:tabs>
                <w:tab w:val="left" w:pos="720"/>
              </w:tabs>
              <w:rPr>
                <w:rFonts w:cs="Arial"/>
                <w:b/>
                <w:color w:val="004C97"/>
              </w:rPr>
            </w:pPr>
            <w:r w:rsidRPr="002E08AF">
              <w:rPr>
                <w:rFonts w:cs="Arial"/>
                <w:b/>
                <w:color w:val="004C97"/>
              </w:rPr>
              <w:t>Revision Date</w:t>
            </w:r>
            <w:r>
              <w:rPr>
                <w:rFonts w:cs="Arial"/>
                <w:b/>
                <w:color w:val="004C97"/>
              </w:rPr>
              <w:t xml:space="preserve"> </w:t>
            </w:r>
          </w:p>
        </w:tc>
        <w:tc>
          <w:tcPr>
            <w:tcW w:w="4205" w:type="dxa"/>
          </w:tcPr>
          <w:p w14:paraId="64EB55F9" w14:textId="77777777" w:rsidR="00816B35" w:rsidRPr="002E08AF" w:rsidRDefault="00816B35" w:rsidP="00E67AC2">
            <w:pPr>
              <w:tabs>
                <w:tab w:val="left" w:pos="720"/>
              </w:tabs>
              <w:rPr>
                <w:rFonts w:cs="Arial"/>
                <w:b/>
                <w:color w:val="004C97"/>
              </w:rPr>
            </w:pPr>
            <w:r w:rsidRPr="007965A4">
              <w:rPr>
                <w:rFonts w:cs="Arial"/>
                <w:b/>
                <w:color w:val="004C97"/>
              </w:rPr>
              <w:t>Description of Change</w:t>
            </w:r>
          </w:p>
        </w:tc>
      </w:tr>
      <w:tr w:rsidR="00816B35" w:rsidRPr="00D00442" w14:paraId="1BBBE028" w14:textId="77777777" w:rsidTr="00816B35">
        <w:tc>
          <w:tcPr>
            <w:tcW w:w="2125" w:type="dxa"/>
            <w:vAlign w:val="center"/>
          </w:tcPr>
          <w:p w14:paraId="57FC8746" w14:textId="2675AEE9" w:rsidR="00816B35" w:rsidRPr="001955A2" w:rsidRDefault="00114B67" w:rsidP="00E67AC2">
            <w:pPr>
              <w:tabs>
                <w:tab w:val="left" w:pos="720"/>
              </w:tabs>
              <w:jc w:val="center"/>
              <w:rPr>
                <w:rFonts w:cs="Arial"/>
                <w:color w:val="365F91" w:themeColor="accent1" w:themeShade="BF"/>
                <w:szCs w:val="22"/>
              </w:rPr>
            </w:pPr>
            <w:r w:rsidRPr="001955A2">
              <w:rPr>
                <w:rFonts w:cs="Arial"/>
                <w:color w:val="365F91" w:themeColor="accent1" w:themeShade="BF"/>
                <w:szCs w:val="22"/>
              </w:rPr>
              <w:t>Jonathan Hunt</w:t>
            </w:r>
          </w:p>
        </w:tc>
        <w:tc>
          <w:tcPr>
            <w:tcW w:w="1549" w:type="dxa"/>
          </w:tcPr>
          <w:p w14:paraId="1513A2C6" w14:textId="5778E303" w:rsidR="00816B35" w:rsidRDefault="0078612F" w:rsidP="00816B35">
            <w:pPr>
              <w:tabs>
                <w:tab w:val="left" w:pos="720"/>
              </w:tabs>
              <w:jc w:val="center"/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1.0</w:t>
            </w:r>
          </w:p>
        </w:tc>
        <w:tc>
          <w:tcPr>
            <w:tcW w:w="1697" w:type="dxa"/>
            <w:vAlign w:val="center"/>
          </w:tcPr>
          <w:p w14:paraId="0DDE7980" w14:textId="22456DF3" w:rsidR="00816B35" w:rsidRPr="00554261" w:rsidRDefault="001955A2" w:rsidP="00E67AC2">
            <w:pPr>
              <w:tabs>
                <w:tab w:val="left" w:pos="720"/>
              </w:tabs>
              <w:jc w:val="center"/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7/21</w:t>
            </w:r>
            <w:r w:rsidR="0078612F">
              <w:rPr>
                <w:rFonts w:cs="Arial"/>
                <w:color w:val="004C97"/>
              </w:rPr>
              <w:t>/</w:t>
            </w:r>
            <w:r w:rsidR="00114B67">
              <w:rPr>
                <w:rFonts w:cs="Arial"/>
                <w:color w:val="004C97"/>
              </w:rPr>
              <w:t>2020</w:t>
            </w:r>
          </w:p>
        </w:tc>
        <w:tc>
          <w:tcPr>
            <w:tcW w:w="4205" w:type="dxa"/>
            <w:vAlign w:val="center"/>
          </w:tcPr>
          <w:p w14:paraId="2AE7DAA6" w14:textId="58A6B996" w:rsidR="00816B35" w:rsidRPr="00554261" w:rsidRDefault="0078612F" w:rsidP="00E67AC2">
            <w:pPr>
              <w:tabs>
                <w:tab w:val="left" w:pos="720"/>
              </w:tabs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New Document</w:t>
            </w:r>
          </w:p>
        </w:tc>
      </w:tr>
      <w:tr w:rsidR="00B409FB" w:rsidRPr="00D00442" w14:paraId="2CED2E3A" w14:textId="77777777" w:rsidTr="00816B35">
        <w:tc>
          <w:tcPr>
            <w:tcW w:w="2125" w:type="dxa"/>
            <w:vAlign w:val="center"/>
          </w:tcPr>
          <w:p w14:paraId="375ED579" w14:textId="429BAF6E" w:rsidR="00B409FB" w:rsidRPr="001955A2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color w:val="365F91" w:themeColor="accent1" w:themeShade="BF"/>
                <w:szCs w:val="22"/>
              </w:rPr>
            </w:pPr>
            <w:r>
              <w:rPr>
                <w:rFonts w:cs="Arial"/>
                <w:color w:val="365F91" w:themeColor="accent1" w:themeShade="BF"/>
                <w:szCs w:val="22"/>
              </w:rPr>
              <w:t>Jonathan Hunt</w:t>
            </w:r>
          </w:p>
        </w:tc>
        <w:tc>
          <w:tcPr>
            <w:tcW w:w="1549" w:type="dxa"/>
          </w:tcPr>
          <w:p w14:paraId="4C306287" w14:textId="76612216" w:rsidR="00B409FB" w:rsidRDefault="00B409FB" w:rsidP="00816B35">
            <w:pPr>
              <w:tabs>
                <w:tab w:val="left" w:pos="720"/>
              </w:tabs>
              <w:jc w:val="center"/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1.1</w:t>
            </w:r>
          </w:p>
        </w:tc>
        <w:tc>
          <w:tcPr>
            <w:tcW w:w="1697" w:type="dxa"/>
            <w:vAlign w:val="center"/>
          </w:tcPr>
          <w:p w14:paraId="7740B5D9" w14:textId="2C94CAB7" w:rsidR="00B409FB" w:rsidRDefault="00B409FB" w:rsidP="00E67AC2">
            <w:pPr>
              <w:tabs>
                <w:tab w:val="left" w:pos="720"/>
              </w:tabs>
              <w:jc w:val="center"/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7/30/2020</w:t>
            </w:r>
          </w:p>
        </w:tc>
        <w:tc>
          <w:tcPr>
            <w:tcW w:w="4205" w:type="dxa"/>
            <w:vAlign w:val="center"/>
          </w:tcPr>
          <w:p w14:paraId="088D39C0" w14:textId="01C493FC" w:rsidR="00B409FB" w:rsidRDefault="00B409FB" w:rsidP="00E67AC2">
            <w:pPr>
              <w:tabs>
                <w:tab w:val="left" w:pos="720"/>
              </w:tabs>
              <w:rPr>
                <w:rFonts w:cs="Arial"/>
                <w:color w:val="004C97"/>
              </w:rPr>
            </w:pPr>
            <w:r>
              <w:rPr>
                <w:rFonts w:cs="Arial"/>
                <w:color w:val="004C97"/>
              </w:rPr>
              <w:t>Finalized for Reviewer Comments</w:t>
            </w:r>
          </w:p>
        </w:tc>
      </w:tr>
    </w:tbl>
    <w:p w14:paraId="22C9B12A" w14:textId="77777777" w:rsidR="00816B35" w:rsidRDefault="00816B35" w:rsidP="00AA1727">
      <w:pPr>
        <w:pStyle w:val="Notessubhead"/>
      </w:pPr>
    </w:p>
    <w:p w14:paraId="24E3648D" w14:textId="77777777" w:rsidR="00816B35" w:rsidRDefault="00816B35" w:rsidP="00AA1727">
      <w:pPr>
        <w:pStyle w:val="Notessubhead"/>
      </w:pPr>
    </w:p>
    <w:p w14:paraId="70162363" w14:textId="77777777" w:rsidR="00816B35" w:rsidRDefault="00816B35" w:rsidP="00AA1727">
      <w:pPr>
        <w:pStyle w:val="Notessubhead"/>
      </w:pPr>
    </w:p>
    <w:p w14:paraId="475D7F10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0260BBEA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5F3771DC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47EF0ED5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0748DFEB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00141986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5F55AB4F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4DEF1975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548340C7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52DA49D4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4966B478" w14:textId="2D31547A" w:rsidR="00F8095E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5882985F" w14:textId="251C5C5D" w:rsidR="00392FC1" w:rsidRDefault="00392FC1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4C102C2F" w14:textId="237BDD18" w:rsidR="00392FC1" w:rsidRDefault="00392FC1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61DDA946" w14:textId="0FB3CE2E" w:rsidR="00392FC1" w:rsidRDefault="00392FC1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7FF975D3" w14:textId="77777777" w:rsidR="00392FC1" w:rsidRPr="000574E4" w:rsidRDefault="00392FC1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p w14:paraId="47488216" w14:textId="77777777" w:rsidR="00F8095E" w:rsidRPr="000574E4" w:rsidRDefault="00F8095E" w:rsidP="00821A60">
      <w:pPr>
        <w:pStyle w:val="NotesBody11pt"/>
        <w:spacing w:line="240" w:lineRule="auto"/>
        <w:rPr>
          <w:rFonts w:ascii="Palatino Linotype" w:hAnsi="Palatino Linotype"/>
          <w:b/>
        </w:rPr>
      </w:pPr>
    </w:p>
    <w:sdt>
      <w:sdtPr>
        <w:rPr>
          <w:rFonts w:ascii="Palatino Linotype" w:eastAsia="MS Mincho" w:hAnsi="Palatino Linotype" w:cs="Times New Roman"/>
          <w:color w:val="auto"/>
          <w:sz w:val="20"/>
          <w:szCs w:val="24"/>
        </w:rPr>
        <w:id w:val="8115223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B8819D" w14:textId="60D327EA" w:rsidR="00F8095E" w:rsidRPr="000574E4" w:rsidRDefault="008047B7">
          <w:pPr>
            <w:pStyle w:val="TOCHeading"/>
            <w:rPr>
              <w:rFonts w:ascii="Palatino Linotype" w:hAnsi="Palatino Linotype"/>
            </w:rPr>
          </w:pPr>
          <w:r w:rsidRPr="000574E4">
            <w:rPr>
              <w:rFonts w:ascii="Palatino Linotype" w:hAnsi="Palatino Linotype"/>
            </w:rPr>
            <w:t xml:space="preserve">Table of </w:t>
          </w:r>
          <w:r w:rsidR="00F8095E" w:rsidRPr="000574E4">
            <w:rPr>
              <w:rFonts w:ascii="Palatino Linotype" w:hAnsi="Palatino Linotype"/>
            </w:rPr>
            <w:t>Contents</w:t>
          </w:r>
        </w:p>
        <w:p w14:paraId="247043D0" w14:textId="66CDD1A3" w:rsidR="00111377" w:rsidRDefault="00F8095E" w:rsidP="008444F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574E4">
            <w:rPr>
              <w:rFonts w:ascii="Palatino Linotype" w:hAnsi="Palatino Linotype"/>
            </w:rPr>
            <w:fldChar w:fldCharType="begin"/>
          </w:r>
          <w:r w:rsidRPr="000574E4">
            <w:rPr>
              <w:rFonts w:ascii="Palatino Linotype" w:hAnsi="Palatino Linotype"/>
            </w:rPr>
            <w:instrText xml:space="preserve"> TOC \o "1-3" \h \z \u </w:instrText>
          </w:r>
          <w:r w:rsidRPr="000574E4">
            <w:rPr>
              <w:rFonts w:ascii="Palatino Linotype" w:hAnsi="Palatino Linotype"/>
            </w:rPr>
            <w:fldChar w:fldCharType="separate"/>
          </w:r>
          <w:hyperlink w:anchor="_Toc39576987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1.0</w:t>
            </w:r>
            <w:r w:rsidR="001113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Scope of Quality Control (QC) Plan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_Toc39576987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3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01E6396A" w14:textId="102F8BD6" w:rsidR="00111377" w:rsidRDefault="00A232BE" w:rsidP="008444F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88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2.0</w:t>
            </w:r>
            <w:r w:rsidR="001113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Acceptance Tests and Criteria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_Toc39576988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3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783554FC" w14:textId="7837CD8F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89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3.0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Requirements Traceability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_Toc39576989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4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310A35F5" w14:textId="0FD5D279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0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4.0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Travelers, Procedures, and Checklists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_Toc39576990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4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6FC4C840" w14:textId="18F8389D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1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6.0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In-process monitoring and measurement activities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_Toc39576991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6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6B432DB1" w14:textId="05A08B8C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2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7.0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Verification Plans: Methods &amp; Activities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_Toc39576992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6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0B3CD59E" w14:textId="7B162949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3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8.0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Deliverable Documentation and Records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_Toc39576993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6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37DBBAAF" w14:textId="1C3AD4E6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4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9.0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Associated Equipment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_Toc39576994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6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03958C77" w14:textId="18064D4E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5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10.0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Calibrations Plans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_Toc39576995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6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1B3A703F" w14:textId="44D06355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6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11.0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Traceability Requirements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_Toc39576996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6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2BF0F183" w14:textId="097F7DFD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7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12.0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Training and Qualification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_Toc39576997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7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556DF326" w14:textId="7B10F8AC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8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13.0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Planned Vendor Communication &amp; Visits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_Toc39576998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7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7615DA5C" w14:textId="5520CD4D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6999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14.0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Control of Nonconformances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_Toc39576999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7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3F66E84B" w14:textId="6670F5B0" w:rsidR="00111377" w:rsidRDefault="00A232B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77000" w:history="1"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 xml:space="preserve">15.0 </w:t>
            </w:r>
            <w:r w:rsidR="005A315A">
              <w:rPr>
                <w:rStyle w:val="Hyperlink"/>
                <w:rFonts w:ascii="Palatino Linotype" w:hAnsi="Palatino Linotype" w:cs="Helvetica"/>
                <w:noProof/>
              </w:rPr>
              <w:tab/>
            </w:r>
            <w:r w:rsidR="00111377" w:rsidRPr="00027616">
              <w:rPr>
                <w:rStyle w:val="Hyperlink"/>
                <w:rFonts w:ascii="Palatino Linotype" w:hAnsi="Palatino Linotype" w:cs="Helvetica"/>
                <w:noProof/>
              </w:rPr>
              <w:t>Transportation/Shipping</w:t>
            </w:r>
            <w:r w:rsidR="00111377">
              <w:rPr>
                <w:noProof/>
                <w:webHidden/>
              </w:rPr>
              <w:tab/>
            </w:r>
            <w:r w:rsidR="00111377">
              <w:rPr>
                <w:noProof/>
                <w:webHidden/>
              </w:rPr>
              <w:fldChar w:fldCharType="begin"/>
            </w:r>
            <w:r w:rsidR="00111377">
              <w:rPr>
                <w:noProof/>
                <w:webHidden/>
              </w:rPr>
              <w:instrText xml:space="preserve"> PAGEREF _Toc39577000 \h </w:instrText>
            </w:r>
            <w:r w:rsidR="00111377">
              <w:rPr>
                <w:noProof/>
                <w:webHidden/>
              </w:rPr>
            </w:r>
            <w:r w:rsidR="00111377">
              <w:rPr>
                <w:noProof/>
                <w:webHidden/>
              </w:rPr>
              <w:fldChar w:fldCharType="separate"/>
            </w:r>
            <w:r w:rsidR="00111377">
              <w:rPr>
                <w:noProof/>
                <w:webHidden/>
              </w:rPr>
              <w:t>7</w:t>
            </w:r>
            <w:r w:rsidR="00111377">
              <w:rPr>
                <w:noProof/>
                <w:webHidden/>
              </w:rPr>
              <w:fldChar w:fldCharType="end"/>
            </w:r>
          </w:hyperlink>
        </w:p>
        <w:p w14:paraId="15514EA9" w14:textId="685F8DC8" w:rsidR="00F8095E" w:rsidRPr="000574E4" w:rsidRDefault="00F8095E">
          <w:pPr>
            <w:rPr>
              <w:rFonts w:ascii="Palatino Linotype" w:hAnsi="Palatino Linotype"/>
            </w:rPr>
          </w:pPr>
          <w:r w:rsidRPr="000574E4">
            <w:rPr>
              <w:rFonts w:ascii="Palatino Linotype" w:hAnsi="Palatino Linotype"/>
              <w:b/>
              <w:bCs/>
              <w:noProof/>
            </w:rPr>
            <w:fldChar w:fldCharType="end"/>
          </w:r>
        </w:p>
      </w:sdtContent>
    </w:sdt>
    <w:p w14:paraId="0D7A7A60" w14:textId="51360442" w:rsidR="00845ABE" w:rsidRPr="000574E4" w:rsidRDefault="008C0CC6" w:rsidP="00845ABE">
      <w:pPr>
        <w:pStyle w:val="Heading1"/>
        <w:numPr>
          <w:ilvl w:val="0"/>
          <w:numId w:val="2"/>
        </w:numPr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0" w:name="_Toc39576987"/>
      <w:r>
        <w:rPr>
          <w:rFonts w:ascii="Palatino Linotype" w:hAnsi="Palatino Linotype" w:cs="Helvetica"/>
          <w:sz w:val="24"/>
        </w:rPr>
        <w:t>Scope of Quality Control (QC) Plan</w:t>
      </w:r>
      <w:bookmarkEnd w:id="0"/>
    </w:p>
    <w:p w14:paraId="6A4D6916" w14:textId="0CBD83D9" w:rsidR="00114B67" w:rsidRDefault="001B66B2" w:rsidP="000574E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 </w:t>
      </w:r>
      <w:r w:rsidR="00114B67">
        <w:rPr>
          <w:rFonts w:ascii="Palatino Linotype" w:hAnsi="Palatino Linotype"/>
          <w:sz w:val="22"/>
        </w:rPr>
        <w:t>The procurement of the mechanical and electrical materials needed to connect the mains to the point of use resides under WBS #</w:t>
      </w:r>
      <w:r w:rsidR="00033035">
        <w:rPr>
          <w:rFonts w:ascii="Palatino Linotype" w:hAnsi="Palatino Linotype"/>
          <w:sz w:val="22"/>
        </w:rPr>
        <w:t>121.04.</w:t>
      </w:r>
      <w:r w:rsidR="00114B67">
        <w:rPr>
          <w:rFonts w:ascii="Palatino Linotype" w:hAnsi="Palatino Linotype"/>
          <w:sz w:val="22"/>
        </w:rPr>
        <w:t xml:space="preserve">04 (Building Infrastructure).  This Quality Control plan covers the specific QC checks required for these materials, where the results are recorded/stored, and the surrounding processes that ensure the delivery of these materials </w:t>
      </w:r>
      <w:r w:rsidR="00033035">
        <w:rPr>
          <w:rFonts w:ascii="Palatino Linotype" w:hAnsi="Palatino Linotype"/>
          <w:sz w:val="22"/>
        </w:rPr>
        <w:t xml:space="preserve">to the PIP-II Project for installation. </w:t>
      </w:r>
    </w:p>
    <w:p w14:paraId="47B896B0" w14:textId="0F79C3FE" w:rsidR="00224C1B" w:rsidRDefault="00224C1B" w:rsidP="000574E4">
      <w:pPr>
        <w:rPr>
          <w:rFonts w:ascii="Palatino Linotype" w:hAnsi="Palatino Linotype"/>
          <w:sz w:val="22"/>
        </w:rPr>
      </w:pPr>
    </w:p>
    <w:p w14:paraId="7BF4634D" w14:textId="325C519E" w:rsidR="00F8095E" w:rsidRPr="000574E4" w:rsidRDefault="0056051B" w:rsidP="00033035">
      <w:pPr>
        <w:pStyle w:val="Heading1"/>
        <w:numPr>
          <w:ilvl w:val="0"/>
          <w:numId w:val="2"/>
        </w:numPr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1" w:name="_Toc39576988"/>
      <w:r>
        <w:rPr>
          <w:rFonts w:ascii="Palatino Linotype" w:hAnsi="Palatino Linotype" w:cs="Helvetica"/>
          <w:sz w:val="24"/>
        </w:rPr>
        <w:lastRenderedPageBreak/>
        <w:t>Acceptance Tests and Criteria</w:t>
      </w:r>
      <w:bookmarkEnd w:id="1"/>
    </w:p>
    <w:p w14:paraId="72F8DC28" w14:textId="71D716FE" w:rsidR="00BC29F1" w:rsidRDefault="00D069C2" w:rsidP="00776ADE">
      <w:pPr>
        <w:spacing w:line="24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As materials are received, project staff will perform visual inspections of each item</w:t>
      </w:r>
      <w:r w:rsidR="00BC29F1">
        <w:rPr>
          <w:rFonts w:ascii="Palatino Linotype" w:hAnsi="Palatino Linotype"/>
          <w:sz w:val="22"/>
        </w:rPr>
        <w:t xml:space="preserve"> to ensure they meet the required specifications set forth by the Project</w:t>
      </w:r>
      <w:r>
        <w:rPr>
          <w:rFonts w:ascii="Palatino Linotype" w:hAnsi="Palatino Linotype"/>
          <w:sz w:val="22"/>
        </w:rPr>
        <w:t xml:space="preserve">.  </w:t>
      </w:r>
      <w:r w:rsidR="00BC29F1">
        <w:rPr>
          <w:rFonts w:ascii="Palatino Linotype" w:hAnsi="Palatino Linotype"/>
          <w:sz w:val="22"/>
        </w:rPr>
        <w:t xml:space="preserve">The tests will be performed at </w:t>
      </w:r>
      <w:r w:rsidR="004E76EB">
        <w:rPr>
          <w:rFonts w:ascii="Palatino Linotype" w:hAnsi="Palatino Linotype"/>
          <w:sz w:val="22"/>
        </w:rPr>
        <w:t xml:space="preserve">the </w:t>
      </w:r>
      <w:r w:rsidR="004E76EB" w:rsidRPr="00137212">
        <w:rPr>
          <w:rFonts w:ascii="Palatino Linotype" w:hAnsi="Palatino Linotype"/>
          <w:sz w:val="22"/>
        </w:rPr>
        <w:t xml:space="preserve">Fermilab receiving </w:t>
      </w:r>
      <w:r w:rsidR="007B5CC5">
        <w:rPr>
          <w:rFonts w:ascii="Palatino Linotype" w:hAnsi="Palatino Linotype"/>
          <w:sz w:val="22"/>
        </w:rPr>
        <w:t>location</w:t>
      </w:r>
      <w:r w:rsidR="004E76EB" w:rsidRPr="00137212">
        <w:rPr>
          <w:rFonts w:ascii="Palatino Linotype" w:hAnsi="Palatino Linotype"/>
          <w:sz w:val="22"/>
        </w:rPr>
        <w:t>.</w:t>
      </w:r>
      <w:r w:rsidR="004E76EB">
        <w:rPr>
          <w:rFonts w:ascii="Palatino Linotype" w:hAnsi="Palatino Linotype"/>
          <w:sz w:val="22"/>
        </w:rPr>
        <w:t xml:space="preserve">  </w:t>
      </w:r>
    </w:p>
    <w:p w14:paraId="648E9752" w14:textId="77777777" w:rsidR="00BC29F1" w:rsidRDefault="00BC29F1" w:rsidP="00776ADE">
      <w:pPr>
        <w:spacing w:line="240" w:lineRule="auto"/>
        <w:rPr>
          <w:rFonts w:ascii="Palatino Linotype" w:hAnsi="Palatino Linotype"/>
          <w:sz w:val="22"/>
        </w:rPr>
      </w:pPr>
    </w:p>
    <w:p w14:paraId="5B45D36A" w14:textId="4FB1CA06" w:rsidR="004E76EB" w:rsidRDefault="00C77020" w:rsidP="00B653D6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</w:t>
      </w:r>
      <w:r w:rsidR="004E76EB">
        <w:rPr>
          <w:rFonts w:ascii="Palatino Linotype" w:hAnsi="Palatino Linotype"/>
          <w:sz w:val="22"/>
        </w:rPr>
        <w:t>nspections of electrical components will entail the following:</w:t>
      </w:r>
    </w:p>
    <w:p w14:paraId="30C877B1" w14:textId="2986DD5F" w:rsidR="004E76EB" w:rsidRDefault="004E76EB" w:rsidP="004E76EB">
      <w:pPr>
        <w:pStyle w:val="ListParagraph"/>
        <w:numPr>
          <w:ilvl w:val="0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Cables</w:t>
      </w:r>
      <w:r w:rsidR="00C77020">
        <w:rPr>
          <w:rFonts w:ascii="Palatino Linotype" w:hAnsi="Palatino Linotype"/>
          <w:sz w:val="22"/>
        </w:rPr>
        <w:t xml:space="preserve"> </w:t>
      </w:r>
    </w:p>
    <w:p w14:paraId="747A4CAD" w14:textId="77777777" w:rsidR="004E76EB" w:rsidRPr="004E76EB" w:rsidRDefault="004E76EB" w:rsidP="004E76EB">
      <w:pPr>
        <w:pStyle w:val="ListParagraph"/>
        <w:numPr>
          <w:ilvl w:val="1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Inspect delivery papers and cross check with the purchase order.</w:t>
      </w:r>
    </w:p>
    <w:p w14:paraId="060A1361" w14:textId="74208E14" w:rsidR="004E76EB" w:rsidRDefault="004E76EB" w:rsidP="004E76EB">
      <w:pPr>
        <w:pStyle w:val="ListParagraph"/>
        <w:numPr>
          <w:ilvl w:val="1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Remove outer protective wrapping, check for punctures, scrapes, cuts,</w:t>
      </w:r>
      <w:r w:rsidR="00C77020">
        <w:rPr>
          <w:rFonts w:ascii="Palatino Linotype" w:hAnsi="Palatino Linotype"/>
          <w:sz w:val="22"/>
        </w:rPr>
        <w:t xml:space="preserve"> and any</w:t>
      </w:r>
      <w:r>
        <w:rPr>
          <w:rFonts w:ascii="Palatino Linotype" w:hAnsi="Palatino Linotype"/>
          <w:sz w:val="22"/>
        </w:rPr>
        <w:t xml:space="preserve"> indications that it is not continuous</w:t>
      </w:r>
    </w:p>
    <w:p w14:paraId="01385539" w14:textId="29DC6AC1" w:rsidR="004E76EB" w:rsidRDefault="004E76EB" w:rsidP="004E76EB">
      <w:pPr>
        <w:pStyle w:val="ListParagraph"/>
        <w:numPr>
          <w:ilvl w:val="1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After the visual inspection, inspector to use a length meter and perform a continuity/length check</w:t>
      </w:r>
    </w:p>
    <w:p w14:paraId="07F849D5" w14:textId="2CD7DF98" w:rsidR="00C77020" w:rsidRDefault="00467534" w:rsidP="004E76EB">
      <w:pPr>
        <w:pStyle w:val="ListParagraph"/>
        <w:numPr>
          <w:ilvl w:val="1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The cable coordinator</w:t>
      </w:r>
      <w:r w:rsidR="00C77020">
        <w:rPr>
          <w:rFonts w:ascii="Palatino Linotype" w:hAnsi="Palatino Linotype"/>
          <w:sz w:val="22"/>
        </w:rPr>
        <w:t xml:space="preserve"> will be</w:t>
      </w:r>
      <w:r>
        <w:rPr>
          <w:rFonts w:ascii="Palatino Linotype" w:hAnsi="Palatino Linotype"/>
          <w:sz w:val="22"/>
        </w:rPr>
        <w:t xml:space="preserve"> the cable</w:t>
      </w:r>
      <w:r w:rsidR="00C77020">
        <w:rPr>
          <w:rFonts w:ascii="Palatino Linotype" w:hAnsi="Palatino Linotype"/>
          <w:sz w:val="22"/>
        </w:rPr>
        <w:t xml:space="preserve"> inspect</w:t>
      </w:r>
      <w:r>
        <w:rPr>
          <w:rFonts w:ascii="Palatino Linotype" w:hAnsi="Palatino Linotype"/>
          <w:sz w:val="22"/>
        </w:rPr>
        <w:t>or.  Refer to the PIP-II Cable Pull and Document Plan (PIP-II Docdb #2892) for additional information on roles and responsibilities.</w:t>
      </w:r>
    </w:p>
    <w:p w14:paraId="1198D68B" w14:textId="37A12614" w:rsidR="004E76EB" w:rsidRDefault="004E76EB" w:rsidP="004E76EB">
      <w:pPr>
        <w:pStyle w:val="ListParagraph"/>
        <w:numPr>
          <w:ilvl w:val="0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Connectors</w:t>
      </w:r>
    </w:p>
    <w:p w14:paraId="3C3EB1D2" w14:textId="2A722830" w:rsidR="004E76EB" w:rsidRDefault="004E76EB" w:rsidP="004E76EB">
      <w:pPr>
        <w:pStyle w:val="ListParagraph"/>
        <w:numPr>
          <w:ilvl w:val="1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The inspector will review </w:t>
      </w:r>
      <w:r w:rsidR="002641D3">
        <w:rPr>
          <w:rFonts w:ascii="Palatino Linotype" w:hAnsi="Palatino Linotype"/>
          <w:sz w:val="22"/>
        </w:rPr>
        <w:t>10-25</w:t>
      </w:r>
      <w:r>
        <w:rPr>
          <w:rFonts w:ascii="Palatino Linotype" w:hAnsi="Palatino Linotype"/>
          <w:sz w:val="22"/>
        </w:rPr>
        <w:t>% of the total received connectors.</w:t>
      </w:r>
    </w:p>
    <w:p w14:paraId="60254C40" w14:textId="06E08C22" w:rsidR="002641D3" w:rsidRDefault="002641D3" w:rsidP="004E76EB">
      <w:pPr>
        <w:pStyle w:val="ListParagraph"/>
        <w:numPr>
          <w:ilvl w:val="1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Expensive, long-lead, and special connectors will be reviewed 100% of the time.</w:t>
      </w:r>
    </w:p>
    <w:p w14:paraId="7F705C59" w14:textId="74F7F76A" w:rsidR="00DB401A" w:rsidRPr="007B5CC5" w:rsidRDefault="00C77020" w:rsidP="007B5CC5">
      <w:pPr>
        <w:pStyle w:val="ListParagraph"/>
        <w:numPr>
          <w:ilvl w:val="1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Inspect delivery papers and cross check with the purchase order.</w:t>
      </w:r>
    </w:p>
    <w:p w14:paraId="4B98442D" w14:textId="5C035460" w:rsidR="004E76EB" w:rsidRDefault="004E76EB" w:rsidP="004E76EB">
      <w:pPr>
        <w:pStyle w:val="ListParagraph"/>
        <w:numPr>
          <w:ilvl w:val="0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Racks</w:t>
      </w:r>
    </w:p>
    <w:p w14:paraId="06C8D15A" w14:textId="12DC76FF" w:rsidR="004E76EB" w:rsidRDefault="004E76EB" w:rsidP="004E76EB">
      <w:pPr>
        <w:pStyle w:val="ListParagraph"/>
        <w:numPr>
          <w:ilvl w:val="1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Inspect delivery papers and cross check with the purchase order.</w:t>
      </w:r>
    </w:p>
    <w:p w14:paraId="06B24359" w14:textId="1493C409" w:rsidR="00C77020" w:rsidRDefault="004E76EB" w:rsidP="00C77020">
      <w:pPr>
        <w:pStyle w:val="ListParagraph"/>
        <w:numPr>
          <w:ilvl w:val="1"/>
          <w:numId w:val="22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Remove outer protective wrapping, check for dents</w:t>
      </w:r>
      <w:r w:rsidR="00C77020">
        <w:rPr>
          <w:rFonts w:ascii="Palatino Linotype" w:hAnsi="Palatino Linotype"/>
          <w:sz w:val="22"/>
        </w:rPr>
        <w:t xml:space="preserve"> and any other superficial damages.</w:t>
      </w:r>
    </w:p>
    <w:p w14:paraId="736DB47B" w14:textId="77777777" w:rsidR="004E76EB" w:rsidRDefault="004E76EB" w:rsidP="00776ADE">
      <w:pPr>
        <w:spacing w:line="240" w:lineRule="auto"/>
        <w:rPr>
          <w:rFonts w:ascii="Palatino Linotype" w:hAnsi="Palatino Linotype"/>
          <w:sz w:val="22"/>
        </w:rPr>
      </w:pPr>
    </w:p>
    <w:p w14:paraId="09EB4857" w14:textId="55E917FB" w:rsidR="00175056" w:rsidRDefault="00C77020" w:rsidP="00B653D6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</w:t>
      </w:r>
      <w:r w:rsidR="00175056">
        <w:rPr>
          <w:rFonts w:ascii="Palatino Linotype" w:hAnsi="Palatino Linotype"/>
          <w:sz w:val="22"/>
        </w:rPr>
        <w:t xml:space="preserve">nspections </w:t>
      </w:r>
      <w:r w:rsidR="004339CA">
        <w:rPr>
          <w:rFonts w:ascii="Palatino Linotype" w:hAnsi="Palatino Linotype"/>
          <w:sz w:val="22"/>
        </w:rPr>
        <w:t xml:space="preserve">of mechanical components </w:t>
      </w:r>
      <w:r w:rsidR="00175056">
        <w:rPr>
          <w:rFonts w:ascii="Palatino Linotype" w:hAnsi="Palatino Linotype"/>
          <w:sz w:val="22"/>
        </w:rPr>
        <w:t>will enta</w:t>
      </w:r>
      <w:r w:rsidR="004339CA">
        <w:rPr>
          <w:rFonts w:ascii="Palatino Linotype" w:hAnsi="Palatino Linotype"/>
          <w:sz w:val="22"/>
        </w:rPr>
        <w:t>il the following:</w:t>
      </w:r>
    </w:p>
    <w:p w14:paraId="447225E0" w14:textId="77777777" w:rsidR="00D73180" w:rsidRDefault="00D73180" w:rsidP="004339CA">
      <w:pPr>
        <w:pStyle w:val="ListParagraph"/>
        <w:numPr>
          <w:ilvl w:val="0"/>
          <w:numId w:val="21"/>
        </w:numPr>
        <w:tabs>
          <w:tab w:val="left" w:pos="900"/>
        </w:tabs>
        <w:ind w:left="900" w:hanging="54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Chillers and Cooling Skids</w:t>
      </w:r>
    </w:p>
    <w:p w14:paraId="5DF26A32" w14:textId="42BF6AD4" w:rsidR="004339CA" w:rsidRPr="004339CA" w:rsidRDefault="004339CA" w:rsidP="00D73180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 w:rsidRPr="004339CA">
        <w:rPr>
          <w:rFonts w:ascii="Palatino Linotype" w:hAnsi="Palatino Linotype"/>
          <w:sz w:val="22"/>
        </w:rPr>
        <w:t xml:space="preserve">Check if bill of lading corresponds with purchase requisition </w:t>
      </w:r>
      <w:r>
        <w:rPr>
          <w:rFonts w:ascii="Palatino Linotype" w:hAnsi="Palatino Linotype"/>
          <w:sz w:val="22"/>
        </w:rPr>
        <w:t>(i.e.</w:t>
      </w:r>
      <w:r w:rsidRPr="004339CA">
        <w:rPr>
          <w:rFonts w:ascii="Palatino Linotype" w:hAnsi="Palatino Linotype"/>
          <w:sz w:val="22"/>
        </w:rPr>
        <w:t xml:space="preserve"> description, model #, partial shipments, etc.</w:t>
      </w:r>
      <w:r>
        <w:rPr>
          <w:rFonts w:ascii="Palatino Linotype" w:hAnsi="Palatino Linotype"/>
          <w:sz w:val="22"/>
        </w:rPr>
        <w:t>)</w:t>
      </w:r>
    </w:p>
    <w:p w14:paraId="48EA0098" w14:textId="00EE6132" w:rsidR="004339CA" w:rsidRPr="004339CA" w:rsidRDefault="004339CA" w:rsidP="00D73180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 w:rsidRPr="004339CA">
        <w:rPr>
          <w:rFonts w:ascii="Palatino Linotype" w:hAnsi="Palatino Linotype"/>
          <w:sz w:val="22"/>
        </w:rPr>
        <w:t xml:space="preserve">Check for any outside damage </w:t>
      </w:r>
      <w:r>
        <w:rPr>
          <w:rFonts w:ascii="Palatino Linotype" w:hAnsi="Palatino Linotype"/>
          <w:sz w:val="22"/>
        </w:rPr>
        <w:t xml:space="preserve">such as </w:t>
      </w:r>
      <w:r w:rsidRPr="004339CA">
        <w:rPr>
          <w:rFonts w:ascii="Palatino Linotype" w:hAnsi="Palatino Linotype"/>
          <w:sz w:val="22"/>
        </w:rPr>
        <w:t>dents</w:t>
      </w:r>
      <w:r>
        <w:rPr>
          <w:rFonts w:ascii="Palatino Linotype" w:hAnsi="Palatino Linotype"/>
          <w:sz w:val="22"/>
        </w:rPr>
        <w:t xml:space="preserve"> and</w:t>
      </w:r>
      <w:r w:rsidRPr="004339CA">
        <w:rPr>
          <w:rFonts w:ascii="Palatino Linotype" w:hAnsi="Palatino Linotype"/>
          <w:sz w:val="22"/>
        </w:rPr>
        <w:t xml:space="preserve"> scratches</w:t>
      </w:r>
    </w:p>
    <w:p w14:paraId="5425A6AD" w14:textId="033DD03A" w:rsidR="004339CA" w:rsidRPr="004339CA" w:rsidRDefault="004339CA" w:rsidP="00D73180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 w:rsidRPr="004339CA">
        <w:rPr>
          <w:rFonts w:ascii="Palatino Linotype" w:hAnsi="Palatino Linotype"/>
          <w:sz w:val="22"/>
        </w:rPr>
        <w:t xml:space="preserve">Check if any new cooling skid delivered was inspected and approved for shipment by </w:t>
      </w:r>
      <w:r>
        <w:rPr>
          <w:rFonts w:ascii="Palatino Linotype" w:hAnsi="Palatino Linotype"/>
          <w:sz w:val="22"/>
        </w:rPr>
        <w:t xml:space="preserve">a </w:t>
      </w:r>
      <w:r w:rsidRPr="004339CA">
        <w:rPr>
          <w:rFonts w:ascii="Palatino Linotype" w:hAnsi="Palatino Linotype"/>
          <w:sz w:val="22"/>
        </w:rPr>
        <w:t>designated Fermilab employee</w:t>
      </w:r>
    </w:p>
    <w:p w14:paraId="4378246C" w14:textId="38835238" w:rsidR="004339CA" w:rsidRPr="004339CA" w:rsidRDefault="004339CA" w:rsidP="00D73180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 w:rsidRPr="004339CA">
        <w:rPr>
          <w:rFonts w:ascii="Palatino Linotype" w:hAnsi="Palatino Linotype"/>
          <w:sz w:val="22"/>
        </w:rPr>
        <w:t xml:space="preserve">Engineer to check if skid </w:t>
      </w:r>
      <w:r>
        <w:rPr>
          <w:rFonts w:ascii="Palatino Linotype" w:hAnsi="Palatino Linotype"/>
          <w:sz w:val="22"/>
        </w:rPr>
        <w:t>was</w:t>
      </w:r>
      <w:r w:rsidRPr="004339CA">
        <w:rPr>
          <w:rFonts w:ascii="Palatino Linotype" w:hAnsi="Palatino Linotype"/>
          <w:sz w:val="22"/>
        </w:rPr>
        <w:t xml:space="preserve"> shipped with ASME labels attached to the pressure vessel and </w:t>
      </w:r>
      <w:r>
        <w:rPr>
          <w:rFonts w:ascii="Palatino Linotype" w:hAnsi="Palatino Linotype"/>
          <w:sz w:val="22"/>
        </w:rPr>
        <w:t>entire</w:t>
      </w:r>
      <w:r w:rsidRPr="004339CA">
        <w:rPr>
          <w:rFonts w:ascii="Palatino Linotype" w:hAnsi="Palatino Linotype"/>
          <w:sz w:val="22"/>
        </w:rPr>
        <w:t xml:space="preserve"> skid was snoop leak checked (up to 15 PSIG compressed air) and hydrotested at 1.5</w:t>
      </w:r>
      <w:r>
        <w:rPr>
          <w:rFonts w:ascii="Palatino Linotype" w:hAnsi="Palatino Linotype"/>
          <w:sz w:val="22"/>
        </w:rPr>
        <w:t>X</w:t>
      </w:r>
      <w:r w:rsidRPr="004339CA">
        <w:rPr>
          <w:rFonts w:ascii="Palatino Linotype" w:hAnsi="Palatino Linotype"/>
          <w:sz w:val="22"/>
        </w:rPr>
        <w:t xml:space="preserve"> of design pressure. All necessary testing paperwork is to be shipped with the skid.</w:t>
      </w:r>
    </w:p>
    <w:p w14:paraId="0B8D9F9A" w14:textId="6A23DA90" w:rsidR="004339CA" w:rsidRDefault="004E76EB" w:rsidP="00D73180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E</w:t>
      </w:r>
      <w:r w:rsidR="004339CA" w:rsidRPr="004339CA">
        <w:rPr>
          <w:rFonts w:ascii="Palatino Linotype" w:hAnsi="Palatino Linotype"/>
          <w:sz w:val="22"/>
        </w:rPr>
        <w:t>ngineer</w:t>
      </w:r>
      <w:r>
        <w:rPr>
          <w:rFonts w:ascii="Palatino Linotype" w:hAnsi="Palatino Linotype"/>
          <w:sz w:val="22"/>
        </w:rPr>
        <w:t xml:space="preserve"> to check the </w:t>
      </w:r>
      <w:r w:rsidR="004339CA" w:rsidRPr="004339CA">
        <w:rPr>
          <w:rFonts w:ascii="Palatino Linotype" w:hAnsi="Palatino Linotype"/>
          <w:sz w:val="22"/>
        </w:rPr>
        <w:t>actual skid with design drawings</w:t>
      </w:r>
    </w:p>
    <w:p w14:paraId="7C84BE7E" w14:textId="1C6FA191" w:rsidR="00D73180" w:rsidRDefault="00D73180" w:rsidP="00D73180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Flow Meters</w:t>
      </w:r>
    </w:p>
    <w:p w14:paraId="712B74AA" w14:textId="56403661" w:rsidR="00D73180" w:rsidRPr="004339CA" w:rsidRDefault="00D73180" w:rsidP="00D73180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 w:rsidRPr="004339CA">
        <w:rPr>
          <w:rFonts w:ascii="Palatino Linotype" w:hAnsi="Palatino Linotype"/>
          <w:sz w:val="22"/>
        </w:rPr>
        <w:lastRenderedPageBreak/>
        <w:t xml:space="preserve">Check if bill of lading corresponds with purchase </w:t>
      </w:r>
      <w:r w:rsidR="002344A2">
        <w:rPr>
          <w:rFonts w:ascii="Palatino Linotype" w:hAnsi="Palatino Linotype"/>
          <w:sz w:val="22"/>
        </w:rPr>
        <w:t>order</w:t>
      </w:r>
      <w:r w:rsidRPr="004339CA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(i.e.</w:t>
      </w:r>
      <w:r w:rsidRPr="004339CA">
        <w:rPr>
          <w:rFonts w:ascii="Palatino Linotype" w:hAnsi="Palatino Linotype"/>
          <w:sz w:val="22"/>
        </w:rPr>
        <w:t xml:space="preserve"> description, model #, partial shipments, etc.</w:t>
      </w:r>
      <w:r>
        <w:rPr>
          <w:rFonts w:ascii="Palatino Linotype" w:hAnsi="Palatino Linotype"/>
          <w:sz w:val="22"/>
        </w:rPr>
        <w:t>)</w:t>
      </w:r>
    </w:p>
    <w:p w14:paraId="2B278071" w14:textId="77777777" w:rsidR="00D73180" w:rsidRPr="004339CA" w:rsidRDefault="00D73180" w:rsidP="00D73180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 w:rsidRPr="004339CA">
        <w:rPr>
          <w:rFonts w:ascii="Palatino Linotype" w:hAnsi="Palatino Linotype"/>
          <w:sz w:val="22"/>
        </w:rPr>
        <w:t>Verify quantity</w:t>
      </w:r>
    </w:p>
    <w:p w14:paraId="2577369C" w14:textId="57F0E30C" w:rsidR="00D73180" w:rsidRDefault="00D73180" w:rsidP="00D73180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 w:rsidRPr="004339CA">
        <w:rPr>
          <w:rFonts w:ascii="Palatino Linotype" w:hAnsi="Palatino Linotype"/>
          <w:sz w:val="22"/>
        </w:rPr>
        <w:t xml:space="preserve">Check for any outside damage </w:t>
      </w:r>
      <w:r>
        <w:rPr>
          <w:rFonts w:ascii="Palatino Linotype" w:hAnsi="Palatino Linotype"/>
          <w:sz w:val="22"/>
        </w:rPr>
        <w:t xml:space="preserve">such as </w:t>
      </w:r>
      <w:r w:rsidRPr="004339CA">
        <w:rPr>
          <w:rFonts w:ascii="Palatino Linotype" w:hAnsi="Palatino Linotype"/>
          <w:sz w:val="22"/>
        </w:rPr>
        <w:t>dents</w:t>
      </w:r>
      <w:r>
        <w:rPr>
          <w:rFonts w:ascii="Palatino Linotype" w:hAnsi="Palatino Linotype"/>
          <w:sz w:val="22"/>
        </w:rPr>
        <w:t xml:space="preserve"> and</w:t>
      </w:r>
      <w:r w:rsidRPr="004339CA">
        <w:rPr>
          <w:rFonts w:ascii="Palatino Linotype" w:hAnsi="Palatino Linotype"/>
          <w:sz w:val="22"/>
        </w:rPr>
        <w:t xml:space="preserve"> scratches</w:t>
      </w:r>
    </w:p>
    <w:p w14:paraId="4F4321C5" w14:textId="56B72D0D" w:rsidR="00FD310F" w:rsidRDefault="00FD310F" w:rsidP="00FD310F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How about prefabricated piping assemblies?  I assumed we would get some sections of manifolds pre-assembled from vendors.  </w:t>
      </w:r>
    </w:p>
    <w:p w14:paraId="4C482590" w14:textId="301E3CEC" w:rsidR="00FD310F" w:rsidRDefault="00FD310F" w:rsidP="00FD310F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Do we need to do any X-rays anywhere?</w:t>
      </w:r>
    </w:p>
    <w:p w14:paraId="13140992" w14:textId="1F25B38C" w:rsidR="00FD310F" w:rsidRDefault="00FD310F" w:rsidP="00FD310F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Where do we check piping for freedom from debris (or flush debris </w:t>
      </w:r>
      <w:proofErr w:type="gramStart"/>
      <w:r>
        <w:rPr>
          <w:rFonts w:ascii="Palatino Linotype" w:hAnsi="Palatino Linotype"/>
          <w:sz w:val="22"/>
        </w:rPr>
        <w:t>out)</w:t>
      </w:r>
      <w:proofErr w:type="gramEnd"/>
    </w:p>
    <w:p w14:paraId="0465CBBE" w14:textId="5C456DA3" w:rsidR="00FD310F" w:rsidRDefault="00FD310F" w:rsidP="00FD310F">
      <w:pPr>
        <w:pStyle w:val="ListParagraph"/>
        <w:numPr>
          <w:ilvl w:val="1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Any cleanliness specs for piping?  </w:t>
      </w:r>
    </w:p>
    <w:p w14:paraId="6E8BEC0A" w14:textId="35B6AA72" w:rsidR="00DB401A" w:rsidRDefault="00DB401A" w:rsidP="007B5CC5">
      <w:pPr>
        <w:pStyle w:val="ListParagraph"/>
        <w:numPr>
          <w:ilvl w:val="0"/>
          <w:numId w:val="21"/>
        </w:numPr>
        <w:tabs>
          <w:tab w:val="left" w:pos="9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Is SCI inspection necessary for any BLDGI hardware?  Maybe circuit breakers?  </w:t>
      </w:r>
    </w:p>
    <w:p w14:paraId="2EDC5194" w14:textId="659F86BB" w:rsidR="00FD310F" w:rsidRDefault="00FD310F" w:rsidP="00FD310F">
      <w:pPr>
        <w:tabs>
          <w:tab w:val="left" w:pos="900"/>
        </w:tabs>
        <w:rPr>
          <w:rFonts w:ascii="Palatino Linotype" w:hAnsi="Palatino Linotype"/>
          <w:sz w:val="22"/>
        </w:rPr>
      </w:pPr>
    </w:p>
    <w:p w14:paraId="3E47C233" w14:textId="758EF5E5" w:rsidR="004E76EB" w:rsidRPr="004E76EB" w:rsidRDefault="004E76EB" w:rsidP="004E76EB">
      <w:pPr>
        <w:tabs>
          <w:tab w:val="left" w:pos="90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The checks</w:t>
      </w:r>
      <w:r w:rsidR="00D73180">
        <w:rPr>
          <w:rFonts w:ascii="Palatino Linotype" w:hAnsi="Palatino Linotype"/>
          <w:sz w:val="22"/>
        </w:rPr>
        <w:t xml:space="preserve"> described above</w:t>
      </w:r>
      <w:r>
        <w:rPr>
          <w:rFonts w:ascii="Palatino Linotype" w:hAnsi="Palatino Linotype"/>
          <w:sz w:val="22"/>
        </w:rPr>
        <w:t xml:space="preserve"> shall be documented in a traveler.  </w:t>
      </w:r>
    </w:p>
    <w:p w14:paraId="451B8741" w14:textId="085A2041" w:rsidR="008247C7" w:rsidRDefault="00033035" w:rsidP="00033035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2" w:name="_Toc39576989"/>
      <w:r>
        <w:rPr>
          <w:rFonts w:ascii="Palatino Linotype" w:hAnsi="Palatino Linotype" w:cs="Helvetica"/>
          <w:sz w:val="24"/>
        </w:rPr>
        <w:t xml:space="preserve">3.0 </w:t>
      </w:r>
      <w:r w:rsidR="008C0CC6">
        <w:rPr>
          <w:rFonts w:ascii="Palatino Linotype" w:hAnsi="Palatino Linotype" w:cs="Helvetica"/>
          <w:sz w:val="24"/>
        </w:rPr>
        <w:t>Requirements Traceability</w:t>
      </w:r>
      <w:bookmarkEnd w:id="2"/>
    </w:p>
    <w:p w14:paraId="09400F23" w14:textId="4C03A2FE" w:rsidR="0056051B" w:rsidRDefault="0056051B" w:rsidP="00776AD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4D5EB2">
        <w:rPr>
          <w:rFonts w:ascii="Palatino Linotype" w:hAnsi="Palatino Linotype"/>
          <w:sz w:val="22"/>
          <w:szCs w:val="22"/>
        </w:rPr>
        <w:t xml:space="preserve">The </w:t>
      </w:r>
      <w:r>
        <w:rPr>
          <w:rFonts w:ascii="Palatino Linotype" w:hAnsi="Palatino Linotype"/>
          <w:sz w:val="22"/>
          <w:szCs w:val="22"/>
        </w:rPr>
        <w:t>traceability of requirements</w:t>
      </w:r>
      <w:r w:rsidRPr="004D5EB2">
        <w:rPr>
          <w:rFonts w:ascii="Palatino Linotype" w:hAnsi="Palatino Linotype"/>
          <w:sz w:val="22"/>
          <w:szCs w:val="22"/>
        </w:rPr>
        <w:t xml:space="preserve"> can be found in the metadata sheets</w:t>
      </w:r>
      <w:r>
        <w:rPr>
          <w:rFonts w:ascii="Palatino Linotype" w:hAnsi="Palatino Linotype"/>
          <w:sz w:val="22"/>
          <w:szCs w:val="22"/>
        </w:rPr>
        <w:t xml:space="preserve">; TC # </w:t>
      </w:r>
      <w:r w:rsidRPr="005849FF">
        <w:rPr>
          <w:rFonts w:ascii="Palatino Linotype" w:hAnsi="Palatino Linotype"/>
          <w:sz w:val="22"/>
          <w:szCs w:val="22"/>
        </w:rPr>
        <w:t>ED</w:t>
      </w:r>
      <w:r w:rsidR="005849FF">
        <w:rPr>
          <w:rFonts w:ascii="Palatino Linotype" w:hAnsi="Palatino Linotype"/>
          <w:sz w:val="22"/>
          <w:szCs w:val="22"/>
        </w:rPr>
        <w:t>0008083</w:t>
      </w:r>
      <w:r w:rsidRPr="004D5EB2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 It is in this metadata sheet where the Functional Requirements Specifications (FRS) are identified and how each flow down to a Technical Requirements Specification (TRS).  From here, verification methods such as demonstrations, tests, and inspections are performed to verify each TRS is met.  </w:t>
      </w:r>
    </w:p>
    <w:p w14:paraId="7991639D" w14:textId="77777777" w:rsidR="0056051B" w:rsidRDefault="0056051B" w:rsidP="00776ADE">
      <w:pPr>
        <w:spacing w:line="240" w:lineRule="auto"/>
        <w:rPr>
          <w:rFonts w:ascii="Palatino Linotype" w:hAnsi="Palatino Linotype"/>
          <w:sz w:val="22"/>
          <w:szCs w:val="22"/>
        </w:rPr>
      </w:pPr>
    </w:p>
    <w:p w14:paraId="59A77D30" w14:textId="77777777" w:rsidR="0056051B" w:rsidRDefault="0056051B" w:rsidP="00776ADE">
      <w:pPr>
        <w:spacing w:line="24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For every TRS, a verification method along with the location of the results are identified in this metadata sheet.  A timeframe and status of the verification efforts are also identified in this sheet.  </w:t>
      </w:r>
    </w:p>
    <w:p w14:paraId="097A7DB9" w14:textId="77777777" w:rsidR="0056051B" w:rsidRDefault="0056051B" w:rsidP="00776ADE">
      <w:pPr>
        <w:spacing w:line="240" w:lineRule="auto"/>
        <w:rPr>
          <w:rFonts w:ascii="Palatino Linotype" w:hAnsi="Palatino Linotype"/>
          <w:sz w:val="22"/>
          <w:szCs w:val="22"/>
        </w:rPr>
      </w:pPr>
    </w:p>
    <w:p w14:paraId="3B35C92C" w14:textId="77777777" w:rsidR="0056051B" w:rsidRPr="004D5EB2" w:rsidRDefault="0056051B" w:rsidP="00776ADE">
      <w:pPr>
        <w:spacing w:line="240" w:lineRule="auto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Lastly, this sheet also provides upwards traceability from the FRS to the Physics Requirements Document (PRD) and ultimately the Global Requirements Document (GRD) where applicable. </w:t>
      </w:r>
    </w:p>
    <w:p w14:paraId="3FC13E8A" w14:textId="77777777" w:rsidR="00033035" w:rsidRPr="00033035" w:rsidRDefault="00033035" w:rsidP="00776ADE">
      <w:pPr>
        <w:pStyle w:val="ListParagraph"/>
        <w:ind w:left="403"/>
      </w:pPr>
    </w:p>
    <w:p w14:paraId="34B5B9FF" w14:textId="03EF79FF" w:rsidR="00F8095E" w:rsidRPr="000574E4" w:rsidRDefault="00845ABE" w:rsidP="00CE7D53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3" w:name="_Toc39576990"/>
      <w:r w:rsidRPr="000574E4">
        <w:rPr>
          <w:rFonts w:ascii="Palatino Linotype" w:hAnsi="Palatino Linotype" w:cs="Helvetica"/>
          <w:sz w:val="24"/>
        </w:rPr>
        <w:t>4</w:t>
      </w:r>
      <w:r w:rsidR="00CE7D53" w:rsidRPr="000574E4">
        <w:rPr>
          <w:rFonts w:ascii="Palatino Linotype" w:hAnsi="Palatino Linotype" w:cs="Helvetica"/>
          <w:sz w:val="24"/>
        </w:rPr>
        <w:t xml:space="preserve">.0 </w:t>
      </w:r>
      <w:r w:rsidR="008C0CC6">
        <w:rPr>
          <w:rFonts w:ascii="Palatino Linotype" w:hAnsi="Palatino Linotype" w:cs="Helvetica"/>
          <w:sz w:val="24"/>
        </w:rPr>
        <w:t>Travelers, Procedures, and Checklists</w:t>
      </w:r>
      <w:bookmarkEnd w:id="3"/>
    </w:p>
    <w:p w14:paraId="358466C2" w14:textId="7856D2D0" w:rsidR="00033035" w:rsidRPr="008444FF" w:rsidRDefault="00033035" w:rsidP="00776ADE">
      <w:pPr>
        <w:spacing w:line="240" w:lineRule="auto"/>
        <w:rPr>
          <w:rFonts w:ascii="Palatino Linotype" w:hAnsi="Palatino Linotype"/>
          <w:sz w:val="22"/>
        </w:rPr>
      </w:pPr>
      <w:r w:rsidRPr="008444FF">
        <w:rPr>
          <w:rFonts w:ascii="Palatino Linotype" w:hAnsi="Palatino Linotype"/>
          <w:sz w:val="22"/>
        </w:rPr>
        <w:t xml:space="preserve">A list of Travelers </w:t>
      </w:r>
      <w:r w:rsidR="0056051B" w:rsidRPr="008444FF">
        <w:rPr>
          <w:rFonts w:ascii="Palatino Linotype" w:hAnsi="Palatino Linotype"/>
          <w:sz w:val="22"/>
        </w:rPr>
        <w:t xml:space="preserve">for receiving inspection </w:t>
      </w:r>
      <w:r w:rsidRPr="008444FF">
        <w:rPr>
          <w:rFonts w:ascii="Palatino Linotype" w:hAnsi="Palatino Linotype"/>
          <w:sz w:val="22"/>
        </w:rPr>
        <w:t xml:space="preserve">is </w:t>
      </w:r>
      <w:r w:rsidR="0056051B" w:rsidRPr="008444FF">
        <w:rPr>
          <w:rFonts w:ascii="Palatino Linotype" w:hAnsi="Palatino Linotype"/>
          <w:sz w:val="22"/>
        </w:rPr>
        <w:t>provided</w:t>
      </w:r>
      <w:r w:rsidRPr="008444FF">
        <w:rPr>
          <w:rFonts w:ascii="Palatino Linotype" w:hAnsi="Palatino Linotype"/>
          <w:sz w:val="22"/>
        </w:rPr>
        <w:t xml:space="preserve"> below, along with the Material that corresponds with each.  </w:t>
      </w:r>
    </w:p>
    <w:p w14:paraId="22FE1958" w14:textId="091F1BE4" w:rsidR="00033035" w:rsidRDefault="00033035" w:rsidP="00914080">
      <w:pPr>
        <w:rPr>
          <w:sz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2160"/>
      </w:tblGrid>
      <w:tr w:rsidR="00033035" w14:paraId="51D9E47A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5983" w14:textId="77777777" w:rsidR="00033035" w:rsidRDefault="00033035">
            <w:pPr>
              <w:rPr>
                <w:b/>
                <w:bCs/>
              </w:rPr>
            </w:pPr>
            <w:r>
              <w:rPr>
                <w:b/>
                <w:bCs/>
              </w:rPr>
              <w:t>Material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E3F4" w14:textId="5DF66FD9" w:rsidR="00033035" w:rsidRDefault="0056051B">
            <w:pPr>
              <w:rPr>
                <w:b/>
                <w:bCs/>
              </w:rPr>
            </w:pPr>
            <w:r>
              <w:rPr>
                <w:b/>
                <w:bCs/>
              </w:rPr>
              <w:t>Traveler Serial #</w:t>
            </w:r>
          </w:p>
        </w:tc>
      </w:tr>
      <w:tr w:rsidR="00033035" w14:paraId="3162BFBC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A67E" w14:textId="77777777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Cables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D2A4" w14:textId="73A06029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033035" w14:paraId="4E8359AD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78C0" w14:textId="77777777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Connectors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7C03" w14:textId="5D3C775D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C77020" w14:paraId="4DC60FB7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59B9" w14:textId="3FB21B94" w:rsidR="00C77020" w:rsidRPr="008444FF" w:rsidRDefault="00C7702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Racks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1A19" w14:textId="6B60861C" w:rsidR="00C77020" w:rsidRPr="008444FF" w:rsidRDefault="00C7702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033035" w14:paraId="3606AE68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38A6" w14:textId="545A9EEF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Ion Source LCW Chiller</w:t>
            </w:r>
            <w:r w:rsidR="0056051B" w:rsidRPr="008444F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14B1" w14:textId="13265077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033035" w14:paraId="353E2884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AC29" w14:textId="77777777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lastRenderedPageBreak/>
              <w:t>RFQ Intermediate Cooling Skid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0DA3" w14:textId="0370FCF1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033035" w14:paraId="7F056B84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4AD3" w14:textId="77777777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RFQ Wall Cooling Skid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4762" w14:textId="5CC564E3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033035" w14:paraId="16BD3D36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AD12" w14:textId="77777777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RFQ Vane Cooling Skid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A763" w14:textId="1E332864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C77020" w14:paraId="6D96623E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4ED4" w14:textId="75C31647" w:rsidR="00C77020" w:rsidRPr="008444FF" w:rsidRDefault="00C7702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Absorber Cooling Skid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0A49" w14:textId="436F8D27" w:rsidR="00C77020" w:rsidRPr="008444FF" w:rsidRDefault="00C7702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033035" w14:paraId="33B417D3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106B" w14:textId="77777777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Chiller for RFQ Circulators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FBC9" w14:textId="29BB2099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033035" w14:paraId="76767DB2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C002" w14:textId="77777777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High Resolution Flow Meters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5457" w14:textId="0EA30965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033035" w14:paraId="38FEE7CF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B028" w14:textId="77777777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Flow Meter Vortex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0E2E" w14:textId="2B5E327B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  <w:tr w:rsidR="00033035" w14:paraId="03DD7517" w14:textId="77777777" w:rsidTr="00720FD4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6832" w14:textId="77777777" w:rsidR="00033035" w:rsidRPr="008444FF" w:rsidRDefault="00033035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Flow Meters for Interlock Cryomodule Couples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20E4" w14:textId="111C8B9C" w:rsidR="00033035" w:rsidRPr="008444FF" w:rsidRDefault="0056051B">
            <w:pPr>
              <w:rPr>
                <w:rFonts w:ascii="Palatino Linotype" w:hAnsi="Palatino Linotype"/>
                <w:sz w:val="22"/>
                <w:szCs w:val="22"/>
              </w:rPr>
            </w:pPr>
            <w:r w:rsidRPr="008444FF">
              <w:rPr>
                <w:rFonts w:ascii="Palatino Linotype" w:hAnsi="Palatino Linotype"/>
                <w:sz w:val="22"/>
                <w:szCs w:val="22"/>
              </w:rPr>
              <w:t>TBD</w:t>
            </w:r>
          </w:p>
        </w:tc>
      </w:tr>
    </w:tbl>
    <w:p w14:paraId="097DA1EB" w14:textId="77777777" w:rsidR="00033035" w:rsidRDefault="00033035" w:rsidP="00914080">
      <w:pPr>
        <w:rPr>
          <w:sz w:val="22"/>
        </w:rPr>
      </w:pPr>
    </w:p>
    <w:p w14:paraId="79E97AA9" w14:textId="11C633EC" w:rsidR="00AC0CB8" w:rsidRPr="000574E4" w:rsidRDefault="00AC0CB8" w:rsidP="00AC0CB8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4" w:name="_Toc39576992"/>
      <w:r>
        <w:rPr>
          <w:rFonts w:ascii="Palatino Linotype" w:hAnsi="Palatino Linotype" w:cs="Helvetica"/>
          <w:sz w:val="24"/>
        </w:rPr>
        <w:t>7</w:t>
      </w:r>
      <w:r w:rsidRPr="000574E4">
        <w:rPr>
          <w:rFonts w:ascii="Palatino Linotype" w:hAnsi="Palatino Linotype" w:cs="Helvetica"/>
          <w:sz w:val="24"/>
        </w:rPr>
        <w:t xml:space="preserve">.0 </w:t>
      </w:r>
      <w:r w:rsidR="008C0CC6">
        <w:rPr>
          <w:rFonts w:ascii="Palatino Linotype" w:hAnsi="Palatino Linotype" w:cs="Helvetica"/>
          <w:sz w:val="24"/>
        </w:rPr>
        <w:t>Verification Plans: Methods &amp; Activities</w:t>
      </w:r>
      <w:bookmarkEnd w:id="4"/>
    </w:p>
    <w:p w14:paraId="39BC0C9F" w14:textId="40CD0A8A" w:rsidR="008444FF" w:rsidRDefault="00FF5AD5" w:rsidP="00776ADE">
      <w:pPr>
        <w:pStyle w:val="NotesBody11pt"/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BC29F1">
        <w:rPr>
          <w:rFonts w:ascii="Palatino Linotype" w:hAnsi="Palatino Linotype"/>
        </w:rPr>
        <w:t xml:space="preserve"> master tracking</w:t>
      </w:r>
      <w:r>
        <w:rPr>
          <w:rFonts w:ascii="Palatino Linotype" w:hAnsi="Palatino Linotype"/>
        </w:rPr>
        <w:t xml:space="preserve"> spreadsheet</w:t>
      </w:r>
      <w:r w:rsidR="00BC29F1">
        <w:rPr>
          <w:rFonts w:ascii="Palatino Linotype" w:hAnsi="Palatino Linotype"/>
        </w:rPr>
        <w:t xml:space="preserve"> will be </w:t>
      </w:r>
      <w:r w:rsidR="00830F30">
        <w:rPr>
          <w:rFonts w:ascii="Palatino Linotype" w:hAnsi="Palatino Linotype"/>
        </w:rPr>
        <w:t xml:space="preserve">used to document all </w:t>
      </w:r>
      <w:r>
        <w:rPr>
          <w:rFonts w:ascii="Palatino Linotype" w:hAnsi="Palatino Linotype"/>
        </w:rPr>
        <w:t>the purchased materials</w:t>
      </w:r>
      <w:r w:rsidR="00830F30">
        <w:rPr>
          <w:rFonts w:ascii="Palatino Linotype" w:hAnsi="Palatino Linotype"/>
        </w:rPr>
        <w:t>, the ph</w:t>
      </w:r>
      <w:r>
        <w:rPr>
          <w:rFonts w:ascii="Palatino Linotype" w:hAnsi="Palatino Linotype"/>
        </w:rPr>
        <w:t>asing of deliveries, recei</w:t>
      </w:r>
      <w:r w:rsidR="00830F30">
        <w:rPr>
          <w:rFonts w:ascii="Palatino Linotype" w:hAnsi="Palatino Linotype"/>
        </w:rPr>
        <w:t>ved items</w:t>
      </w:r>
      <w:r>
        <w:rPr>
          <w:rFonts w:ascii="Palatino Linotype" w:hAnsi="Palatino Linotype"/>
        </w:rPr>
        <w:t>, inspections that have been performed, storage location of the item, and whether it has been transferred to the L3 that will be responsible for installing the item.</w:t>
      </w:r>
      <w:r w:rsidR="00830F30">
        <w:rPr>
          <w:rFonts w:ascii="Palatino Linotype" w:hAnsi="Palatino Linotype"/>
        </w:rPr>
        <w:t xml:space="preserve">  The document number for this master spreadsheet is ED</w:t>
      </w:r>
      <w:r w:rsidR="007B5CC5">
        <w:rPr>
          <w:rFonts w:ascii="Palatino Linotype" w:hAnsi="Palatino Linotype"/>
        </w:rPr>
        <w:t>0012523</w:t>
      </w:r>
      <w:r w:rsidR="00830F30">
        <w:rPr>
          <w:rFonts w:ascii="Palatino Linotype" w:hAnsi="Palatino Linotype"/>
        </w:rPr>
        <w:t>.</w:t>
      </w:r>
    </w:p>
    <w:p w14:paraId="4EA5B0EB" w14:textId="49569BA6" w:rsidR="00F60581" w:rsidRDefault="00F60581" w:rsidP="00F60581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5" w:name="_Toc39576993"/>
      <w:r w:rsidRPr="00F60581">
        <w:rPr>
          <w:rFonts w:ascii="Palatino Linotype" w:hAnsi="Palatino Linotype" w:cs="Helvetica"/>
          <w:sz w:val="24"/>
        </w:rPr>
        <w:t>8.0 Deliverable Documentation and Records</w:t>
      </w:r>
      <w:bookmarkEnd w:id="5"/>
    </w:p>
    <w:p w14:paraId="34FA43BE" w14:textId="3F39A5DD" w:rsidR="00F60581" w:rsidRPr="008444FF" w:rsidRDefault="00FF5AD5" w:rsidP="00776ADE">
      <w:pPr>
        <w:spacing w:line="240" w:lineRule="auto"/>
        <w:rPr>
          <w:rFonts w:ascii="Palatino Linotype" w:hAnsi="Palatino Linotype"/>
          <w:sz w:val="22"/>
          <w:szCs w:val="28"/>
        </w:rPr>
      </w:pPr>
      <w:r w:rsidRPr="008444FF">
        <w:rPr>
          <w:rFonts w:ascii="Palatino Linotype" w:hAnsi="Palatino Linotype"/>
          <w:sz w:val="22"/>
          <w:szCs w:val="28"/>
        </w:rPr>
        <w:t xml:space="preserve">A copy of the </w:t>
      </w:r>
      <w:r w:rsidR="00830F30">
        <w:rPr>
          <w:rFonts w:ascii="Palatino Linotype" w:hAnsi="Palatino Linotype"/>
          <w:sz w:val="22"/>
          <w:szCs w:val="28"/>
        </w:rPr>
        <w:t xml:space="preserve">master </w:t>
      </w:r>
      <w:r w:rsidRPr="008444FF">
        <w:rPr>
          <w:rFonts w:ascii="Palatino Linotype" w:hAnsi="Palatino Linotype"/>
          <w:sz w:val="22"/>
          <w:szCs w:val="28"/>
        </w:rPr>
        <w:t>spreadsheet along with the Traveler</w:t>
      </w:r>
      <w:r w:rsidR="00491EA3">
        <w:rPr>
          <w:rFonts w:ascii="Palatino Linotype" w:hAnsi="Palatino Linotype"/>
          <w:sz w:val="22"/>
          <w:szCs w:val="28"/>
        </w:rPr>
        <w:t>, and any Incoming Inspection Forms</w:t>
      </w:r>
      <w:r w:rsidR="00763ECC">
        <w:rPr>
          <w:rFonts w:ascii="Palatino Linotype" w:hAnsi="Palatino Linotype"/>
          <w:sz w:val="22"/>
          <w:szCs w:val="28"/>
        </w:rPr>
        <w:t>,</w:t>
      </w:r>
      <w:r w:rsidRPr="008444FF">
        <w:rPr>
          <w:rFonts w:ascii="Palatino Linotype" w:hAnsi="Palatino Linotype"/>
          <w:sz w:val="22"/>
          <w:szCs w:val="28"/>
        </w:rPr>
        <w:t xml:space="preserve"> </w:t>
      </w:r>
      <w:r w:rsidR="00776ADE">
        <w:rPr>
          <w:rFonts w:ascii="Palatino Linotype" w:hAnsi="Palatino Linotype"/>
          <w:sz w:val="22"/>
          <w:szCs w:val="28"/>
        </w:rPr>
        <w:t xml:space="preserve">if used, </w:t>
      </w:r>
      <w:r w:rsidRPr="008444FF">
        <w:rPr>
          <w:rFonts w:ascii="Palatino Linotype" w:hAnsi="Palatino Linotype"/>
          <w:sz w:val="22"/>
          <w:szCs w:val="28"/>
        </w:rPr>
        <w:t>will be delivered to the installation L3 with each item as they are approved.</w:t>
      </w:r>
    </w:p>
    <w:p w14:paraId="71136749" w14:textId="011B80CF" w:rsidR="00F60581" w:rsidRDefault="00F60581" w:rsidP="00F60581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6" w:name="_Toc39576994"/>
      <w:r w:rsidRPr="00F60581">
        <w:rPr>
          <w:rFonts w:ascii="Palatino Linotype" w:hAnsi="Palatino Linotype" w:cs="Helvetica"/>
          <w:sz w:val="24"/>
        </w:rPr>
        <w:t>9.0 Associated Equipment</w:t>
      </w:r>
      <w:bookmarkEnd w:id="6"/>
    </w:p>
    <w:p w14:paraId="5A76D44B" w14:textId="004CF7BB" w:rsidR="00ED4494" w:rsidRPr="008444FF" w:rsidRDefault="00776ADE" w:rsidP="00776ADE">
      <w:pPr>
        <w:spacing w:line="24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length meter will be necessary to perform continuity/length checks for cables.</w:t>
      </w:r>
      <w:r w:rsidR="00FF5AD5" w:rsidRPr="008444FF">
        <w:rPr>
          <w:rFonts w:ascii="Palatino Linotype" w:hAnsi="Palatino Linotype"/>
          <w:sz w:val="22"/>
          <w:szCs w:val="22"/>
        </w:rPr>
        <w:t xml:space="preserve">  </w:t>
      </w:r>
      <w:r w:rsidR="00720FD4">
        <w:rPr>
          <w:rFonts w:ascii="Palatino Linotype" w:hAnsi="Palatino Linotype"/>
          <w:sz w:val="22"/>
          <w:szCs w:val="22"/>
        </w:rPr>
        <w:t xml:space="preserve">No </w:t>
      </w:r>
      <w:r w:rsidR="00C743BF">
        <w:rPr>
          <w:rFonts w:ascii="Palatino Linotype" w:hAnsi="Palatino Linotype"/>
          <w:sz w:val="22"/>
          <w:szCs w:val="22"/>
        </w:rPr>
        <w:t xml:space="preserve">special </w:t>
      </w:r>
      <w:r w:rsidR="00720FD4">
        <w:rPr>
          <w:rFonts w:ascii="Palatino Linotype" w:hAnsi="Palatino Linotype"/>
          <w:sz w:val="22"/>
          <w:szCs w:val="22"/>
        </w:rPr>
        <w:t>equipment will be required to</w:t>
      </w:r>
      <w:r w:rsidR="00C743BF">
        <w:rPr>
          <w:rFonts w:ascii="Palatino Linotype" w:hAnsi="Palatino Linotype"/>
          <w:sz w:val="22"/>
          <w:szCs w:val="22"/>
        </w:rPr>
        <w:t xml:space="preserve"> perform</w:t>
      </w:r>
      <w:r w:rsidR="00720FD4">
        <w:rPr>
          <w:rFonts w:ascii="Palatino Linotype" w:hAnsi="Palatino Linotype"/>
          <w:sz w:val="22"/>
          <w:szCs w:val="22"/>
        </w:rPr>
        <w:t xml:space="preserve"> inspect</w:t>
      </w:r>
      <w:r w:rsidR="00C743BF">
        <w:rPr>
          <w:rFonts w:ascii="Palatino Linotype" w:hAnsi="Palatino Linotype"/>
          <w:sz w:val="22"/>
          <w:szCs w:val="22"/>
        </w:rPr>
        <w:t>ions of</w:t>
      </w:r>
      <w:r w:rsidR="00720FD4">
        <w:rPr>
          <w:rFonts w:ascii="Palatino Linotype" w:hAnsi="Palatino Linotype"/>
          <w:sz w:val="22"/>
          <w:szCs w:val="22"/>
        </w:rPr>
        <w:t xml:space="preserve"> mechanical parts/materials.</w:t>
      </w:r>
    </w:p>
    <w:p w14:paraId="2F6A8C22" w14:textId="62DF4F0C" w:rsidR="00F60581" w:rsidRDefault="00F60581" w:rsidP="00F60581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7" w:name="_Toc39576995"/>
      <w:r w:rsidRPr="00F60581">
        <w:rPr>
          <w:rFonts w:ascii="Palatino Linotype" w:hAnsi="Palatino Linotype" w:cs="Helvetica"/>
          <w:sz w:val="24"/>
        </w:rPr>
        <w:t xml:space="preserve">10.0 </w:t>
      </w:r>
      <w:r>
        <w:rPr>
          <w:rFonts w:ascii="Palatino Linotype" w:hAnsi="Palatino Linotype" w:cs="Helvetica"/>
          <w:sz w:val="24"/>
        </w:rPr>
        <w:t>Calibrations Plans</w:t>
      </w:r>
      <w:bookmarkEnd w:id="7"/>
    </w:p>
    <w:p w14:paraId="7C36BDB0" w14:textId="60FC111D" w:rsidR="00E01826" w:rsidRPr="007E7DF8" w:rsidRDefault="00776ADE" w:rsidP="00776ADE">
      <w:pPr>
        <w:pStyle w:val="NotesBody11pt"/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There are no calibration requirements for the equipment listed above.</w:t>
      </w:r>
    </w:p>
    <w:p w14:paraId="71976507" w14:textId="3DD47827" w:rsidR="00F60581" w:rsidRDefault="00F60581" w:rsidP="00F60581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8" w:name="_Toc39576996"/>
      <w:r w:rsidRPr="00F60581">
        <w:rPr>
          <w:rFonts w:ascii="Palatino Linotype" w:hAnsi="Palatino Linotype" w:cs="Helvetica"/>
          <w:sz w:val="24"/>
        </w:rPr>
        <w:t>1</w:t>
      </w:r>
      <w:r>
        <w:rPr>
          <w:rFonts w:ascii="Palatino Linotype" w:hAnsi="Palatino Linotype" w:cs="Helvetica"/>
          <w:sz w:val="24"/>
        </w:rPr>
        <w:t>1</w:t>
      </w:r>
      <w:r w:rsidRPr="00F60581">
        <w:rPr>
          <w:rFonts w:ascii="Palatino Linotype" w:hAnsi="Palatino Linotype" w:cs="Helvetica"/>
          <w:sz w:val="24"/>
        </w:rPr>
        <w:t>.0 Traceability Requirements</w:t>
      </w:r>
      <w:bookmarkEnd w:id="8"/>
    </w:p>
    <w:p w14:paraId="1B123242" w14:textId="06129DA9" w:rsidR="00F60581" w:rsidRPr="00A25877" w:rsidRDefault="00137212" w:rsidP="00A25877">
      <w:pPr>
        <w:pStyle w:val="NotesBody11pt"/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Materials will be tracked using the master spreadsheet as previously discussed.</w:t>
      </w:r>
    </w:p>
    <w:p w14:paraId="7FCE308A" w14:textId="2980ED5D" w:rsidR="00F60581" w:rsidRDefault="00F60581" w:rsidP="00F60581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9" w:name="_Toc39576997"/>
      <w:r w:rsidRPr="00F60581">
        <w:rPr>
          <w:rFonts w:ascii="Palatino Linotype" w:hAnsi="Palatino Linotype" w:cs="Helvetica"/>
          <w:sz w:val="24"/>
        </w:rPr>
        <w:lastRenderedPageBreak/>
        <w:t>12.0 Training and Qualification</w:t>
      </w:r>
      <w:bookmarkEnd w:id="9"/>
    </w:p>
    <w:p w14:paraId="2E0C5070" w14:textId="1E6B5EFC" w:rsidR="00E01826" w:rsidRPr="00A25877" w:rsidRDefault="007B41D9" w:rsidP="00A25877">
      <w:pPr>
        <w:pStyle w:val="NotesBody11pt"/>
        <w:spacing w:line="240" w:lineRule="auto"/>
        <w:rPr>
          <w:rFonts w:ascii="Palatino Linotype" w:hAnsi="Palatino Linotype"/>
        </w:rPr>
      </w:pPr>
      <w:r w:rsidRPr="007B41D9">
        <w:rPr>
          <w:rFonts w:ascii="Palatino Linotype" w:hAnsi="Palatino Linotype"/>
        </w:rPr>
        <w:t xml:space="preserve">A mechanical engineer will be required to perform the inspections and site visits for the chillers and cooling skids. </w:t>
      </w:r>
      <w:r>
        <w:rPr>
          <w:rFonts w:ascii="Palatino Linotype" w:hAnsi="Palatino Linotype"/>
        </w:rPr>
        <w:t xml:space="preserve"> </w:t>
      </w:r>
      <w:r w:rsidR="00467534">
        <w:rPr>
          <w:rFonts w:ascii="Palatino Linotype" w:hAnsi="Palatino Linotype"/>
        </w:rPr>
        <w:t>The cable coordinator will be responsible for inspecting all cables.  Refer to the PIP-II Cable Pull and Document Plan (PIP-II Docdb #2892) for additional information.</w:t>
      </w:r>
    </w:p>
    <w:p w14:paraId="4F15F17A" w14:textId="31D56073" w:rsidR="00F60581" w:rsidRDefault="00F60581" w:rsidP="00C112B5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10" w:name="_Toc39576998"/>
      <w:r w:rsidRPr="00C112B5">
        <w:rPr>
          <w:rFonts w:ascii="Palatino Linotype" w:hAnsi="Palatino Linotype" w:cs="Helvetica"/>
          <w:sz w:val="24"/>
        </w:rPr>
        <w:t>13.0 Planned V</w:t>
      </w:r>
      <w:r w:rsidR="00C112B5" w:rsidRPr="00C112B5">
        <w:rPr>
          <w:rFonts w:ascii="Palatino Linotype" w:hAnsi="Palatino Linotype" w:cs="Helvetica"/>
          <w:sz w:val="24"/>
        </w:rPr>
        <w:t>endor Communication &amp; Visits</w:t>
      </w:r>
      <w:bookmarkEnd w:id="10"/>
    </w:p>
    <w:p w14:paraId="23527093" w14:textId="46B33725" w:rsidR="00C743BF" w:rsidRDefault="00C743BF" w:rsidP="00776ADE">
      <w:pPr>
        <w:spacing w:line="240" w:lineRule="auto"/>
        <w:rPr>
          <w:rFonts w:ascii="Palatino Linotype" w:hAnsi="Palatino Linotype"/>
          <w:sz w:val="22"/>
          <w:szCs w:val="28"/>
        </w:rPr>
      </w:pPr>
      <w:r>
        <w:rPr>
          <w:rFonts w:ascii="Palatino Linotype" w:hAnsi="Palatino Linotype"/>
          <w:sz w:val="22"/>
          <w:szCs w:val="28"/>
        </w:rPr>
        <w:t xml:space="preserve">All cooling skids ordered from a vendor will be subject to a field shop inspection by the </w:t>
      </w:r>
      <w:r w:rsidR="00776ADE">
        <w:rPr>
          <w:rFonts w:ascii="Palatino Linotype" w:hAnsi="Palatino Linotype"/>
          <w:sz w:val="22"/>
          <w:szCs w:val="28"/>
        </w:rPr>
        <w:t xml:space="preserve">design </w:t>
      </w:r>
      <w:r>
        <w:rPr>
          <w:rFonts w:ascii="Palatino Linotype" w:hAnsi="Palatino Linotype"/>
          <w:sz w:val="22"/>
          <w:szCs w:val="28"/>
        </w:rPr>
        <w:t>mechanical and controls engineers prior to shipment.  All other mechanical items will be off-the-shelf material purchases.</w:t>
      </w:r>
    </w:p>
    <w:p w14:paraId="13BE20A6" w14:textId="12DF2574" w:rsidR="00C75F6B" w:rsidRPr="00C75F6B" w:rsidRDefault="00C75F6B" w:rsidP="00C75F6B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11" w:name="_Toc39576999"/>
      <w:r w:rsidRPr="00C75F6B">
        <w:rPr>
          <w:rFonts w:ascii="Palatino Linotype" w:hAnsi="Palatino Linotype" w:cs="Helvetica"/>
          <w:sz w:val="24"/>
        </w:rPr>
        <w:t>14.0 Control of Nonconformances</w:t>
      </w:r>
      <w:bookmarkEnd w:id="11"/>
    </w:p>
    <w:p w14:paraId="0AE591EC" w14:textId="74518889" w:rsidR="00484869" w:rsidRPr="00B56152" w:rsidRDefault="00747818" w:rsidP="00776ADE">
      <w:pPr>
        <w:spacing w:line="24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Nonconformances will be identified through inspections</w:t>
      </w:r>
      <w:r w:rsidR="00DA0A43">
        <w:rPr>
          <w:rFonts w:ascii="Palatino Linotype" w:hAnsi="Palatino Linotype"/>
          <w:sz w:val="22"/>
        </w:rPr>
        <w:t xml:space="preserve"> and shall be documented via discrepancy reports</w:t>
      </w:r>
      <w:r>
        <w:rPr>
          <w:rFonts w:ascii="Palatino Linotype" w:hAnsi="Palatino Linotype"/>
          <w:sz w:val="22"/>
        </w:rPr>
        <w:t xml:space="preserve">.  Items that fail inspection will be returned to the vendor.  The </w:t>
      </w:r>
      <w:r w:rsidR="00322802">
        <w:rPr>
          <w:rFonts w:ascii="Palatino Linotype" w:hAnsi="Palatino Linotype"/>
          <w:sz w:val="22"/>
        </w:rPr>
        <w:t xml:space="preserve">master </w:t>
      </w:r>
      <w:r>
        <w:rPr>
          <w:rFonts w:ascii="Palatino Linotype" w:hAnsi="Palatino Linotype"/>
          <w:sz w:val="22"/>
        </w:rPr>
        <w:t>tracking spreadsheet will be used to document these returns.</w:t>
      </w:r>
    </w:p>
    <w:p w14:paraId="0E53858D" w14:textId="4FEEF56E" w:rsidR="00C75F6B" w:rsidRDefault="00C75F6B" w:rsidP="00D46D3D">
      <w:pPr>
        <w:pStyle w:val="Heading1"/>
        <w:pBdr>
          <w:bottom w:val="single" w:sz="4" w:space="1" w:color="auto"/>
        </w:pBdr>
        <w:rPr>
          <w:rFonts w:ascii="Palatino Linotype" w:hAnsi="Palatino Linotype" w:cs="Helvetica"/>
          <w:sz w:val="24"/>
        </w:rPr>
      </w:pPr>
      <w:bookmarkStart w:id="12" w:name="_Toc39577000"/>
      <w:r w:rsidRPr="00C75F6B">
        <w:rPr>
          <w:rFonts w:ascii="Palatino Linotype" w:hAnsi="Palatino Linotype" w:cs="Helvetica"/>
          <w:sz w:val="24"/>
        </w:rPr>
        <w:t>15.0 Transportation/Shipping</w:t>
      </w:r>
      <w:bookmarkEnd w:id="12"/>
    </w:p>
    <w:p w14:paraId="5D9F6E18" w14:textId="50AD21C7" w:rsidR="00D46D3D" w:rsidRPr="008444FF" w:rsidRDefault="00111377" w:rsidP="00776ADE">
      <w:pPr>
        <w:spacing w:line="240" w:lineRule="auto"/>
        <w:rPr>
          <w:rFonts w:ascii="Palatino Linotype" w:hAnsi="Palatino Linotype" w:cs="Helvetica"/>
          <w:sz w:val="22"/>
          <w:szCs w:val="22"/>
        </w:rPr>
      </w:pPr>
      <w:r w:rsidRPr="008444FF">
        <w:rPr>
          <w:rFonts w:ascii="Palatino Linotype" w:hAnsi="Palatino Linotype" w:cs="Helvetica"/>
          <w:sz w:val="22"/>
          <w:szCs w:val="22"/>
        </w:rPr>
        <w:t>All materials covered by this plan will</w:t>
      </w:r>
      <w:r w:rsidR="000B7989" w:rsidRPr="008444FF">
        <w:rPr>
          <w:rFonts w:ascii="Palatino Linotype" w:hAnsi="Palatino Linotype" w:cs="Helvetica"/>
          <w:sz w:val="22"/>
          <w:szCs w:val="22"/>
        </w:rPr>
        <w:t xml:space="preserve"> require common shipping methods and packaging</w:t>
      </w:r>
      <w:r w:rsidRPr="008444FF">
        <w:rPr>
          <w:rFonts w:ascii="Palatino Linotype" w:hAnsi="Palatino Linotype" w:cs="Helvetica"/>
          <w:sz w:val="22"/>
          <w:szCs w:val="22"/>
        </w:rPr>
        <w:t xml:space="preserve"> to ensure safe and reliable transportati</w:t>
      </w:r>
      <w:bookmarkStart w:id="13" w:name="_GoBack"/>
      <w:bookmarkEnd w:id="13"/>
      <w:r w:rsidRPr="008444FF">
        <w:rPr>
          <w:rFonts w:ascii="Palatino Linotype" w:hAnsi="Palatino Linotype" w:cs="Helvetica"/>
          <w:sz w:val="22"/>
          <w:szCs w:val="22"/>
        </w:rPr>
        <w:t xml:space="preserve">on to Fermilab. </w:t>
      </w:r>
    </w:p>
    <w:p w14:paraId="4C21031A" w14:textId="03C47A2C" w:rsidR="00F60581" w:rsidRDefault="00B5525B" w:rsidP="007A1690">
      <w:pPr>
        <w:pStyle w:val="Heading2"/>
        <w:rPr>
          <w:rFonts w:ascii="Palatino Linotype" w:hAnsi="Palatino Linotype"/>
        </w:rPr>
      </w:pPr>
      <w:r w:rsidRPr="00E1505F">
        <w:rPr>
          <w:rFonts w:ascii="Palatino Linotype" w:hAnsi="Palatino Linotype"/>
        </w:rPr>
        <w:t xml:space="preserve"> </w:t>
      </w:r>
    </w:p>
    <w:p w14:paraId="238F92F9" w14:textId="56061BA5" w:rsidR="00FD310F" w:rsidRDefault="00FD310F" w:rsidP="00FD310F"/>
    <w:p w14:paraId="435F63D4" w14:textId="3D85A285" w:rsidR="00FD310F" w:rsidRDefault="00FD310F" w:rsidP="00FD310F"/>
    <w:p w14:paraId="4AB88E60" w14:textId="77777777" w:rsidR="00FD310F" w:rsidRPr="00FD310F" w:rsidRDefault="00FD310F" w:rsidP="00FD310F"/>
    <w:sectPr w:rsidR="00FD310F" w:rsidRPr="00FD310F" w:rsidSect="001D1A1A">
      <w:pgSz w:w="12240" w:h="15840"/>
      <w:pgMar w:top="1800" w:right="1440" w:bottom="1440" w:left="144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269C" w14:textId="77777777" w:rsidR="00887A73" w:rsidRDefault="00887A73" w:rsidP="008C6B3A">
      <w:r>
        <w:separator/>
      </w:r>
    </w:p>
  </w:endnote>
  <w:endnote w:type="continuationSeparator" w:id="0">
    <w:p w14:paraId="3781FAE0" w14:textId="77777777" w:rsidR="00887A73" w:rsidRDefault="00887A73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9633" w14:textId="77777777" w:rsidR="00484869" w:rsidRDefault="00484869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B1863" w14:textId="77777777" w:rsidR="00484869" w:rsidRDefault="00484869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ABA8" w14:textId="77777777" w:rsidR="00484869" w:rsidRPr="00ED6DFD" w:rsidRDefault="00484869" w:rsidP="00A24CF7">
    <w:pPr>
      <w:pStyle w:val="Footer2"/>
      <w:tabs>
        <w:tab w:val="center" w:pos="4680"/>
        <w:tab w:val="right" w:pos="10350"/>
      </w:tabs>
      <w:spacing w:after="60"/>
      <w:ind w:left="-96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4</w:t>
    </w:r>
    <w:r w:rsidRPr="00ED6DFD">
      <w:rPr>
        <w:rStyle w:val="PageNumber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0E20" w14:textId="77777777" w:rsidR="00111377" w:rsidRDefault="0011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5379" w14:textId="77777777" w:rsidR="00887A73" w:rsidRDefault="00887A73" w:rsidP="008C6B3A">
      <w:r>
        <w:separator/>
      </w:r>
    </w:p>
  </w:footnote>
  <w:footnote w:type="continuationSeparator" w:id="0">
    <w:p w14:paraId="03C648D6" w14:textId="77777777" w:rsidR="00887A73" w:rsidRDefault="00887A73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BFDA" w14:textId="02416973" w:rsidR="00484869" w:rsidRDefault="00A232BE" w:rsidP="00ED6DFD">
    <w:pPr>
      <w:pStyle w:val="Header"/>
    </w:pPr>
    <w:r>
      <w:rPr>
        <w:noProof/>
      </w:rPr>
      <w:pict w14:anchorId="699E8A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64235" o:spid="_x0000_s2050" type="#_x0000_t136" style="position:absolute;left:0;text-align:left;margin-left:0;margin-top:0;width:527.9pt;height:131.95pt;rotation:315;z-index:-251652096;mso-position-horizontal:center;mso-position-horizontal-relative:margin;mso-position-vertical:center;mso-position-vertical-relative:margin" o:allowincell="f" fillcolor="#e5dfec [663]" stroked="f">
          <v:fill opacity=".5"/>
          <v:textpath style="font-family:&quot;Lucida Sans&quot;;font-size:1pt" string="DRAFT"/>
          <w10:wrap anchorx="margin" anchory="margin"/>
        </v:shape>
      </w:pict>
    </w:r>
    <w:r w:rsidR="00484869">
      <w:t>[Type text]</w:t>
    </w:r>
    <w:r w:rsidR="00484869">
      <w:rPr>
        <w:color w:val="auto"/>
      </w:rPr>
      <w:tab/>
    </w:r>
    <w:r w:rsidR="00484869">
      <w:t>[Type text]</w:t>
    </w:r>
    <w:r w:rsidR="00484869">
      <w:rPr>
        <w:color w:val="auto"/>
      </w:rPr>
      <w:tab/>
    </w:r>
    <w:r w:rsidR="00484869">
      <w:t>[Type text]</w:t>
    </w:r>
  </w:p>
  <w:p w14:paraId="51B20FE5" w14:textId="77777777" w:rsidR="00484869" w:rsidRDefault="00484869" w:rsidP="00ED6DFD">
    <w:pPr>
      <w:pStyle w:val="Header"/>
    </w:pPr>
    <w:r>
      <w:t>[Type text]</w:t>
    </w:r>
    <w:r>
      <w:tab/>
      <w:t>[Type text]</w:t>
    </w:r>
    <w:r>
      <w:tab/>
      <w:t>[Type text]</w:t>
    </w:r>
  </w:p>
  <w:p w14:paraId="3718AE37" w14:textId="77777777" w:rsidR="00484869" w:rsidRDefault="00484869" w:rsidP="00ED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14C" w14:textId="266F1B69" w:rsidR="00484869" w:rsidRPr="00ED6DFD" w:rsidRDefault="00A232BE" w:rsidP="00ED6DFD">
    <w:pPr>
      <w:pStyle w:val="Header"/>
      <w:rPr>
        <w:color w:val="auto"/>
      </w:rPr>
    </w:pPr>
    <w:r>
      <w:rPr>
        <w:noProof/>
      </w:rPr>
      <w:pict w14:anchorId="2FEBAF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64236" o:spid="_x0000_s2051" type="#_x0000_t136" style="position:absolute;left:0;text-align:left;margin-left:0;margin-top:0;width:527.9pt;height:131.95pt;rotation:315;z-index:-251650048;mso-position-horizontal:center;mso-position-horizontal-relative:margin;mso-position-vertical:center;mso-position-vertical-relative:margin" o:allowincell="f" fillcolor="#e5dfec [663]" stroked="f">
          <v:fill opacity=".5"/>
          <v:textpath style="font-family:&quot;Lucida Sans&quot;;font-size:1pt" string="DRAFT"/>
          <w10:wrap anchorx="margin" anchory="margin"/>
        </v:shape>
      </w:pict>
    </w:r>
    <w:r w:rsidR="00484869">
      <w:rPr>
        <w:noProof/>
      </w:rPr>
      <w:drawing>
        <wp:anchor distT="0" distB="0" distL="114300" distR="114300" simplePos="0" relativeHeight="251663360" behindDoc="1" locked="0" layoutInCell="1" allowOverlap="1" wp14:anchorId="3682F82A" wp14:editId="59773B26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3" name="Picture 3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1093" w:type="dxa"/>
      <w:tblInd w:w="-90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223"/>
      <w:gridCol w:w="2107"/>
      <w:gridCol w:w="7763"/>
    </w:tblGrid>
    <w:tr w:rsidR="00484869" w:rsidRPr="000C7D27" w14:paraId="0A35EF54" w14:textId="77777777" w:rsidTr="00E67AC2">
      <w:trPr>
        <w:trHeight w:val="527"/>
      </w:trPr>
      <w:tc>
        <w:tcPr>
          <w:tcW w:w="1223" w:type="dxa"/>
          <w:vMerge w:val="restart"/>
          <w:vAlign w:val="center"/>
        </w:tcPr>
        <w:p w14:paraId="512F9D4A" w14:textId="77777777" w:rsidR="00484869" w:rsidRPr="005E0EED" w:rsidRDefault="00484869" w:rsidP="006C743F">
          <w:pPr>
            <w:spacing w:before="20" w:after="20"/>
            <w:jc w:val="center"/>
            <w:rPr>
              <w:rFonts w:cs="Arial"/>
              <w:b/>
              <w:color w:val="000000" w:themeColor="text1"/>
              <w:sz w:val="24"/>
            </w:rPr>
          </w:pPr>
          <w:r w:rsidRPr="005E0EED">
            <w:rPr>
              <w:rFonts w:cs="Arial"/>
              <w:b/>
              <w:noProof/>
              <w:color w:val="000000" w:themeColor="text1"/>
              <w:sz w:val="24"/>
            </w:rPr>
            <w:t>PIP-II</w:t>
          </w:r>
        </w:p>
      </w:tc>
      <w:tc>
        <w:tcPr>
          <w:tcW w:w="9870" w:type="dxa"/>
          <w:gridSpan w:val="2"/>
          <w:shd w:val="clear" w:color="auto" w:fill="C6D9F1" w:themeFill="text2" w:themeFillTint="33"/>
          <w:vAlign w:val="center"/>
        </w:tcPr>
        <w:p w14:paraId="2AB20350" w14:textId="0CD15975" w:rsidR="00484869" w:rsidRPr="005E0EED" w:rsidRDefault="00484869" w:rsidP="006C743F">
          <w:pPr>
            <w:spacing w:before="20" w:after="20"/>
            <w:rPr>
              <w:rFonts w:cs="Arial"/>
              <w:b/>
              <w:color w:val="000000" w:themeColor="text1"/>
            </w:rPr>
          </w:pPr>
        </w:p>
      </w:tc>
    </w:tr>
    <w:tr w:rsidR="00484869" w:rsidRPr="000C7D27" w14:paraId="7F63754C" w14:textId="77777777" w:rsidTr="00E67AC2">
      <w:trPr>
        <w:trHeight w:val="288"/>
      </w:trPr>
      <w:tc>
        <w:tcPr>
          <w:tcW w:w="1223" w:type="dxa"/>
          <w:vMerge/>
          <w:vAlign w:val="center"/>
        </w:tcPr>
        <w:p w14:paraId="522B2622" w14:textId="77777777" w:rsidR="00484869" w:rsidRPr="005E0EED" w:rsidRDefault="00484869" w:rsidP="006C743F">
          <w:pPr>
            <w:spacing w:before="20" w:after="20"/>
            <w:rPr>
              <w:rFonts w:cs="Arial"/>
              <w:color w:val="000000" w:themeColor="text1"/>
            </w:rPr>
          </w:pPr>
        </w:p>
      </w:tc>
      <w:tc>
        <w:tcPr>
          <w:tcW w:w="2107" w:type="dxa"/>
          <w:vAlign w:val="center"/>
        </w:tcPr>
        <w:p w14:paraId="5C62BE2B" w14:textId="77777777" w:rsidR="00484869" w:rsidRPr="005E0EED" w:rsidRDefault="00484869" w:rsidP="006C743F">
          <w:pPr>
            <w:pStyle w:val="BoldTableHeading"/>
            <w:spacing w:before="20" w:after="20"/>
            <w:ind w:left="1647" w:hanging="1647"/>
            <w:rPr>
              <w:rFonts w:cs="Arial"/>
              <w:color w:val="000000" w:themeColor="text1"/>
            </w:rPr>
          </w:pPr>
          <w:r w:rsidRPr="005E0EED">
            <w:rPr>
              <w:rFonts w:cs="Arial"/>
              <w:color w:val="000000" w:themeColor="text1"/>
            </w:rPr>
            <w:t xml:space="preserve">Document Title:  </w:t>
          </w:r>
        </w:p>
      </w:tc>
      <w:tc>
        <w:tcPr>
          <w:tcW w:w="7763" w:type="dxa"/>
          <w:vAlign w:val="center"/>
        </w:tcPr>
        <w:p w14:paraId="53264CF7" w14:textId="20E54CEA" w:rsidR="00484869" w:rsidRPr="005E0EED" w:rsidRDefault="00484869" w:rsidP="00937DA7">
          <w:pPr>
            <w:pStyle w:val="BoldTableHeading"/>
            <w:spacing w:before="20" w:after="20"/>
            <w:ind w:left="1647" w:hanging="1647"/>
            <w:rPr>
              <w:rFonts w:cs="Arial"/>
              <w:color w:val="000000" w:themeColor="text1"/>
            </w:rPr>
          </w:pPr>
          <w:r w:rsidRPr="00937DA7">
            <w:rPr>
              <w:rFonts w:cs="Arial"/>
              <w:color w:val="000000" w:themeColor="text1"/>
            </w:rPr>
            <w:t xml:space="preserve">PIP-II </w:t>
          </w:r>
          <w:r w:rsidR="00111377">
            <w:rPr>
              <w:rFonts w:cs="Arial"/>
              <w:color w:val="000000" w:themeColor="text1"/>
            </w:rPr>
            <w:t>Building Infrastructure Materials</w:t>
          </w:r>
          <w:r w:rsidR="008762BE">
            <w:rPr>
              <w:rFonts w:cs="Arial"/>
              <w:i/>
              <w:iCs/>
              <w:color w:val="000000" w:themeColor="text1"/>
            </w:rPr>
            <w:t xml:space="preserve"> </w:t>
          </w:r>
          <w:r w:rsidR="007A1690">
            <w:rPr>
              <w:rFonts w:cs="Arial"/>
              <w:color w:val="000000" w:themeColor="text1"/>
            </w:rPr>
            <w:t>Quality Control Plan</w:t>
          </w:r>
        </w:p>
      </w:tc>
    </w:tr>
    <w:tr w:rsidR="00484869" w:rsidRPr="000C7D27" w14:paraId="462AC2C0" w14:textId="77777777" w:rsidTr="00E67AC2">
      <w:trPr>
        <w:trHeight w:val="410"/>
      </w:trPr>
      <w:tc>
        <w:tcPr>
          <w:tcW w:w="1223" w:type="dxa"/>
          <w:vMerge/>
          <w:vAlign w:val="center"/>
        </w:tcPr>
        <w:p w14:paraId="2597CF16" w14:textId="77777777" w:rsidR="00484869" w:rsidRPr="005E0EED" w:rsidRDefault="00484869" w:rsidP="006C743F">
          <w:pPr>
            <w:spacing w:before="20" w:after="20"/>
            <w:rPr>
              <w:rFonts w:cs="Arial"/>
              <w:color w:val="000000" w:themeColor="text1"/>
              <w:sz w:val="14"/>
              <w:szCs w:val="14"/>
            </w:rPr>
          </w:pPr>
        </w:p>
      </w:tc>
      <w:tc>
        <w:tcPr>
          <w:tcW w:w="2107" w:type="dxa"/>
          <w:vAlign w:val="center"/>
        </w:tcPr>
        <w:p w14:paraId="4BF036D0" w14:textId="77777777" w:rsidR="00484869" w:rsidRPr="005E0EED" w:rsidRDefault="00484869" w:rsidP="006C743F">
          <w:pPr>
            <w:pStyle w:val="BoldTableHeading"/>
            <w:spacing w:before="20" w:after="20"/>
            <w:ind w:left="1647" w:hanging="1647"/>
            <w:rPr>
              <w:rFonts w:cs="Arial"/>
              <w:color w:val="000000" w:themeColor="text1"/>
            </w:rPr>
          </w:pPr>
          <w:r w:rsidRPr="005E0EED">
            <w:rPr>
              <w:rFonts w:cs="Arial"/>
              <w:color w:val="000000" w:themeColor="text1"/>
            </w:rPr>
            <w:t xml:space="preserve">Document Number:  </w:t>
          </w:r>
        </w:p>
      </w:tc>
      <w:tc>
        <w:tcPr>
          <w:tcW w:w="7763" w:type="dxa"/>
          <w:vAlign w:val="center"/>
        </w:tcPr>
        <w:p w14:paraId="5973AFC3" w14:textId="1C7A7CF1" w:rsidR="00484869" w:rsidRPr="005E0EED" w:rsidRDefault="0078612F" w:rsidP="00033F48">
          <w:pPr>
            <w:pStyle w:val="CommentFieldText"/>
            <w:spacing w:before="20" w:after="20"/>
            <w:rPr>
              <w:color w:val="000000" w:themeColor="text1"/>
            </w:rPr>
          </w:pPr>
          <w:r w:rsidRPr="003B6D11">
            <w:rPr>
              <w:color w:val="000000" w:themeColor="text1"/>
            </w:rPr>
            <w:t>PIP-II-Doc-</w:t>
          </w:r>
          <w:proofErr w:type="spellStart"/>
          <w:r w:rsidRPr="003B6D11">
            <w:rPr>
              <w:color w:val="000000" w:themeColor="text1"/>
            </w:rPr>
            <w:t>xxxx</w:t>
          </w:r>
          <w:proofErr w:type="spellEnd"/>
        </w:p>
      </w:tc>
    </w:tr>
  </w:tbl>
  <w:p w14:paraId="6035E189" w14:textId="47FDDBCF" w:rsidR="00484869" w:rsidRPr="00ED6DFD" w:rsidRDefault="00484869" w:rsidP="00ED6DFD">
    <w:pPr>
      <w:pStyle w:val="Header"/>
    </w:pPr>
    <w:r w:rsidRPr="00ED6DFD">
      <w:rPr>
        <w:color w:val="auto"/>
      </w:rPr>
      <w:tab/>
    </w:r>
    <w:r w:rsidRPr="00ED6DFD">
      <w:rPr>
        <w:color w:val="auto"/>
      </w:rPr>
      <w:tab/>
      <w:t xml:space="preserve"> </w:t>
    </w:r>
  </w:p>
  <w:p w14:paraId="0E1A3D8F" w14:textId="77777777" w:rsidR="00484869" w:rsidRPr="00A24CF7" w:rsidRDefault="00484869" w:rsidP="00ED6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1DA5" w14:textId="693AA912" w:rsidR="00484869" w:rsidRDefault="00A232BE" w:rsidP="00ED6DFD">
    <w:pPr>
      <w:pStyle w:val="Header"/>
    </w:pPr>
    <w:r>
      <w:rPr>
        <w:noProof/>
      </w:rPr>
      <w:pict w14:anchorId="2C879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64234" o:spid="_x0000_s2049" type="#_x0000_t136" style="position:absolute;left:0;text-align:left;margin-left:0;margin-top:0;width:527.9pt;height:131.95pt;rotation:315;z-index:-251654144;mso-position-horizontal:center;mso-position-horizontal-relative:margin;mso-position-vertical:center;mso-position-vertical-relative:margin" o:allowincell="f" fillcolor="#e5dfec [663]" stroked="f">
          <v:fill opacity=".5"/>
          <v:textpath style="font-family:&quot;Lucida Sans&quot;;font-size:1pt" string="DRAFT"/>
          <w10:wrap anchorx="margin" anchory="margin"/>
        </v:shape>
      </w:pict>
    </w:r>
    <w:r w:rsidR="00484869">
      <w:rPr>
        <w:noProof/>
      </w:rPr>
      <w:drawing>
        <wp:anchor distT="0" distB="0" distL="114300" distR="114300" simplePos="0" relativeHeight="251657216" behindDoc="1" locked="0" layoutInCell="1" allowOverlap="1" wp14:anchorId="4E24FD1E" wp14:editId="415817FC">
          <wp:simplePos x="0" y="0"/>
          <wp:positionH relativeFrom="column">
            <wp:posOffset>-913765</wp:posOffset>
          </wp:positionH>
          <wp:positionV relativeFrom="paragraph">
            <wp:posOffset>-273685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B0F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747A"/>
    <w:multiLevelType w:val="hybridMultilevel"/>
    <w:tmpl w:val="9C0A94B2"/>
    <w:lvl w:ilvl="0" w:tplc="C49AC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7FE1"/>
    <w:multiLevelType w:val="hybridMultilevel"/>
    <w:tmpl w:val="FB1E3A1C"/>
    <w:lvl w:ilvl="0" w:tplc="87787E7C">
      <w:start w:val="121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650"/>
    <w:multiLevelType w:val="hybridMultilevel"/>
    <w:tmpl w:val="A2C26028"/>
    <w:lvl w:ilvl="0" w:tplc="FFC24C68">
      <w:start w:val="121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52C"/>
    <w:multiLevelType w:val="hybridMultilevel"/>
    <w:tmpl w:val="0D3CF1EE"/>
    <w:lvl w:ilvl="0" w:tplc="70862E84">
      <w:start w:val="4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D23"/>
    <w:multiLevelType w:val="hybridMultilevel"/>
    <w:tmpl w:val="DE68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03B"/>
    <w:multiLevelType w:val="hybridMultilevel"/>
    <w:tmpl w:val="7868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795B"/>
    <w:multiLevelType w:val="hybridMultilevel"/>
    <w:tmpl w:val="9C3AF19C"/>
    <w:lvl w:ilvl="0" w:tplc="F8B004EE">
      <w:start w:val="4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A06BD"/>
    <w:multiLevelType w:val="hybridMultilevel"/>
    <w:tmpl w:val="4FD65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862BA"/>
    <w:multiLevelType w:val="hybridMultilevel"/>
    <w:tmpl w:val="B6F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66BD"/>
    <w:multiLevelType w:val="hybridMultilevel"/>
    <w:tmpl w:val="C9BE1B84"/>
    <w:lvl w:ilvl="0" w:tplc="FBB285FE">
      <w:start w:val="1"/>
      <w:numFmt w:val="decimal"/>
      <w:lvlText w:val="%1."/>
      <w:lvlJc w:val="left"/>
      <w:pPr>
        <w:ind w:left="2072" w:hanging="17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C3F"/>
    <w:multiLevelType w:val="hybridMultilevel"/>
    <w:tmpl w:val="DEEED450"/>
    <w:lvl w:ilvl="0" w:tplc="9E049A5A">
      <w:start w:val="121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7BEB"/>
    <w:multiLevelType w:val="hybridMultilevel"/>
    <w:tmpl w:val="B0AC2948"/>
    <w:lvl w:ilvl="0" w:tplc="A4C83466">
      <w:start w:val="121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16DB2"/>
    <w:multiLevelType w:val="hybridMultilevel"/>
    <w:tmpl w:val="4BA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B380C"/>
    <w:multiLevelType w:val="hybridMultilevel"/>
    <w:tmpl w:val="D9EA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54BDE"/>
    <w:multiLevelType w:val="multilevel"/>
    <w:tmpl w:val="6C300568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6" w15:restartNumberingAfterBreak="0">
    <w:nsid w:val="59960BD2"/>
    <w:multiLevelType w:val="hybridMultilevel"/>
    <w:tmpl w:val="067892A2"/>
    <w:lvl w:ilvl="0" w:tplc="E33E6C8E">
      <w:start w:val="4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018D9"/>
    <w:multiLevelType w:val="hybridMultilevel"/>
    <w:tmpl w:val="125E178C"/>
    <w:lvl w:ilvl="0" w:tplc="9AB45A2E">
      <w:start w:val="4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274D3"/>
    <w:multiLevelType w:val="hybridMultilevel"/>
    <w:tmpl w:val="17162AA6"/>
    <w:lvl w:ilvl="0" w:tplc="33BE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23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BDE0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EA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2B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BCAA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89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AE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DF6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5604D"/>
    <w:multiLevelType w:val="hybridMultilevel"/>
    <w:tmpl w:val="13D05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116B1"/>
    <w:multiLevelType w:val="hybridMultilevel"/>
    <w:tmpl w:val="8ADC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96A"/>
    <w:multiLevelType w:val="hybridMultilevel"/>
    <w:tmpl w:val="9578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13"/>
  </w:num>
  <w:num w:numId="6">
    <w:abstractNumId w:val="9"/>
  </w:num>
  <w:num w:numId="7">
    <w:abstractNumId w:val="18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16"/>
  </w:num>
  <w:num w:numId="15">
    <w:abstractNumId w:val="17"/>
  </w:num>
  <w:num w:numId="16">
    <w:abstractNumId w:val="1"/>
  </w:num>
  <w:num w:numId="17">
    <w:abstractNumId w:val="19"/>
  </w:num>
  <w:num w:numId="18">
    <w:abstractNumId w:val="14"/>
  </w:num>
  <w:num w:numId="19">
    <w:abstractNumId w:val="6"/>
  </w:num>
  <w:num w:numId="20">
    <w:abstractNumId w:val="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6F10CE"/>
    <w:rsid w:val="0001249B"/>
    <w:rsid w:val="0001499F"/>
    <w:rsid w:val="00015C3B"/>
    <w:rsid w:val="000254D4"/>
    <w:rsid w:val="00026476"/>
    <w:rsid w:val="00033035"/>
    <w:rsid w:val="00033F48"/>
    <w:rsid w:val="000363E4"/>
    <w:rsid w:val="00041337"/>
    <w:rsid w:val="000414EB"/>
    <w:rsid w:val="0004685C"/>
    <w:rsid w:val="000477A2"/>
    <w:rsid w:val="00050A5A"/>
    <w:rsid w:val="00056AFB"/>
    <w:rsid w:val="000574E4"/>
    <w:rsid w:val="00066836"/>
    <w:rsid w:val="00067F4F"/>
    <w:rsid w:val="00070789"/>
    <w:rsid w:val="000732C6"/>
    <w:rsid w:val="00073E6B"/>
    <w:rsid w:val="00075430"/>
    <w:rsid w:val="00076FBE"/>
    <w:rsid w:val="0009068F"/>
    <w:rsid w:val="000B1E7A"/>
    <w:rsid w:val="000B40F6"/>
    <w:rsid w:val="000B6145"/>
    <w:rsid w:val="000B7989"/>
    <w:rsid w:val="000C1B93"/>
    <w:rsid w:val="000D1025"/>
    <w:rsid w:val="000E127A"/>
    <w:rsid w:val="000E380B"/>
    <w:rsid w:val="000F1653"/>
    <w:rsid w:val="00105DC5"/>
    <w:rsid w:val="001107F7"/>
    <w:rsid w:val="00111377"/>
    <w:rsid w:val="001132BC"/>
    <w:rsid w:val="00114B67"/>
    <w:rsid w:val="00134954"/>
    <w:rsid w:val="00137212"/>
    <w:rsid w:val="00154951"/>
    <w:rsid w:val="001602A7"/>
    <w:rsid w:val="00170C35"/>
    <w:rsid w:val="00172F94"/>
    <w:rsid w:val="00175056"/>
    <w:rsid w:val="0018043F"/>
    <w:rsid w:val="001853BD"/>
    <w:rsid w:val="001937B1"/>
    <w:rsid w:val="001955A2"/>
    <w:rsid w:val="001B3A34"/>
    <w:rsid w:val="001B66B2"/>
    <w:rsid w:val="001C1FC3"/>
    <w:rsid w:val="001C27E4"/>
    <w:rsid w:val="001C5A9B"/>
    <w:rsid w:val="001C6F5E"/>
    <w:rsid w:val="001D1A1A"/>
    <w:rsid w:val="001E2492"/>
    <w:rsid w:val="00203B54"/>
    <w:rsid w:val="00204AE4"/>
    <w:rsid w:val="002067C9"/>
    <w:rsid w:val="00212331"/>
    <w:rsid w:val="002139FE"/>
    <w:rsid w:val="002146C2"/>
    <w:rsid w:val="00224C1B"/>
    <w:rsid w:val="002278FB"/>
    <w:rsid w:val="002344A2"/>
    <w:rsid w:val="00245F3F"/>
    <w:rsid w:val="00254955"/>
    <w:rsid w:val="002552D0"/>
    <w:rsid w:val="002554CE"/>
    <w:rsid w:val="00255615"/>
    <w:rsid w:val="00256776"/>
    <w:rsid w:val="002625AE"/>
    <w:rsid w:val="002641D3"/>
    <w:rsid w:val="00267C55"/>
    <w:rsid w:val="002706DD"/>
    <w:rsid w:val="0028020F"/>
    <w:rsid w:val="00282EBB"/>
    <w:rsid w:val="0029130C"/>
    <w:rsid w:val="002A11D7"/>
    <w:rsid w:val="002E0A16"/>
    <w:rsid w:val="002E361C"/>
    <w:rsid w:val="00304152"/>
    <w:rsid w:val="00312A32"/>
    <w:rsid w:val="00322802"/>
    <w:rsid w:val="00331216"/>
    <w:rsid w:val="00334AFB"/>
    <w:rsid w:val="00342BD6"/>
    <w:rsid w:val="00347594"/>
    <w:rsid w:val="003610FF"/>
    <w:rsid w:val="00362CD0"/>
    <w:rsid w:val="00385BC7"/>
    <w:rsid w:val="00392FC1"/>
    <w:rsid w:val="003971CB"/>
    <w:rsid w:val="003A0651"/>
    <w:rsid w:val="003A37BA"/>
    <w:rsid w:val="003A7E1E"/>
    <w:rsid w:val="003B22E3"/>
    <w:rsid w:val="003B744E"/>
    <w:rsid w:val="003C5A3A"/>
    <w:rsid w:val="003D56D7"/>
    <w:rsid w:val="003F2ED1"/>
    <w:rsid w:val="003F55EA"/>
    <w:rsid w:val="00400BA2"/>
    <w:rsid w:val="004168EA"/>
    <w:rsid w:val="00422088"/>
    <w:rsid w:val="004339CA"/>
    <w:rsid w:val="0043748E"/>
    <w:rsid w:val="0043790C"/>
    <w:rsid w:val="00453FDF"/>
    <w:rsid w:val="00455FA9"/>
    <w:rsid w:val="0045717D"/>
    <w:rsid w:val="00467534"/>
    <w:rsid w:val="0047512B"/>
    <w:rsid w:val="00484869"/>
    <w:rsid w:val="00491EA3"/>
    <w:rsid w:val="00492DE9"/>
    <w:rsid w:val="00495A2C"/>
    <w:rsid w:val="004D3ED7"/>
    <w:rsid w:val="004D78D0"/>
    <w:rsid w:val="004E76EB"/>
    <w:rsid w:val="004F3B66"/>
    <w:rsid w:val="004F3C6E"/>
    <w:rsid w:val="005019B3"/>
    <w:rsid w:val="00507182"/>
    <w:rsid w:val="00534053"/>
    <w:rsid w:val="00534410"/>
    <w:rsid w:val="00540410"/>
    <w:rsid w:val="00540A46"/>
    <w:rsid w:val="00542A6E"/>
    <w:rsid w:val="005454C8"/>
    <w:rsid w:val="00546808"/>
    <w:rsid w:val="0054718A"/>
    <w:rsid w:val="0055178D"/>
    <w:rsid w:val="0055568A"/>
    <w:rsid w:val="0056051B"/>
    <w:rsid w:val="005608F3"/>
    <w:rsid w:val="005833B9"/>
    <w:rsid w:val="00584409"/>
    <w:rsid w:val="005849FF"/>
    <w:rsid w:val="00596237"/>
    <w:rsid w:val="00597C5C"/>
    <w:rsid w:val="005A315A"/>
    <w:rsid w:val="005A536A"/>
    <w:rsid w:val="005A57D9"/>
    <w:rsid w:val="005B4499"/>
    <w:rsid w:val="005B5B8D"/>
    <w:rsid w:val="005B6283"/>
    <w:rsid w:val="005B6AA7"/>
    <w:rsid w:val="005B6C85"/>
    <w:rsid w:val="005C1475"/>
    <w:rsid w:val="005C311B"/>
    <w:rsid w:val="005F25A8"/>
    <w:rsid w:val="005F524C"/>
    <w:rsid w:val="00601C48"/>
    <w:rsid w:val="00601E5B"/>
    <w:rsid w:val="00602E46"/>
    <w:rsid w:val="00604E19"/>
    <w:rsid w:val="006053B0"/>
    <w:rsid w:val="00610913"/>
    <w:rsid w:val="00611DD3"/>
    <w:rsid w:val="00645DBD"/>
    <w:rsid w:val="0064657C"/>
    <w:rsid w:val="0065013C"/>
    <w:rsid w:val="00653C48"/>
    <w:rsid w:val="006564BD"/>
    <w:rsid w:val="0066168E"/>
    <w:rsid w:val="00680A20"/>
    <w:rsid w:val="00696033"/>
    <w:rsid w:val="006A3373"/>
    <w:rsid w:val="006B251C"/>
    <w:rsid w:val="006C53F4"/>
    <w:rsid w:val="006C743F"/>
    <w:rsid w:val="006E5B2C"/>
    <w:rsid w:val="006F10CE"/>
    <w:rsid w:val="006F2319"/>
    <w:rsid w:val="006F5D70"/>
    <w:rsid w:val="007126EC"/>
    <w:rsid w:val="00720FD4"/>
    <w:rsid w:val="0072659D"/>
    <w:rsid w:val="00726EFE"/>
    <w:rsid w:val="00732A23"/>
    <w:rsid w:val="00733D8E"/>
    <w:rsid w:val="00735AF2"/>
    <w:rsid w:val="00737B3B"/>
    <w:rsid w:val="00747818"/>
    <w:rsid w:val="00763ECC"/>
    <w:rsid w:val="007640A1"/>
    <w:rsid w:val="00770CDD"/>
    <w:rsid w:val="00773545"/>
    <w:rsid w:val="00776ADE"/>
    <w:rsid w:val="00782213"/>
    <w:rsid w:val="00782339"/>
    <w:rsid w:val="0078612F"/>
    <w:rsid w:val="007A1690"/>
    <w:rsid w:val="007A568C"/>
    <w:rsid w:val="007B05C5"/>
    <w:rsid w:val="007B41D9"/>
    <w:rsid w:val="007B5B02"/>
    <w:rsid w:val="007B5CC5"/>
    <w:rsid w:val="007C4CFE"/>
    <w:rsid w:val="007D1EE0"/>
    <w:rsid w:val="007D60D4"/>
    <w:rsid w:val="007D753F"/>
    <w:rsid w:val="007E5AFC"/>
    <w:rsid w:val="007E5E4E"/>
    <w:rsid w:val="007E7DF8"/>
    <w:rsid w:val="007F442C"/>
    <w:rsid w:val="007F51F0"/>
    <w:rsid w:val="008047B7"/>
    <w:rsid w:val="00814779"/>
    <w:rsid w:val="00816B35"/>
    <w:rsid w:val="00820E6B"/>
    <w:rsid w:val="00821A60"/>
    <w:rsid w:val="008247C7"/>
    <w:rsid w:val="00827CF0"/>
    <w:rsid w:val="00827E7A"/>
    <w:rsid w:val="00830F30"/>
    <w:rsid w:val="00831EEC"/>
    <w:rsid w:val="008325DE"/>
    <w:rsid w:val="00835B8F"/>
    <w:rsid w:val="008408CE"/>
    <w:rsid w:val="00840BBF"/>
    <w:rsid w:val="008444FF"/>
    <w:rsid w:val="008455C1"/>
    <w:rsid w:val="00845ABE"/>
    <w:rsid w:val="00852CF1"/>
    <w:rsid w:val="0085669D"/>
    <w:rsid w:val="008622CB"/>
    <w:rsid w:val="008673C6"/>
    <w:rsid w:val="00867641"/>
    <w:rsid w:val="00871778"/>
    <w:rsid w:val="00875918"/>
    <w:rsid w:val="008762BE"/>
    <w:rsid w:val="0087664A"/>
    <w:rsid w:val="008766AB"/>
    <w:rsid w:val="008805F3"/>
    <w:rsid w:val="00885A1B"/>
    <w:rsid w:val="00887A73"/>
    <w:rsid w:val="00887E5F"/>
    <w:rsid w:val="00891C92"/>
    <w:rsid w:val="0089478E"/>
    <w:rsid w:val="008A4793"/>
    <w:rsid w:val="008B1172"/>
    <w:rsid w:val="008B4CFE"/>
    <w:rsid w:val="008B6A8B"/>
    <w:rsid w:val="008C0CC6"/>
    <w:rsid w:val="008C6B3A"/>
    <w:rsid w:val="008D3005"/>
    <w:rsid w:val="008D5FB5"/>
    <w:rsid w:val="008E0F57"/>
    <w:rsid w:val="008E66BE"/>
    <w:rsid w:val="008F7525"/>
    <w:rsid w:val="0090180C"/>
    <w:rsid w:val="00905AF8"/>
    <w:rsid w:val="00914080"/>
    <w:rsid w:val="00916B3E"/>
    <w:rsid w:val="00937DA7"/>
    <w:rsid w:val="00940E21"/>
    <w:rsid w:val="009416DF"/>
    <w:rsid w:val="009437F7"/>
    <w:rsid w:val="0094623C"/>
    <w:rsid w:val="00947549"/>
    <w:rsid w:val="00947C1F"/>
    <w:rsid w:val="0095124B"/>
    <w:rsid w:val="00957B36"/>
    <w:rsid w:val="009A4119"/>
    <w:rsid w:val="009A553A"/>
    <w:rsid w:val="009A5DA0"/>
    <w:rsid w:val="009B241C"/>
    <w:rsid w:val="009B3C4D"/>
    <w:rsid w:val="009C1A25"/>
    <w:rsid w:val="009D2773"/>
    <w:rsid w:val="009D5F98"/>
    <w:rsid w:val="009E59D9"/>
    <w:rsid w:val="009E6B60"/>
    <w:rsid w:val="009F7702"/>
    <w:rsid w:val="00A0409C"/>
    <w:rsid w:val="00A0582C"/>
    <w:rsid w:val="00A065A6"/>
    <w:rsid w:val="00A06EFF"/>
    <w:rsid w:val="00A1084F"/>
    <w:rsid w:val="00A131A9"/>
    <w:rsid w:val="00A15FD5"/>
    <w:rsid w:val="00A164D6"/>
    <w:rsid w:val="00A16910"/>
    <w:rsid w:val="00A1713B"/>
    <w:rsid w:val="00A2027D"/>
    <w:rsid w:val="00A232BE"/>
    <w:rsid w:val="00A24B9F"/>
    <w:rsid w:val="00A24CF7"/>
    <w:rsid w:val="00A25877"/>
    <w:rsid w:val="00A35C76"/>
    <w:rsid w:val="00A42842"/>
    <w:rsid w:val="00A46A32"/>
    <w:rsid w:val="00A5162D"/>
    <w:rsid w:val="00A52397"/>
    <w:rsid w:val="00A54F34"/>
    <w:rsid w:val="00A60051"/>
    <w:rsid w:val="00A74EB3"/>
    <w:rsid w:val="00A84F05"/>
    <w:rsid w:val="00A90405"/>
    <w:rsid w:val="00A91602"/>
    <w:rsid w:val="00A97999"/>
    <w:rsid w:val="00AA1727"/>
    <w:rsid w:val="00AA7C7D"/>
    <w:rsid w:val="00AB6648"/>
    <w:rsid w:val="00AB7892"/>
    <w:rsid w:val="00AC0CB8"/>
    <w:rsid w:val="00AF10CA"/>
    <w:rsid w:val="00AF3E4B"/>
    <w:rsid w:val="00B10A13"/>
    <w:rsid w:val="00B10BB0"/>
    <w:rsid w:val="00B10E94"/>
    <w:rsid w:val="00B11637"/>
    <w:rsid w:val="00B1702C"/>
    <w:rsid w:val="00B226D5"/>
    <w:rsid w:val="00B24F16"/>
    <w:rsid w:val="00B25406"/>
    <w:rsid w:val="00B25931"/>
    <w:rsid w:val="00B25B79"/>
    <w:rsid w:val="00B2722B"/>
    <w:rsid w:val="00B336BC"/>
    <w:rsid w:val="00B33B89"/>
    <w:rsid w:val="00B37F2D"/>
    <w:rsid w:val="00B409FB"/>
    <w:rsid w:val="00B4298F"/>
    <w:rsid w:val="00B4573F"/>
    <w:rsid w:val="00B47F54"/>
    <w:rsid w:val="00B5525B"/>
    <w:rsid w:val="00B56152"/>
    <w:rsid w:val="00B56AB4"/>
    <w:rsid w:val="00B6495B"/>
    <w:rsid w:val="00B653D6"/>
    <w:rsid w:val="00B70A57"/>
    <w:rsid w:val="00B75345"/>
    <w:rsid w:val="00B76B06"/>
    <w:rsid w:val="00B9096C"/>
    <w:rsid w:val="00B95548"/>
    <w:rsid w:val="00B95FB3"/>
    <w:rsid w:val="00BA20EE"/>
    <w:rsid w:val="00BA36D8"/>
    <w:rsid w:val="00BA408A"/>
    <w:rsid w:val="00BB3C02"/>
    <w:rsid w:val="00BC180C"/>
    <w:rsid w:val="00BC29F1"/>
    <w:rsid w:val="00BC359F"/>
    <w:rsid w:val="00BD58E7"/>
    <w:rsid w:val="00BD6102"/>
    <w:rsid w:val="00BE73EF"/>
    <w:rsid w:val="00BF113D"/>
    <w:rsid w:val="00BF1527"/>
    <w:rsid w:val="00BF5145"/>
    <w:rsid w:val="00C03749"/>
    <w:rsid w:val="00C05DBD"/>
    <w:rsid w:val="00C112B5"/>
    <w:rsid w:val="00C11C1B"/>
    <w:rsid w:val="00C170DC"/>
    <w:rsid w:val="00C17B97"/>
    <w:rsid w:val="00C35D29"/>
    <w:rsid w:val="00C43E12"/>
    <w:rsid w:val="00C51377"/>
    <w:rsid w:val="00C5231A"/>
    <w:rsid w:val="00C6173F"/>
    <w:rsid w:val="00C61E53"/>
    <w:rsid w:val="00C73FD2"/>
    <w:rsid w:val="00C7422F"/>
    <w:rsid w:val="00C743BF"/>
    <w:rsid w:val="00C75F6B"/>
    <w:rsid w:val="00C77020"/>
    <w:rsid w:val="00C808BC"/>
    <w:rsid w:val="00C9019F"/>
    <w:rsid w:val="00C90AE4"/>
    <w:rsid w:val="00C92E67"/>
    <w:rsid w:val="00C97494"/>
    <w:rsid w:val="00CA20C5"/>
    <w:rsid w:val="00CC5A91"/>
    <w:rsid w:val="00CD0186"/>
    <w:rsid w:val="00CD68A7"/>
    <w:rsid w:val="00CE5243"/>
    <w:rsid w:val="00CE7D53"/>
    <w:rsid w:val="00D01BFE"/>
    <w:rsid w:val="00D04F25"/>
    <w:rsid w:val="00D04FEB"/>
    <w:rsid w:val="00D058D3"/>
    <w:rsid w:val="00D069C2"/>
    <w:rsid w:val="00D12A42"/>
    <w:rsid w:val="00D12F8D"/>
    <w:rsid w:val="00D15B94"/>
    <w:rsid w:val="00D17411"/>
    <w:rsid w:val="00D1750A"/>
    <w:rsid w:val="00D202E3"/>
    <w:rsid w:val="00D24105"/>
    <w:rsid w:val="00D25101"/>
    <w:rsid w:val="00D332A7"/>
    <w:rsid w:val="00D46D3D"/>
    <w:rsid w:val="00D54BA2"/>
    <w:rsid w:val="00D551F0"/>
    <w:rsid w:val="00D60D0F"/>
    <w:rsid w:val="00D63F7A"/>
    <w:rsid w:val="00D73180"/>
    <w:rsid w:val="00D772B7"/>
    <w:rsid w:val="00D80213"/>
    <w:rsid w:val="00D81085"/>
    <w:rsid w:val="00D84463"/>
    <w:rsid w:val="00D86CE0"/>
    <w:rsid w:val="00D959FE"/>
    <w:rsid w:val="00D9767C"/>
    <w:rsid w:val="00DA0A43"/>
    <w:rsid w:val="00DA18D4"/>
    <w:rsid w:val="00DB063F"/>
    <w:rsid w:val="00DB401A"/>
    <w:rsid w:val="00DE2051"/>
    <w:rsid w:val="00DE2F47"/>
    <w:rsid w:val="00DF4268"/>
    <w:rsid w:val="00DF63E1"/>
    <w:rsid w:val="00E00A11"/>
    <w:rsid w:val="00E00D37"/>
    <w:rsid w:val="00E01826"/>
    <w:rsid w:val="00E04533"/>
    <w:rsid w:val="00E0621E"/>
    <w:rsid w:val="00E11BE2"/>
    <w:rsid w:val="00E1505F"/>
    <w:rsid w:val="00E170F6"/>
    <w:rsid w:val="00E44C65"/>
    <w:rsid w:val="00E67AC2"/>
    <w:rsid w:val="00E71356"/>
    <w:rsid w:val="00E73B11"/>
    <w:rsid w:val="00E83B6E"/>
    <w:rsid w:val="00E848D5"/>
    <w:rsid w:val="00E864CE"/>
    <w:rsid w:val="00E90397"/>
    <w:rsid w:val="00EA1AFA"/>
    <w:rsid w:val="00EA6F8B"/>
    <w:rsid w:val="00EB7EFB"/>
    <w:rsid w:val="00EC4B2B"/>
    <w:rsid w:val="00EC73C5"/>
    <w:rsid w:val="00ED4494"/>
    <w:rsid w:val="00ED6DFD"/>
    <w:rsid w:val="00ED7C00"/>
    <w:rsid w:val="00EE1E8C"/>
    <w:rsid w:val="00EF269C"/>
    <w:rsid w:val="00EF4053"/>
    <w:rsid w:val="00EF4A5D"/>
    <w:rsid w:val="00F01014"/>
    <w:rsid w:val="00F03053"/>
    <w:rsid w:val="00F13F51"/>
    <w:rsid w:val="00F30EB8"/>
    <w:rsid w:val="00F32346"/>
    <w:rsid w:val="00F33926"/>
    <w:rsid w:val="00F60581"/>
    <w:rsid w:val="00F727DA"/>
    <w:rsid w:val="00F8095E"/>
    <w:rsid w:val="00F83DB1"/>
    <w:rsid w:val="00F87EE8"/>
    <w:rsid w:val="00FA208E"/>
    <w:rsid w:val="00FD310F"/>
    <w:rsid w:val="00FD6312"/>
    <w:rsid w:val="00FD6CB8"/>
    <w:rsid w:val="00FE33C8"/>
    <w:rsid w:val="00FE42D6"/>
    <w:rsid w:val="00FE580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F5D419F"/>
  <w14:defaultImageDpi w14:val="300"/>
  <w15:docId w15:val="{93773A36-03A6-44A1-ABBE-37A55C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ED6DFD"/>
    <w:pPr>
      <w:keepNext/>
      <w:keepLines/>
      <w:tabs>
        <w:tab w:val="center" w:pos="4680"/>
        <w:tab w:val="right" w:pos="10350"/>
      </w:tabs>
      <w:spacing w:before="120"/>
      <w:ind w:left="-96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ED6DFD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AA1727"/>
    <w:pPr>
      <w:pBdr>
        <w:bottom w:val="none" w:sz="0" w:space="0" w:color="auto"/>
      </w:pBdr>
      <w:spacing w:after="0"/>
    </w:pPr>
    <w:rPr>
      <w:rFonts w:ascii="Palatino Linotype" w:hAnsi="Palatino Linotype"/>
      <w:b w:val="0"/>
      <w:i/>
      <w:color w:val="auto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rFonts w:ascii="Helvetica" w:hAnsi="Helvetica"/>
      <w:sz w:val="22"/>
      <w:szCs w:val="22"/>
    </w:rPr>
  </w:style>
  <w:style w:type="table" w:styleId="TableGrid">
    <w:name w:val="Table Grid"/>
    <w:aliases w:val="CDMO-Table Grid"/>
    <w:basedOn w:val="TableNormal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F809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8095E"/>
    <w:pPr>
      <w:tabs>
        <w:tab w:val="clear" w:pos="1714"/>
      </w:tabs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315A"/>
    <w:pPr>
      <w:tabs>
        <w:tab w:val="clear" w:pos="1714"/>
        <w:tab w:val="left" w:pos="720"/>
        <w:tab w:val="right" w:pos="9350"/>
      </w:tabs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9437F7"/>
    <w:rPr>
      <w:color w:val="808080"/>
      <w:shd w:val="clear" w:color="auto" w:fill="E6E6E6"/>
    </w:rPr>
  </w:style>
  <w:style w:type="paragraph" w:styleId="TOC2">
    <w:name w:val="toc 2"/>
    <w:basedOn w:val="Normal"/>
    <w:next w:val="Normal"/>
    <w:autoRedefine/>
    <w:uiPriority w:val="39"/>
    <w:unhideWhenUsed/>
    <w:rsid w:val="00D25101"/>
    <w:pPr>
      <w:tabs>
        <w:tab w:val="clear" w:pos="1714"/>
      </w:tabs>
      <w:spacing w:after="100"/>
      <w:ind w:left="200"/>
    </w:pPr>
  </w:style>
  <w:style w:type="paragraph" w:customStyle="1" w:styleId="BoldTableHeading">
    <w:name w:val="Bold Table Heading"/>
    <w:basedOn w:val="Normal"/>
    <w:qFormat/>
    <w:rsid w:val="006C743F"/>
    <w:pPr>
      <w:tabs>
        <w:tab w:val="clear" w:pos="1714"/>
      </w:tabs>
      <w:spacing w:before="40" w:after="40" w:line="240" w:lineRule="auto"/>
    </w:pPr>
    <w:rPr>
      <w:rFonts w:ascii="Arial" w:eastAsiaTheme="minorHAnsi" w:hAnsi="Arial" w:cstheme="minorBidi"/>
      <w:b/>
      <w:szCs w:val="22"/>
    </w:rPr>
  </w:style>
  <w:style w:type="paragraph" w:customStyle="1" w:styleId="CommentFieldText">
    <w:name w:val="Comment Field Text"/>
    <w:basedOn w:val="Normal"/>
    <w:qFormat/>
    <w:rsid w:val="006C743F"/>
    <w:pPr>
      <w:tabs>
        <w:tab w:val="clear" w:pos="1714"/>
      </w:tabs>
      <w:spacing w:before="120" w:after="120" w:line="240" w:lineRule="auto"/>
    </w:pPr>
    <w:rPr>
      <w:rFonts w:ascii="Arial" w:eastAsiaTheme="majorEastAsia" w:hAnsi="Arial" w:cs="Arial"/>
      <w:bCs/>
      <w:szCs w:val="20"/>
    </w:rPr>
  </w:style>
  <w:style w:type="paragraph" w:styleId="ListParagraph">
    <w:name w:val="List Paragraph"/>
    <w:basedOn w:val="Normal"/>
    <w:uiPriority w:val="34"/>
    <w:qFormat/>
    <w:rsid w:val="00F30EB8"/>
    <w:pPr>
      <w:tabs>
        <w:tab w:val="clear" w:pos="1714"/>
      </w:tabs>
      <w:spacing w:line="240" w:lineRule="auto"/>
      <w:ind w:left="720"/>
      <w:contextualSpacing/>
      <w:jc w:val="both"/>
    </w:pPr>
    <w:rPr>
      <w:rFonts w:ascii="Times" w:eastAsia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1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6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637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637"/>
    <w:rPr>
      <w:rFonts w:ascii="Palatino" w:hAnsi="Palatino"/>
      <w:b/>
      <w:bCs/>
    </w:rPr>
  </w:style>
  <w:style w:type="paragraph" w:styleId="Revision">
    <w:name w:val="Revision"/>
    <w:hidden/>
    <w:uiPriority w:val="99"/>
    <w:semiHidden/>
    <w:rsid w:val="00282EBB"/>
    <w:rPr>
      <w:rFonts w:ascii="Palatino" w:hAnsi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E9F5F52C944429A48A15DC32ED530" ma:contentTypeVersion="2" ma:contentTypeDescription="Create a new document." ma:contentTypeScope="" ma:versionID="8c7666b20aa933ebd49d3c76605936bc">
  <xsd:schema xmlns:xsd="http://www.w3.org/2001/XMLSchema" xmlns:xs="http://www.w3.org/2001/XMLSchema" xmlns:p="http://schemas.microsoft.com/office/2006/metadata/properties" xmlns:ns2="5c9f3ab6-242c-461d-a351-c910a751d111" xmlns:ns3="31fe1937-7979-4029-bf13-1719731be9f2" targetNamespace="http://schemas.microsoft.com/office/2006/metadata/properties" ma:root="true" ma:fieldsID="1aa3b57bc75bf848198ef59b4fcdc369" ns2:_="" ns3:_="">
    <xsd:import namespace="5c9f3ab6-242c-461d-a351-c910a751d111"/>
    <xsd:import namespace="31fe1937-7979-4029-bf13-1719731be9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3ab6-242c-461d-a351-c910a751d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1937-7979-4029-bf13-1719731be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2F669-1773-4324-8DAD-305BEB496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f3ab6-242c-461d-a351-c910a751d111"/>
    <ds:schemaRef ds:uri="31fe1937-7979-4029-bf13-1719731b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4F0E5-409B-40B5-A82C-C69354565E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6DB78E-3C4F-4930-B644-57C4803FA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5990A-7F19-4CA9-854F-4B53D37A9C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D3AFE2-2164-4539-B621-6266BEB1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Sandbox Studio</Company>
  <LinksUpToDate>false</LinksUpToDate>
  <CharactersWithSpaces>8407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Sandbox Studio</dc:creator>
  <cp:keywords/>
  <cp:lastModifiedBy>Jonathan W. Hunt</cp:lastModifiedBy>
  <cp:revision>4</cp:revision>
  <cp:lastPrinted>2016-02-20T02:38:00Z</cp:lastPrinted>
  <dcterms:created xsi:type="dcterms:W3CDTF">2020-08-18T19:33:00Z</dcterms:created>
  <dcterms:modified xsi:type="dcterms:W3CDTF">2020-08-18T19:36:00Z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0x010100A0EE9F5F52C944429A48A15DC32ED530</vt:lpwstr>
  </property>
</Properties>
</file>