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684" w:rsidRDefault="00AA3684" w:rsidP="00AA3684">
      <w:pPr>
        <w:pStyle w:val="Heading1"/>
      </w:pPr>
      <w:r>
        <w:t>HydroStatic level systems at fermilab and surf*</w:t>
      </w:r>
    </w:p>
    <w:p w:rsidR="00AA3684" w:rsidRPr="00FC6FA1" w:rsidRDefault="00AA3684" w:rsidP="00AA3684">
      <w:pPr>
        <w:pStyle w:val="AuthorList"/>
        <w:rPr>
          <w:kern w:val="16"/>
        </w:rPr>
      </w:pPr>
      <w:r w:rsidRPr="00FC6FA1">
        <w:rPr>
          <w:kern w:val="16"/>
        </w:rPr>
        <w:t>J Volk</w:t>
      </w:r>
      <w:r w:rsidRPr="00FC6FA1">
        <w:rPr>
          <w:kern w:val="16"/>
          <w:vertAlign w:val="superscript"/>
        </w:rPr>
        <w:t>#</w:t>
      </w:r>
      <w:r w:rsidRPr="00FC6FA1">
        <w:rPr>
          <w:kern w:val="16"/>
        </w:rPr>
        <w:t xml:space="preserve">, V </w:t>
      </w:r>
      <w:proofErr w:type="spellStart"/>
      <w:r w:rsidRPr="00FC6FA1">
        <w:rPr>
          <w:kern w:val="16"/>
        </w:rPr>
        <w:t>Shiltsev</w:t>
      </w:r>
      <w:proofErr w:type="spellEnd"/>
      <w:r w:rsidRPr="00FC6FA1">
        <w:rPr>
          <w:kern w:val="16"/>
        </w:rPr>
        <w:t xml:space="preserve">, </w:t>
      </w:r>
      <w:proofErr w:type="spellStart"/>
      <w:r w:rsidRPr="00FC6FA1">
        <w:rPr>
          <w:kern w:val="16"/>
        </w:rPr>
        <w:t>Fermilab</w:t>
      </w:r>
      <w:proofErr w:type="spellEnd"/>
      <w:r w:rsidRPr="00FC6FA1">
        <w:rPr>
          <w:kern w:val="16"/>
        </w:rPr>
        <w:t>, Batavia, I</w:t>
      </w:r>
      <w:r>
        <w:rPr>
          <w:kern w:val="16"/>
        </w:rPr>
        <w:t>L</w:t>
      </w:r>
      <w:r w:rsidRPr="00FC6FA1">
        <w:rPr>
          <w:kern w:val="16"/>
        </w:rPr>
        <w:t xml:space="preserve"> 60510, USA</w:t>
      </w:r>
      <w:r w:rsidRPr="00FC6FA1">
        <w:rPr>
          <w:kern w:val="16"/>
        </w:rPr>
        <w:br/>
        <w:t xml:space="preserve">A </w:t>
      </w:r>
      <w:proofErr w:type="spellStart"/>
      <w:r w:rsidRPr="00FC6FA1">
        <w:rPr>
          <w:kern w:val="16"/>
        </w:rPr>
        <w:t>Chupyra</w:t>
      </w:r>
      <w:proofErr w:type="spellEnd"/>
      <w:r w:rsidRPr="00FC6FA1">
        <w:rPr>
          <w:kern w:val="16"/>
        </w:rPr>
        <w:t xml:space="preserve">, M </w:t>
      </w:r>
      <w:proofErr w:type="spellStart"/>
      <w:r w:rsidRPr="00FC6FA1">
        <w:rPr>
          <w:kern w:val="16"/>
        </w:rPr>
        <w:t>Kondaurov</w:t>
      </w:r>
      <w:proofErr w:type="spellEnd"/>
      <w:r w:rsidRPr="00FC6FA1">
        <w:rPr>
          <w:kern w:val="16"/>
        </w:rPr>
        <w:t xml:space="preserve">, S </w:t>
      </w:r>
      <w:proofErr w:type="spellStart"/>
      <w:r w:rsidRPr="00FC6FA1">
        <w:rPr>
          <w:kern w:val="16"/>
        </w:rPr>
        <w:t>Singatulin</w:t>
      </w:r>
      <w:proofErr w:type="spellEnd"/>
      <w:r w:rsidRPr="00FC6FA1">
        <w:rPr>
          <w:kern w:val="16"/>
        </w:rPr>
        <w:t xml:space="preserve">, </w:t>
      </w:r>
      <w:proofErr w:type="spellStart"/>
      <w:r w:rsidRPr="00FC6FA1">
        <w:rPr>
          <w:kern w:val="16"/>
        </w:rPr>
        <w:t>Budker</w:t>
      </w:r>
      <w:proofErr w:type="spellEnd"/>
      <w:r w:rsidRPr="00FC6FA1">
        <w:rPr>
          <w:kern w:val="16"/>
        </w:rPr>
        <w:t xml:space="preserve"> Institute of Nuclear Physics, </w:t>
      </w:r>
      <w:r w:rsidR="00E57E70" w:rsidRPr="00FC6FA1">
        <w:rPr>
          <w:kern w:val="16"/>
        </w:rPr>
        <w:t>Novosibirsk</w:t>
      </w:r>
      <w:r>
        <w:rPr>
          <w:kern w:val="16"/>
        </w:rPr>
        <w:t>,</w:t>
      </w:r>
      <w:r w:rsidRPr="00FC6FA1">
        <w:rPr>
          <w:kern w:val="16"/>
        </w:rPr>
        <w:t xml:space="preserve"> Russia D </w:t>
      </w:r>
      <w:proofErr w:type="spellStart"/>
      <w:r w:rsidRPr="00FC6FA1">
        <w:rPr>
          <w:kern w:val="16"/>
        </w:rPr>
        <w:t>Fratta</w:t>
      </w:r>
      <w:proofErr w:type="spellEnd"/>
      <w:r w:rsidRPr="00FC6FA1">
        <w:rPr>
          <w:kern w:val="16"/>
        </w:rPr>
        <w:t xml:space="preserve">, A </w:t>
      </w:r>
      <w:proofErr w:type="spellStart"/>
      <w:r w:rsidRPr="00FC6FA1">
        <w:rPr>
          <w:kern w:val="16"/>
        </w:rPr>
        <w:t>Meulemans</w:t>
      </w:r>
      <w:proofErr w:type="spellEnd"/>
      <w:r w:rsidRPr="00FC6FA1">
        <w:rPr>
          <w:kern w:val="16"/>
        </w:rPr>
        <w:t xml:space="preserve">, C </w:t>
      </w:r>
      <w:proofErr w:type="spellStart"/>
      <w:r w:rsidRPr="00FC6FA1">
        <w:rPr>
          <w:kern w:val="16"/>
        </w:rPr>
        <w:t>Potier</w:t>
      </w:r>
      <w:proofErr w:type="spellEnd"/>
      <w:r w:rsidRPr="00FC6FA1">
        <w:rPr>
          <w:kern w:val="16"/>
        </w:rPr>
        <w:t>, H Wang, University of Wisconsin-Madison, USA</w:t>
      </w:r>
    </w:p>
    <w:p w:rsidR="00AA3684" w:rsidRPr="009B15A2" w:rsidRDefault="00AA3684" w:rsidP="00AA3684">
      <w:pPr>
        <w:pStyle w:val="AuthorList"/>
        <w:rPr>
          <w:kern w:val="16"/>
          <w:lang w:val="fr-FR"/>
        </w:rPr>
        <w:sectPr w:rsidR="00AA3684" w:rsidRPr="009B15A2" w:rsidSect="00500A60">
          <w:footnotePr>
            <w:pos w:val="beneathText"/>
            <w:numFmt w:val="chicago"/>
          </w:footnotePr>
          <w:endnotePr>
            <w:numFmt w:val="decimal"/>
          </w:endnotePr>
          <w:type w:val="continuous"/>
          <w:pgSz w:w="12242" w:h="15842" w:code="1"/>
          <w:pgMar w:top="1077" w:right="1474" w:bottom="1077" w:left="1134" w:header="1077" w:footer="1077" w:gutter="0"/>
          <w:cols w:space="720"/>
          <w:titlePg/>
          <w:docGrid w:linePitch="360"/>
        </w:sectPr>
      </w:pPr>
      <w:r>
        <w:rPr>
          <w:kern w:val="16"/>
          <w:lang w:val="fr-FR"/>
        </w:rPr>
        <w:t xml:space="preserve">  </w:t>
      </w:r>
    </w:p>
    <w:p w:rsidR="00AA3684" w:rsidRDefault="00AA3684" w:rsidP="00AA3684">
      <w:pPr>
        <w:pStyle w:val="AbstractTitle"/>
        <w:rPr>
          <w:kern w:val="16"/>
        </w:rPr>
      </w:pPr>
      <w:r>
        <w:rPr>
          <w:kern w:val="16"/>
        </w:rPr>
        <w:lastRenderedPageBreak/>
        <w:t>Abstract</w:t>
      </w:r>
    </w:p>
    <w:p w:rsidR="00AA3684" w:rsidRDefault="00AA3684" w:rsidP="00AA3684">
      <w:pPr>
        <w:pStyle w:val="BodyTextIndent"/>
        <w:rPr>
          <w:kern w:val="16"/>
        </w:rPr>
      </w:pPr>
      <w:r>
        <w:rPr>
          <w:kern w:val="16"/>
        </w:rPr>
        <w:t xml:space="preserve">Hydrostatic Level Systems (HLS) have been in use at </w:t>
      </w:r>
      <w:proofErr w:type="spellStart"/>
      <w:r>
        <w:rPr>
          <w:kern w:val="16"/>
        </w:rPr>
        <w:t>Fermilab</w:t>
      </w:r>
      <w:proofErr w:type="spellEnd"/>
      <w:r>
        <w:rPr>
          <w:kern w:val="16"/>
        </w:rPr>
        <w:t xml:space="preserve"> for over a decade. Other HLS have been installed in nearby mines and at the Sanford Underground Research Facility (SURF) in Lead South Dakota since 2008. This paper reports on the status of these systems, data collected, and results of calculations of the ATL law. </w:t>
      </w:r>
    </w:p>
    <w:p w:rsidR="00AA3684" w:rsidRPr="005D6B57" w:rsidRDefault="00AA3684" w:rsidP="00AA3684">
      <w:pPr>
        <w:pStyle w:val="Heading2"/>
        <w:spacing w:before="180"/>
      </w:pPr>
      <w:r w:rsidRPr="005D6B57">
        <w:t>Hydrostatic Level Systems fundamentals</w:t>
      </w:r>
    </w:p>
    <w:p w:rsidR="00AA3684" w:rsidRPr="005D6B57" w:rsidRDefault="00AA3684" w:rsidP="00AA3684">
      <w:pPr>
        <w:pStyle w:val="BodyTextIndent"/>
        <w:rPr>
          <w:kern w:val="16"/>
        </w:rPr>
      </w:pPr>
      <w:r w:rsidRPr="005D6B57">
        <w:rPr>
          <w:kern w:val="16"/>
        </w:rPr>
        <w:t xml:space="preserve">Hydrostatic Level Systems (HLS) use connected reservoirs of water to determine the relative difference in elevation at the locations of the reservoirs. </w:t>
      </w:r>
      <w:proofErr w:type="spellStart"/>
      <w:r w:rsidRPr="00FC6FA1">
        <w:rPr>
          <w:kern w:val="16"/>
        </w:rPr>
        <w:t>Fermilab</w:t>
      </w:r>
      <w:proofErr w:type="spellEnd"/>
      <w:r w:rsidRPr="005D6B57">
        <w:rPr>
          <w:kern w:val="16"/>
        </w:rPr>
        <w:t xml:space="preserve"> and the </w:t>
      </w:r>
      <w:proofErr w:type="spellStart"/>
      <w:r w:rsidRPr="005D6B57">
        <w:rPr>
          <w:kern w:val="16"/>
        </w:rPr>
        <w:t>Budker</w:t>
      </w:r>
      <w:proofErr w:type="spellEnd"/>
      <w:r w:rsidRPr="005D6B57">
        <w:rPr>
          <w:kern w:val="16"/>
        </w:rPr>
        <w:t xml:space="preserve"> Institute have collaborated for over ten years in the design, construction, installation, and analysis of these systems. Since 2008</w:t>
      </w:r>
      <w:r>
        <w:rPr>
          <w:kern w:val="16"/>
        </w:rPr>
        <w:t>, researchers from</w:t>
      </w:r>
      <w:r w:rsidRPr="005D6B57">
        <w:rPr>
          <w:kern w:val="16"/>
        </w:rPr>
        <w:t xml:space="preserve"> the University of Wisconsin Madison ha</w:t>
      </w:r>
      <w:r>
        <w:rPr>
          <w:kern w:val="16"/>
        </w:rPr>
        <w:t>ve</w:t>
      </w:r>
      <w:r w:rsidRPr="005D6B57">
        <w:rPr>
          <w:kern w:val="16"/>
        </w:rPr>
        <w:t xml:space="preserve"> joined both groups using these systems at the Sanford Underground Research Facility (SURF) at Lead South Dakota. The theory of operations, details on design, construction, and operation has been reported elsewhere [1, 2, 3, 4, 5, and 6].</w:t>
      </w:r>
    </w:p>
    <w:p w:rsidR="00AA3684" w:rsidRDefault="00AA3684" w:rsidP="00AA3684">
      <w:pPr>
        <w:pStyle w:val="Heading2"/>
        <w:spacing w:before="180"/>
      </w:pPr>
      <w:r>
        <w:t>Active and inactive systems</w:t>
      </w:r>
    </w:p>
    <w:p w:rsidR="00AA3684" w:rsidRDefault="00AA3684" w:rsidP="00AA3684">
      <w:pPr>
        <w:pStyle w:val="BodyTextIndent"/>
      </w:pPr>
      <w:r>
        <w:t xml:space="preserve">There are several active HLS installation at </w:t>
      </w:r>
      <w:proofErr w:type="spellStart"/>
      <w:r>
        <w:t>Fermilab</w:t>
      </w:r>
      <w:proofErr w:type="spellEnd"/>
      <w:r>
        <w:t xml:space="preserve"> and SURF. Table 1 lists the active systems. There are three types of sensors the SAS, SAS-E, and ULSE. The SAS and SAS-E types measure the capacitance of the pools to determine the height of the water. The readout protocol for both types is different; the SAS type uses a serial port on the data acquisition computer and a daisy chain read out system, the SAS-E type uses a Power-over-Ethernet switch and TCP/IP protocol to readout each sensor. The SAS system is simpler and more resistant to radiation damage so it is useful in accelerator enclosures. The SAS-E allows for individual control of each sensor system and avoids the “Christmas Tree Light Syndrome” where if one sensor fails all the downstream sensors fail.  </w:t>
      </w:r>
    </w:p>
    <w:p w:rsidR="00AA3684" w:rsidRDefault="00AA3684" w:rsidP="00AA3684">
      <w:pPr>
        <w:pStyle w:val="BodyTextNoIndent"/>
      </w:pPr>
    </w:p>
    <w:p w:rsidR="00AA3684" w:rsidRDefault="00AA3684" w:rsidP="00AA3684">
      <w:pPr>
        <w:pStyle w:val="BodyTextNoIndent"/>
      </w:pPr>
      <w:r>
        <w:t xml:space="preserve">The ULSE type uses ultrasonic pulses that reflect off of the water surface to determine the height of the water in the reservoir. By employing fixed position in the reservoir the speed of sound in water can be calculated on a pulse by pulse basis to provide higher resolution. </w:t>
      </w:r>
    </w:p>
    <w:p w:rsidR="00AA3684" w:rsidRDefault="00AA3684" w:rsidP="00AA3684">
      <w:pPr>
        <w:pStyle w:val="BodyTextNoIndent"/>
      </w:pPr>
    </w:p>
    <w:p w:rsidR="00AA3684" w:rsidRDefault="00AA3684" w:rsidP="00AA3684">
      <w:pPr>
        <w:pStyle w:val="BodyTextNoIndent"/>
      </w:pPr>
      <w:r>
        <w:t>Details of electronics, read out systems, and plumping systems can be found in reference 6.</w:t>
      </w:r>
    </w:p>
    <w:p w:rsidR="00AA3684" w:rsidRDefault="00AA3684" w:rsidP="00AA3684">
      <w:pPr>
        <w:pStyle w:val="BodyTextNoIndent"/>
      </w:pPr>
    </w:p>
    <w:p w:rsidR="00AA3684" w:rsidRDefault="00AA3684" w:rsidP="00AA3684">
      <w:pPr>
        <w:pStyle w:val="BodyTextNoIndent"/>
      </w:pPr>
      <w:r>
        <w:lastRenderedPageBreak/>
        <w:t xml:space="preserve">The inactive systems are listed in Table 2; these systems are no longer in use due to the decommissioning of the </w:t>
      </w:r>
      <w:proofErr w:type="spellStart"/>
      <w:r>
        <w:t>Tevatron</w:t>
      </w:r>
      <w:proofErr w:type="spellEnd"/>
      <w:r>
        <w:t xml:space="preserve"> or the necessity to move the existing systems for </w:t>
      </w:r>
    </w:p>
    <w:p w:rsidR="00AA3684" w:rsidRDefault="00AA3684" w:rsidP="00AA3684">
      <w:pPr>
        <w:pStyle w:val="BodyTextNoIndent"/>
      </w:pPr>
      <w:proofErr w:type="gramStart"/>
      <w:r>
        <w:t>construction</w:t>
      </w:r>
      <w:proofErr w:type="gramEnd"/>
      <w:r>
        <w:t xml:space="preserve"> or other activity.  Data for these systems remain available on the ILC ground motion data base.</w:t>
      </w:r>
    </w:p>
    <w:p w:rsidR="00AA3684" w:rsidRDefault="00AA3684" w:rsidP="00AA3684">
      <w:pPr>
        <w:pStyle w:val="BodyTextNoIndent"/>
      </w:pPr>
    </w:p>
    <w:p w:rsidR="00AA3684" w:rsidRDefault="00AA3684" w:rsidP="00AA3684">
      <w:pPr>
        <w:pStyle w:val="TableCaption"/>
        <w:rPr>
          <w:kern w:val="16"/>
        </w:rPr>
      </w:pPr>
      <w:r>
        <w:rPr>
          <w:kern w:val="16"/>
        </w:rPr>
        <w:t xml:space="preserve">Table 1: Active HLS installations at </w:t>
      </w:r>
      <w:proofErr w:type="spellStart"/>
      <w:r>
        <w:rPr>
          <w:kern w:val="16"/>
        </w:rPr>
        <w:t>Fermilab</w:t>
      </w:r>
      <w:proofErr w:type="spellEnd"/>
      <w:r>
        <w:rPr>
          <w:kern w:val="16"/>
        </w:rPr>
        <w:t xml:space="preserve"> and SURF</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947"/>
        <w:gridCol w:w="961"/>
        <w:gridCol w:w="960"/>
        <w:gridCol w:w="856"/>
        <w:gridCol w:w="1057"/>
      </w:tblGrid>
      <w:tr w:rsidR="00AA3684" w:rsidRPr="00E56880" w:rsidTr="00CC243E">
        <w:tc>
          <w:tcPr>
            <w:tcW w:w="947"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Name</w:t>
            </w:r>
          </w:p>
        </w:tc>
        <w:tc>
          <w:tcPr>
            <w:tcW w:w="961"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Location</w:t>
            </w:r>
          </w:p>
        </w:tc>
        <w:tc>
          <w:tcPr>
            <w:tcW w:w="960" w:type="dxa"/>
            <w:tcBorders>
              <w:top w:val="single" w:sz="12" w:space="0" w:color="auto"/>
              <w:bottom w:val="single" w:sz="12" w:space="0" w:color="auto"/>
            </w:tcBorders>
          </w:tcPr>
          <w:p w:rsidR="00AA3684" w:rsidRPr="00D75D35" w:rsidRDefault="00AA3684" w:rsidP="00CC243E">
            <w:pPr>
              <w:pStyle w:val="TableCaption"/>
              <w:jc w:val="left"/>
              <w:rPr>
                <w:b/>
                <w:bCs/>
                <w:kern w:val="16"/>
                <w:sz w:val="18"/>
                <w:szCs w:val="18"/>
              </w:rPr>
            </w:pPr>
            <w:r>
              <w:rPr>
                <w:b/>
                <w:bCs/>
                <w:kern w:val="16"/>
                <w:sz w:val="18"/>
                <w:szCs w:val="18"/>
              </w:rPr>
              <w:t>Sensor type</w:t>
            </w:r>
          </w:p>
        </w:tc>
        <w:tc>
          <w:tcPr>
            <w:tcW w:w="856"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Number</w:t>
            </w:r>
          </w:p>
        </w:tc>
        <w:tc>
          <w:tcPr>
            <w:tcW w:w="1057"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Separation</w:t>
            </w:r>
          </w:p>
        </w:tc>
      </w:tr>
      <w:tr w:rsidR="00AA3684" w:rsidRPr="00E56880" w:rsidTr="00CC243E">
        <w:trPr>
          <w:trHeight w:val="241"/>
        </w:trPr>
        <w:tc>
          <w:tcPr>
            <w:tcW w:w="947"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MINOS-2</w:t>
            </w:r>
          </w:p>
        </w:tc>
        <w:tc>
          <w:tcPr>
            <w:tcW w:w="961" w:type="dxa"/>
            <w:tcBorders>
              <w:top w:val="single" w:sz="12" w:space="0" w:color="auto"/>
            </w:tcBorders>
          </w:tcPr>
          <w:p w:rsidR="00AA3684" w:rsidRPr="003C52DD"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SAS-E</w:t>
            </w:r>
          </w:p>
        </w:tc>
        <w:tc>
          <w:tcPr>
            <w:tcW w:w="856"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10</w:t>
            </w:r>
          </w:p>
        </w:tc>
        <w:tc>
          <w:tcPr>
            <w:tcW w:w="1057"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10 m</w:t>
            </w:r>
          </w:p>
        </w:tc>
      </w:tr>
      <w:tr w:rsidR="00AA3684" w:rsidRPr="00E56880" w:rsidTr="00CC243E">
        <w:tc>
          <w:tcPr>
            <w:tcW w:w="947" w:type="dxa"/>
          </w:tcPr>
          <w:p w:rsidR="00AA3684" w:rsidRPr="003C52DD" w:rsidRDefault="00AA3684" w:rsidP="00CC243E">
            <w:pPr>
              <w:pStyle w:val="TableCaption"/>
              <w:jc w:val="left"/>
              <w:rPr>
                <w:kern w:val="16"/>
                <w:sz w:val="18"/>
                <w:szCs w:val="18"/>
              </w:rPr>
            </w:pPr>
            <w:proofErr w:type="spellStart"/>
            <w:r>
              <w:rPr>
                <w:kern w:val="16"/>
                <w:sz w:val="18"/>
                <w:szCs w:val="18"/>
              </w:rPr>
              <w:t>LaFarge</w:t>
            </w:r>
            <w:proofErr w:type="spellEnd"/>
          </w:p>
        </w:tc>
        <w:tc>
          <w:tcPr>
            <w:tcW w:w="961" w:type="dxa"/>
          </w:tcPr>
          <w:p w:rsidR="00AA3684" w:rsidRPr="003C52DD" w:rsidRDefault="00AA3684" w:rsidP="00CC243E">
            <w:pPr>
              <w:pStyle w:val="TableCaption"/>
              <w:jc w:val="left"/>
              <w:rPr>
                <w:kern w:val="16"/>
                <w:sz w:val="18"/>
                <w:szCs w:val="18"/>
              </w:rPr>
            </w:pPr>
            <w:r>
              <w:rPr>
                <w:kern w:val="16"/>
                <w:sz w:val="18"/>
                <w:szCs w:val="18"/>
              </w:rPr>
              <w:t>North Aurora Ill</w:t>
            </w:r>
          </w:p>
        </w:tc>
        <w:tc>
          <w:tcPr>
            <w:tcW w:w="960" w:type="dxa"/>
          </w:tcPr>
          <w:p w:rsidR="00AA3684" w:rsidRPr="003C52DD" w:rsidRDefault="00AA3684" w:rsidP="00CC243E">
            <w:pPr>
              <w:pStyle w:val="TableCaption"/>
              <w:jc w:val="left"/>
              <w:rPr>
                <w:kern w:val="16"/>
                <w:sz w:val="18"/>
                <w:szCs w:val="18"/>
              </w:rPr>
            </w:pPr>
            <w:r>
              <w:rPr>
                <w:kern w:val="16"/>
                <w:sz w:val="18"/>
                <w:szCs w:val="18"/>
              </w:rPr>
              <w:t>SAS</w:t>
            </w:r>
          </w:p>
        </w:tc>
        <w:tc>
          <w:tcPr>
            <w:tcW w:w="856" w:type="dxa"/>
          </w:tcPr>
          <w:p w:rsidR="00AA3684" w:rsidRDefault="00AA3684" w:rsidP="00CC243E">
            <w:pPr>
              <w:pStyle w:val="TableCaption"/>
              <w:jc w:val="left"/>
              <w:rPr>
                <w:kern w:val="16"/>
                <w:sz w:val="18"/>
                <w:szCs w:val="18"/>
              </w:rPr>
            </w:pPr>
            <w:r>
              <w:rPr>
                <w:kern w:val="16"/>
                <w:sz w:val="18"/>
                <w:szCs w:val="18"/>
              </w:rPr>
              <w:t>5</w:t>
            </w:r>
          </w:p>
        </w:tc>
        <w:tc>
          <w:tcPr>
            <w:tcW w:w="1057" w:type="dxa"/>
          </w:tcPr>
          <w:p w:rsidR="00AA3684" w:rsidRDefault="00AA3684" w:rsidP="00CC243E">
            <w:pPr>
              <w:pStyle w:val="TableCaption"/>
              <w:jc w:val="left"/>
              <w:rPr>
                <w:kern w:val="16"/>
                <w:sz w:val="18"/>
                <w:szCs w:val="18"/>
              </w:rPr>
            </w:pPr>
            <w:r>
              <w:rPr>
                <w:kern w:val="16"/>
                <w:sz w:val="18"/>
                <w:szCs w:val="18"/>
              </w:rPr>
              <w:t>30 m</w:t>
            </w:r>
          </w:p>
        </w:tc>
      </w:tr>
      <w:tr w:rsidR="00AA3684" w:rsidRPr="00E56880" w:rsidTr="00CC243E">
        <w:tc>
          <w:tcPr>
            <w:tcW w:w="947" w:type="dxa"/>
          </w:tcPr>
          <w:p w:rsidR="00AA3684" w:rsidRPr="003C52DD" w:rsidRDefault="00AA3684" w:rsidP="00CC243E">
            <w:pPr>
              <w:pStyle w:val="TableCaption"/>
              <w:jc w:val="left"/>
              <w:rPr>
                <w:kern w:val="16"/>
                <w:sz w:val="18"/>
                <w:szCs w:val="18"/>
              </w:rPr>
            </w:pPr>
            <w:r>
              <w:rPr>
                <w:kern w:val="16"/>
                <w:sz w:val="18"/>
                <w:szCs w:val="18"/>
              </w:rPr>
              <w:t>Array C</w:t>
            </w:r>
          </w:p>
        </w:tc>
        <w:tc>
          <w:tcPr>
            <w:tcW w:w="961" w:type="dxa"/>
          </w:tcPr>
          <w:p w:rsidR="00AA3684" w:rsidRPr="003C52DD" w:rsidRDefault="00AA3684" w:rsidP="00CC243E">
            <w:pPr>
              <w:pStyle w:val="TableCaption"/>
              <w:jc w:val="left"/>
              <w:rPr>
                <w:kern w:val="16"/>
                <w:sz w:val="18"/>
                <w:szCs w:val="18"/>
              </w:rPr>
            </w:pPr>
            <w:r>
              <w:rPr>
                <w:kern w:val="16"/>
                <w:sz w:val="18"/>
                <w:szCs w:val="18"/>
              </w:rPr>
              <w:t>SURF</w:t>
            </w:r>
          </w:p>
        </w:tc>
        <w:tc>
          <w:tcPr>
            <w:tcW w:w="960" w:type="dxa"/>
          </w:tcPr>
          <w:p w:rsidR="00AA3684" w:rsidRPr="003C52DD" w:rsidRDefault="00AA3684" w:rsidP="00CC243E">
            <w:pPr>
              <w:pStyle w:val="TableCaption"/>
              <w:jc w:val="left"/>
              <w:rPr>
                <w:kern w:val="16"/>
                <w:sz w:val="18"/>
                <w:szCs w:val="18"/>
              </w:rPr>
            </w:pPr>
            <w:r>
              <w:rPr>
                <w:kern w:val="16"/>
                <w:sz w:val="18"/>
                <w:szCs w:val="18"/>
              </w:rPr>
              <w:t>SAS-E</w:t>
            </w:r>
          </w:p>
        </w:tc>
        <w:tc>
          <w:tcPr>
            <w:tcW w:w="856" w:type="dxa"/>
          </w:tcPr>
          <w:p w:rsidR="00AA3684" w:rsidRDefault="00AA3684" w:rsidP="00CC243E">
            <w:pPr>
              <w:pStyle w:val="TableCaption"/>
              <w:jc w:val="left"/>
              <w:rPr>
                <w:kern w:val="16"/>
                <w:sz w:val="18"/>
                <w:szCs w:val="18"/>
              </w:rPr>
            </w:pPr>
            <w:r>
              <w:rPr>
                <w:kern w:val="16"/>
                <w:sz w:val="18"/>
                <w:szCs w:val="18"/>
              </w:rPr>
              <w:t>6</w:t>
            </w:r>
          </w:p>
        </w:tc>
        <w:tc>
          <w:tcPr>
            <w:tcW w:w="1057" w:type="dxa"/>
          </w:tcPr>
          <w:p w:rsidR="00AA3684" w:rsidRDefault="00AA3684" w:rsidP="00CC243E">
            <w:pPr>
              <w:pStyle w:val="TableCaption"/>
              <w:jc w:val="left"/>
              <w:rPr>
                <w:kern w:val="16"/>
                <w:sz w:val="18"/>
                <w:szCs w:val="18"/>
              </w:rPr>
            </w:pPr>
            <w:r>
              <w:rPr>
                <w:kern w:val="16"/>
                <w:sz w:val="18"/>
                <w:szCs w:val="18"/>
              </w:rPr>
              <w:t>30 m</w:t>
            </w:r>
          </w:p>
        </w:tc>
      </w:tr>
      <w:tr w:rsidR="00AA3684" w:rsidRPr="00E56880" w:rsidTr="00CC243E">
        <w:tc>
          <w:tcPr>
            <w:tcW w:w="947" w:type="dxa"/>
          </w:tcPr>
          <w:p w:rsidR="00AA3684" w:rsidRDefault="00AA3684" w:rsidP="00CC243E">
            <w:pPr>
              <w:pStyle w:val="TableCaption"/>
              <w:jc w:val="left"/>
              <w:rPr>
                <w:kern w:val="16"/>
                <w:sz w:val="18"/>
                <w:szCs w:val="18"/>
              </w:rPr>
            </w:pPr>
            <w:r>
              <w:rPr>
                <w:kern w:val="16"/>
                <w:sz w:val="18"/>
                <w:szCs w:val="18"/>
              </w:rPr>
              <w:t>NML</w:t>
            </w:r>
          </w:p>
        </w:tc>
        <w:tc>
          <w:tcPr>
            <w:tcW w:w="961" w:type="dxa"/>
          </w:tcPr>
          <w:p w:rsidR="00AA3684"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Pr>
          <w:p w:rsidR="00AA3684" w:rsidRDefault="00AA3684" w:rsidP="00CC243E">
            <w:pPr>
              <w:pStyle w:val="TableCaption"/>
              <w:jc w:val="left"/>
              <w:rPr>
                <w:kern w:val="16"/>
                <w:sz w:val="18"/>
                <w:szCs w:val="18"/>
              </w:rPr>
            </w:pPr>
            <w:r>
              <w:rPr>
                <w:kern w:val="16"/>
                <w:sz w:val="18"/>
                <w:szCs w:val="18"/>
              </w:rPr>
              <w:t>SAS</w:t>
            </w:r>
          </w:p>
        </w:tc>
        <w:tc>
          <w:tcPr>
            <w:tcW w:w="856" w:type="dxa"/>
          </w:tcPr>
          <w:p w:rsidR="00AA3684" w:rsidRDefault="00AA3684" w:rsidP="00CC243E">
            <w:pPr>
              <w:pStyle w:val="TableCaption"/>
              <w:jc w:val="left"/>
              <w:rPr>
                <w:kern w:val="16"/>
                <w:sz w:val="18"/>
                <w:szCs w:val="18"/>
              </w:rPr>
            </w:pPr>
            <w:r>
              <w:rPr>
                <w:kern w:val="16"/>
                <w:sz w:val="18"/>
                <w:szCs w:val="18"/>
              </w:rPr>
              <w:t>4</w:t>
            </w:r>
          </w:p>
        </w:tc>
        <w:tc>
          <w:tcPr>
            <w:tcW w:w="1057" w:type="dxa"/>
          </w:tcPr>
          <w:p w:rsidR="00AA3684" w:rsidRDefault="00AA3684" w:rsidP="00CC243E">
            <w:pPr>
              <w:pStyle w:val="TableCaption"/>
              <w:jc w:val="left"/>
              <w:rPr>
                <w:kern w:val="16"/>
                <w:sz w:val="18"/>
                <w:szCs w:val="18"/>
              </w:rPr>
            </w:pPr>
            <w:r>
              <w:rPr>
                <w:kern w:val="16"/>
                <w:sz w:val="18"/>
                <w:szCs w:val="18"/>
              </w:rPr>
              <w:t>Varies</w:t>
            </w:r>
          </w:p>
        </w:tc>
      </w:tr>
      <w:tr w:rsidR="00AA3684" w:rsidRPr="00E56880" w:rsidTr="00CC243E">
        <w:tc>
          <w:tcPr>
            <w:tcW w:w="947" w:type="dxa"/>
          </w:tcPr>
          <w:p w:rsidR="00AA3684" w:rsidRDefault="00AA3684" w:rsidP="00CC243E">
            <w:pPr>
              <w:pStyle w:val="TableCaption"/>
              <w:jc w:val="left"/>
              <w:rPr>
                <w:kern w:val="16"/>
                <w:sz w:val="18"/>
                <w:szCs w:val="18"/>
              </w:rPr>
            </w:pPr>
            <w:r>
              <w:rPr>
                <w:kern w:val="16"/>
                <w:sz w:val="18"/>
                <w:szCs w:val="18"/>
              </w:rPr>
              <w:t>MP7</w:t>
            </w:r>
          </w:p>
        </w:tc>
        <w:tc>
          <w:tcPr>
            <w:tcW w:w="961" w:type="dxa"/>
          </w:tcPr>
          <w:p w:rsidR="00AA3684"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Pr>
          <w:p w:rsidR="00AA3684" w:rsidRDefault="00AA3684" w:rsidP="00CC243E">
            <w:pPr>
              <w:pStyle w:val="TableCaption"/>
              <w:jc w:val="left"/>
              <w:rPr>
                <w:kern w:val="16"/>
                <w:sz w:val="18"/>
                <w:szCs w:val="18"/>
              </w:rPr>
            </w:pPr>
            <w:r>
              <w:rPr>
                <w:kern w:val="16"/>
                <w:sz w:val="18"/>
                <w:szCs w:val="18"/>
              </w:rPr>
              <w:t>ULSE</w:t>
            </w:r>
          </w:p>
        </w:tc>
        <w:tc>
          <w:tcPr>
            <w:tcW w:w="856" w:type="dxa"/>
          </w:tcPr>
          <w:p w:rsidR="00AA3684" w:rsidRDefault="00AA3684" w:rsidP="00CC243E">
            <w:pPr>
              <w:pStyle w:val="TableCaption"/>
              <w:jc w:val="left"/>
              <w:rPr>
                <w:kern w:val="16"/>
                <w:sz w:val="18"/>
                <w:szCs w:val="18"/>
              </w:rPr>
            </w:pPr>
            <w:r>
              <w:rPr>
                <w:kern w:val="16"/>
                <w:sz w:val="18"/>
                <w:szCs w:val="18"/>
              </w:rPr>
              <w:t>3</w:t>
            </w:r>
          </w:p>
        </w:tc>
        <w:tc>
          <w:tcPr>
            <w:tcW w:w="1057" w:type="dxa"/>
          </w:tcPr>
          <w:p w:rsidR="00AA3684" w:rsidRDefault="00AA3684" w:rsidP="00CC243E">
            <w:pPr>
              <w:pStyle w:val="TableCaption"/>
              <w:jc w:val="left"/>
              <w:rPr>
                <w:kern w:val="16"/>
                <w:sz w:val="18"/>
                <w:szCs w:val="18"/>
              </w:rPr>
            </w:pPr>
            <w:r>
              <w:rPr>
                <w:kern w:val="16"/>
                <w:sz w:val="18"/>
                <w:szCs w:val="18"/>
              </w:rPr>
              <w:t>20 m</w:t>
            </w:r>
          </w:p>
        </w:tc>
      </w:tr>
      <w:tr w:rsidR="00AA3684" w:rsidRPr="00E56880" w:rsidTr="00CC243E">
        <w:tc>
          <w:tcPr>
            <w:tcW w:w="947" w:type="dxa"/>
          </w:tcPr>
          <w:p w:rsidR="00AA3684" w:rsidRPr="003C52DD" w:rsidRDefault="00AA3684" w:rsidP="00CC243E">
            <w:pPr>
              <w:pStyle w:val="TableCaption"/>
              <w:jc w:val="left"/>
              <w:rPr>
                <w:kern w:val="16"/>
                <w:sz w:val="18"/>
                <w:szCs w:val="18"/>
              </w:rPr>
            </w:pPr>
            <w:r>
              <w:rPr>
                <w:kern w:val="16"/>
                <w:sz w:val="18"/>
                <w:szCs w:val="18"/>
              </w:rPr>
              <w:t>Stability test</w:t>
            </w:r>
          </w:p>
        </w:tc>
        <w:tc>
          <w:tcPr>
            <w:tcW w:w="961" w:type="dxa"/>
          </w:tcPr>
          <w:p w:rsidR="00AA3684" w:rsidRPr="003C52DD"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Pr>
          <w:p w:rsidR="00AA3684" w:rsidRPr="003C52DD" w:rsidRDefault="00AA3684" w:rsidP="00CC243E">
            <w:pPr>
              <w:pStyle w:val="TableCaption"/>
              <w:jc w:val="left"/>
              <w:rPr>
                <w:kern w:val="16"/>
                <w:sz w:val="18"/>
                <w:szCs w:val="18"/>
              </w:rPr>
            </w:pPr>
            <w:r>
              <w:rPr>
                <w:kern w:val="16"/>
                <w:sz w:val="18"/>
                <w:szCs w:val="18"/>
              </w:rPr>
              <w:t>SAS</w:t>
            </w:r>
          </w:p>
        </w:tc>
        <w:tc>
          <w:tcPr>
            <w:tcW w:w="856" w:type="dxa"/>
          </w:tcPr>
          <w:p w:rsidR="00AA3684" w:rsidRDefault="00AA3684" w:rsidP="00CC243E">
            <w:pPr>
              <w:pStyle w:val="TableCaption"/>
              <w:jc w:val="left"/>
              <w:rPr>
                <w:kern w:val="16"/>
                <w:sz w:val="18"/>
                <w:szCs w:val="18"/>
              </w:rPr>
            </w:pPr>
            <w:r>
              <w:rPr>
                <w:kern w:val="16"/>
                <w:sz w:val="18"/>
                <w:szCs w:val="18"/>
              </w:rPr>
              <w:t>12</w:t>
            </w:r>
          </w:p>
        </w:tc>
        <w:tc>
          <w:tcPr>
            <w:tcW w:w="1057" w:type="dxa"/>
          </w:tcPr>
          <w:p w:rsidR="00AA3684" w:rsidRDefault="00AA3684" w:rsidP="00CC243E">
            <w:pPr>
              <w:pStyle w:val="TableCaption"/>
              <w:jc w:val="left"/>
              <w:rPr>
                <w:kern w:val="16"/>
                <w:sz w:val="18"/>
                <w:szCs w:val="18"/>
              </w:rPr>
            </w:pPr>
          </w:p>
        </w:tc>
      </w:tr>
      <w:tr w:rsidR="00AA3684" w:rsidRPr="00E56880" w:rsidTr="00CC243E">
        <w:tc>
          <w:tcPr>
            <w:tcW w:w="947" w:type="dxa"/>
          </w:tcPr>
          <w:p w:rsidR="00AA3684" w:rsidRDefault="00AA3684" w:rsidP="00CC243E">
            <w:pPr>
              <w:pStyle w:val="TableCaption"/>
              <w:jc w:val="left"/>
              <w:rPr>
                <w:kern w:val="16"/>
                <w:sz w:val="18"/>
                <w:szCs w:val="18"/>
              </w:rPr>
            </w:pPr>
            <w:r>
              <w:rPr>
                <w:kern w:val="16"/>
                <w:sz w:val="18"/>
                <w:szCs w:val="18"/>
              </w:rPr>
              <w:t>MT ULSE</w:t>
            </w:r>
          </w:p>
        </w:tc>
        <w:tc>
          <w:tcPr>
            <w:tcW w:w="961" w:type="dxa"/>
          </w:tcPr>
          <w:p w:rsidR="00AA3684"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Pr>
          <w:p w:rsidR="00AA3684" w:rsidRDefault="00AA3684" w:rsidP="00CC243E">
            <w:pPr>
              <w:pStyle w:val="TableCaption"/>
              <w:jc w:val="left"/>
              <w:rPr>
                <w:kern w:val="16"/>
                <w:sz w:val="18"/>
                <w:szCs w:val="18"/>
              </w:rPr>
            </w:pPr>
            <w:r>
              <w:rPr>
                <w:kern w:val="16"/>
                <w:sz w:val="18"/>
                <w:szCs w:val="18"/>
              </w:rPr>
              <w:t>ULSE</w:t>
            </w:r>
          </w:p>
        </w:tc>
        <w:tc>
          <w:tcPr>
            <w:tcW w:w="856" w:type="dxa"/>
          </w:tcPr>
          <w:p w:rsidR="00AA3684" w:rsidRDefault="00AA3684" w:rsidP="00CC243E">
            <w:pPr>
              <w:pStyle w:val="TableCaption"/>
              <w:jc w:val="left"/>
              <w:rPr>
                <w:kern w:val="16"/>
                <w:sz w:val="18"/>
                <w:szCs w:val="18"/>
              </w:rPr>
            </w:pPr>
            <w:r>
              <w:rPr>
                <w:kern w:val="16"/>
                <w:sz w:val="18"/>
                <w:szCs w:val="18"/>
              </w:rPr>
              <w:t>12</w:t>
            </w:r>
          </w:p>
        </w:tc>
        <w:tc>
          <w:tcPr>
            <w:tcW w:w="1057" w:type="dxa"/>
          </w:tcPr>
          <w:p w:rsidR="00AA3684" w:rsidRDefault="00AA3684" w:rsidP="00CC243E">
            <w:pPr>
              <w:pStyle w:val="TableCaption"/>
              <w:jc w:val="left"/>
              <w:rPr>
                <w:kern w:val="16"/>
                <w:sz w:val="18"/>
                <w:szCs w:val="18"/>
              </w:rPr>
            </w:pPr>
            <w:r>
              <w:rPr>
                <w:kern w:val="16"/>
                <w:sz w:val="18"/>
                <w:szCs w:val="18"/>
              </w:rPr>
              <w:t>1 m</w:t>
            </w:r>
          </w:p>
        </w:tc>
      </w:tr>
    </w:tbl>
    <w:p w:rsidR="00AA3684" w:rsidRDefault="00AA3684" w:rsidP="00AA3684">
      <w:pPr>
        <w:pStyle w:val="TableCaption"/>
      </w:pPr>
    </w:p>
    <w:p w:rsidR="00AA3684" w:rsidRDefault="00AA3684" w:rsidP="00AA3684">
      <w:pPr>
        <w:pStyle w:val="TableCaption"/>
      </w:pPr>
      <w:r>
        <w:t xml:space="preserve">Table 2: Inactive HLS installations at </w:t>
      </w:r>
      <w:proofErr w:type="spellStart"/>
      <w:r>
        <w:t>Fermilab</w:t>
      </w:r>
      <w:proofErr w:type="spellEnd"/>
      <w:r>
        <w:t xml:space="preserve"> and SURF</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947"/>
        <w:gridCol w:w="961"/>
        <w:gridCol w:w="960"/>
        <w:gridCol w:w="856"/>
        <w:gridCol w:w="1057"/>
      </w:tblGrid>
      <w:tr w:rsidR="00AA3684" w:rsidRPr="00E56880" w:rsidTr="00CC243E">
        <w:tc>
          <w:tcPr>
            <w:tcW w:w="947"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Name</w:t>
            </w:r>
          </w:p>
        </w:tc>
        <w:tc>
          <w:tcPr>
            <w:tcW w:w="961"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Location</w:t>
            </w:r>
          </w:p>
        </w:tc>
        <w:tc>
          <w:tcPr>
            <w:tcW w:w="960" w:type="dxa"/>
            <w:tcBorders>
              <w:top w:val="single" w:sz="12" w:space="0" w:color="auto"/>
              <w:bottom w:val="single" w:sz="12" w:space="0" w:color="auto"/>
            </w:tcBorders>
          </w:tcPr>
          <w:p w:rsidR="00AA3684" w:rsidRPr="00D75D35" w:rsidRDefault="00AA3684" w:rsidP="00CC243E">
            <w:pPr>
              <w:pStyle w:val="TableCaption"/>
              <w:jc w:val="left"/>
              <w:rPr>
                <w:b/>
                <w:bCs/>
                <w:kern w:val="16"/>
                <w:sz w:val="18"/>
                <w:szCs w:val="18"/>
              </w:rPr>
            </w:pPr>
            <w:r>
              <w:rPr>
                <w:b/>
                <w:bCs/>
                <w:kern w:val="16"/>
                <w:sz w:val="18"/>
                <w:szCs w:val="18"/>
              </w:rPr>
              <w:t>Sensor type</w:t>
            </w:r>
          </w:p>
        </w:tc>
        <w:tc>
          <w:tcPr>
            <w:tcW w:w="856"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Number</w:t>
            </w:r>
          </w:p>
        </w:tc>
        <w:tc>
          <w:tcPr>
            <w:tcW w:w="1057" w:type="dxa"/>
            <w:tcBorders>
              <w:top w:val="single" w:sz="12" w:space="0" w:color="auto"/>
              <w:bottom w:val="single" w:sz="12" w:space="0" w:color="auto"/>
            </w:tcBorders>
          </w:tcPr>
          <w:p w:rsidR="00AA3684" w:rsidRPr="003C52DD" w:rsidRDefault="00AA3684" w:rsidP="00CC243E">
            <w:pPr>
              <w:pStyle w:val="TableCaption"/>
              <w:jc w:val="left"/>
              <w:rPr>
                <w:b/>
                <w:bCs/>
                <w:kern w:val="16"/>
                <w:sz w:val="18"/>
                <w:szCs w:val="18"/>
              </w:rPr>
            </w:pPr>
            <w:r>
              <w:rPr>
                <w:b/>
                <w:bCs/>
                <w:kern w:val="16"/>
                <w:sz w:val="18"/>
                <w:szCs w:val="18"/>
              </w:rPr>
              <w:t>Separation</w:t>
            </w:r>
          </w:p>
        </w:tc>
      </w:tr>
      <w:tr w:rsidR="00AA3684" w:rsidRPr="00E56880" w:rsidTr="00CC243E">
        <w:trPr>
          <w:trHeight w:val="241"/>
        </w:trPr>
        <w:tc>
          <w:tcPr>
            <w:tcW w:w="947"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MINOS-1</w:t>
            </w:r>
          </w:p>
        </w:tc>
        <w:tc>
          <w:tcPr>
            <w:tcW w:w="961" w:type="dxa"/>
            <w:tcBorders>
              <w:top w:val="single" w:sz="12" w:space="0" w:color="auto"/>
            </w:tcBorders>
          </w:tcPr>
          <w:p w:rsidR="00AA3684" w:rsidRPr="003C52DD" w:rsidRDefault="00AA3684" w:rsidP="00CC243E">
            <w:pPr>
              <w:pStyle w:val="TableCaption"/>
              <w:jc w:val="left"/>
              <w:rPr>
                <w:kern w:val="16"/>
                <w:sz w:val="18"/>
                <w:szCs w:val="18"/>
              </w:rPr>
            </w:pPr>
            <w:proofErr w:type="spellStart"/>
            <w:r>
              <w:rPr>
                <w:kern w:val="16"/>
                <w:sz w:val="18"/>
                <w:szCs w:val="18"/>
              </w:rPr>
              <w:t>Fermilab</w:t>
            </w:r>
            <w:proofErr w:type="spellEnd"/>
          </w:p>
        </w:tc>
        <w:tc>
          <w:tcPr>
            <w:tcW w:w="960"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SAS-E</w:t>
            </w:r>
          </w:p>
        </w:tc>
        <w:tc>
          <w:tcPr>
            <w:tcW w:w="856"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4</w:t>
            </w:r>
          </w:p>
        </w:tc>
        <w:tc>
          <w:tcPr>
            <w:tcW w:w="1057" w:type="dxa"/>
            <w:tcBorders>
              <w:top w:val="single" w:sz="12" w:space="0" w:color="auto"/>
            </w:tcBorders>
          </w:tcPr>
          <w:p w:rsidR="00AA3684" w:rsidRPr="003C52DD" w:rsidRDefault="00AA3684" w:rsidP="00CC243E">
            <w:pPr>
              <w:pStyle w:val="TableCaption"/>
              <w:jc w:val="left"/>
              <w:rPr>
                <w:kern w:val="16"/>
                <w:sz w:val="18"/>
                <w:szCs w:val="18"/>
              </w:rPr>
            </w:pPr>
            <w:r>
              <w:rPr>
                <w:kern w:val="16"/>
                <w:sz w:val="18"/>
                <w:szCs w:val="18"/>
              </w:rPr>
              <w:t>7 m</w:t>
            </w:r>
          </w:p>
        </w:tc>
      </w:tr>
      <w:tr w:rsidR="00AA3684" w:rsidRPr="00E56880" w:rsidTr="00CC243E">
        <w:tc>
          <w:tcPr>
            <w:tcW w:w="947" w:type="dxa"/>
          </w:tcPr>
          <w:p w:rsidR="00AA3684" w:rsidRPr="003C52DD" w:rsidRDefault="00AA3684" w:rsidP="00CC243E">
            <w:pPr>
              <w:pStyle w:val="TableCaption"/>
              <w:jc w:val="left"/>
              <w:rPr>
                <w:kern w:val="16"/>
                <w:sz w:val="18"/>
                <w:szCs w:val="18"/>
              </w:rPr>
            </w:pPr>
            <w:r>
              <w:rPr>
                <w:kern w:val="16"/>
                <w:sz w:val="18"/>
                <w:szCs w:val="18"/>
              </w:rPr>
              <w:t>Array D</w:t>
            </w:r>
          </w:p>
        </w:tc>
        <w:tc>
          <w:tcPr>
            <w:tcW w:w="961" w:type="dxa"/>
          </w:tcPr>
          <w:p w:rsidR="00AA3684" w:rsidRPr="003C52DD" w:rsidRDefault="00AA3684" w:rsidP="00CC243E">
            <w:pPr>
              <w:pStyle w:val="TableCaption"/>
              <w:jc w:val="left"/>
              <w:rPr>
                <w:kern w:val="16"/>
                <w:sz w:val="18"/>
                <w:szCs w:val="18"/>
              </w:rPr>
            </w:pPr>
            <w:r>
              <w:rPr>
                <w:kern w:val="16"/>
                <w:sz w:val="18"/>
                <w:szCs w:val="18"/>
              </w:rPr>
              <w:t>SURF</w:t>
            </w:r>
          </w:p>
        </w:tc>
        <w:tc>
          <w:tcPr>
            <w:tcW w:w="960" w:type="dxa"/>
          </w:tcPr>
          <w:p w:rsidR="00AA3684" w:rsidRPr="003C52DD" w:rsidRDefault="00AA3684" w:rsidP="00CC243E">
            <w:pPr>
              <w:pStyle w:val="TableCaption"/>
              <w:jc w:val="left"/>
              <w:rPr>
                <w:kern w:val="16"/>
                <w:sz w:val="18"/>
                <w:szCs w:val="18"/>
              </w:rPr>
            </w:pPr>
            <w:r>
              <w:rPr>
                <w:kern w:val="16"/>
                <w:sz w:val="18"/>
                <w:szCs w:val="18"/>
              </w:rPr>
              <w:t>ULSE</w:t>
            </w:r>
          </w:p>
        </w:tc>
        <w:tc>
          <w:tcPr>
            <w:tcW w:w="856" w:type="dxa"/>
          </w:tcPr>
          <w:p w:rsidR="00AA3684" w:rsidRDefault="00AA3684" w:rsidP="00CC243E">
            <w:pPr>
              <w:pStyle w:val="TableCaption"/>
              <w:jc w:val="left"/>
              <w:rPr>
                <w:kern w:val="16"/>
                <w:sz w:val="18"/>
                <w:szCs w:val="18"/>
              </w:rPr>
            </w:pPr>
            <w:r>
              <w:rPr>
                <w:kern w:val="16"/>
                <w:sz w:val="18"/>
                <w:szCs w:val="18"/>
              </w:rPr>
              <w:t>12</w:t>
            </w:r>
          </w:p>
        </w:tc>
        <w:tc>
          <w:tcPr>
            <w:tcW w:w="1057" w:type="dxa"/>
          </w:tcPr>
          <w:p w:rsidR="00AA3684" w:rsidRDefault="00AA3684" w:rsidP="00CC243E">
            <w:pPr>
              <w:pStyle w:val="TableCaption"/>
              <w:jc w:val="left"/>
              <w:rPr>
                <w:kern w:val="16"/>
                <w:sz w:val="18"/>
                <w:szCs w:val="18"/>
              </w:rPr>
            </w:pPr>
            <w:r>
              <w:rPr>
                <w:kern w:val="16"/>
                <w:sz w:val="18"/>
                <w:szCs w:val="18"/>
              </w:rPr>
              <w:t>30 m</w:t>
            </w:r>
          </w:p>
        </w:tc>
      </w:tr>
      <w:tr w:rsidR="00AA3684" w:rsidRPr="00E56880" w:rsidTr="00CC243E">
        <w:tc>
          <w:tcPr>
            <w:tcW w:w="947" w:type="dxa"/>
          </w:tcPr>
          <w:p w:rsidR="00AA3684" w:rsidRPr="003C52DD" w:rsidRDefault="00AA3684" w:rsidP="00CC243E">
            <w:pPr>
              <w:pStyle w:val="TableCaption"/>
              <w:jc w:val="left"/>
              <w:rPr>
                <w:kern w:val="16"/>
                <w:sz w:val="18"/>
                <w:szCs w:val="18"/>
              </w:rPr>
            </w:pPr>
            <w:r>
              <w:rPr>
                <w:kern w:val="16"/>
                <w:sz w:val="18"/>
                <w:szCs w:val="18"/>
              </w:rPr>
              <w:t>B0 low beta quads</w:t>
            </w:r>
          </w:p>
        </w:tc>
        <w:tc>
          <w:tcPr>
            <w:tcW w:w="961" w:type="dxa"/>
          </w:tcPr>
          <w:p w:rsidR="00AA3684" w:rsidRPr="003C52DD" w:rsidRDefault="00AA3684" w:rsidP="00CC243E">
            <w:pPr>
              <w:pStyle w:val="TableCaption"/>
              <w:jc w:val="left"/>
              <w:rPr>
                <w:kern w:val="16"/>
                <w:sz w:val="18"/>
                <w:szCs w:val="18"/>
              </w:rPr>
            </w:pPr>
            <w:proofErr w:type="spellStart"/>
            <w:r>
              <w:rPr>
                <w:kern w:val="16"/>
                <w:sz w:val="18"/>
                <w:szCs w:val="18"/>
              </w:rPr>
              <w:t>Fermilab</w:t>
            </w:r>
            <w:proofErr w:type="spellEnd"/>
            <w:r>
              <w:rPr>
                <w:kern w:val="16"/>
                <w:sz w:val="18"/>
                <w:szCs w:val="18"/>
              </w:rPr>
              <w:t xml:space="preserve"> </w:t>
            </w:r>
            <w:proofErr w:type="spellStart"/>
            <w:r>
              <w:rPr>
                <w:kern w:val="16"/>
                <w:sz w:val="18"/>
                <w:szCs w:val="18"/>
              </w:rPr>
              <w:t>Tevatron</w:t>
            </w:r>
            <w:proofErr w:type="spellEnd"/>
          </w:p>
        </w:tc>
        <w:tc>
          <w:tcPr>
            <w:tcW w:w="960" w:type="dxa"/>
          </w:tcPr>
          <w:p w:rsidR="00AA3684" w:rsidRPr="003C52DD" w:rsidRDefault="00AA3684" w:rsidP="00CC243E">
            <w:pPr>
              <w:pStyle w:val="TableCaption"/>
              <w:jc w:val="left"/>
              <w:rPr>
                <w:kern w:val="16"/>
                <w:sz w:val="18"/>
                <w:szCs w:val="18"/>
              </w:rPr>
            </w:pPr>
            <w:r>
              <w:rPr>
                <w:kern w:val="16"/>
                <w:sz w:val="18"/>
                <w:szCs w:val="18"/>
              </w:rPr>
              <w:t>SAS</w:t>
            </w:r>
          </w:p>
        </w:tc>
        <w:tc>
          <w:tcPr>
            <w:tcW w:w="856" w:type="dxa"/>
          </w:tcPr>
          <w:p w:rsidR="00AA3684" w:rsidRDefault="00AA3684" w:rsidP="00CC243E">
            <w:pPr>
              <w:pStyle w:val="TableCaption"/>
              <w:jc w:val="left"/>
              <w:rPr>
                <w:kern w:val="16"/>
                <w:sz w:val="18"/>
                <w:szCs w:val="18"/>
              </w:rPr>
            </w:pPr>
            <w:r>
              <w:rPr>
                <w:kern w:val="16"/>
                <w:sz w:val="18"/>
                <w:szCs w:val="18"/>
              </w:rPr>
              <w:t>9</w:t>
            </w:r>
          </w:p>
        </w:tc>
        <w:tc>
          <w:tcPr>
            <w:tcW w:w="1057" w:type="dxa"/>
          </w:tcPr>
          <w:p w:rsidR="00AA3684" w:rsidRDefault="00AA3684" w:rsidP="00CC243E">
            <w:pPr>
              <w:pStyle w:val="TableCaption"/>
              <w:jc w:val="left"/>
              <w:rPr>
                <w:kern w:val="16"/>
                <w:sz w:val="18"/>
                <w:szCs w:val="18"/>
              </w:rPr>
            </w:pPr>
            <w:r>
              <w:rPr>
                <w:kern w:val="16"/>
                <w:sz w:val="18"/>
                <w:szCs w:val="18"/>
              </w:rPr>
              <w:t>Varies</w:t>
            </w:r>
          </w:p>
        </w:tc>
      </w:tr>
      <w:tr w:rsidR="00AA3684" w:rsidRPr="00E56880" w:rsidTr="00CC243E">
        <w:tc>
          <w:tcPr>
            <w:tcW w:w="947" w:type="dxa"/>
          </w:tcPr>
          <w:p w:rsidR="00AA3684" w:rsidRDefault="00AA3684" w:rsidP="00CC243E">
            <w:pPr>
              <w:pStyle w:val="TableCaption"/>
              <w:jc w:val="left"/>
              <w:rPr>
                <w:kern w:val="16"/>
                <w:sz w:val="18"/>
                <w:szCs w:val="18"/>
              </w:rPr>
            </w:pPr>
            <w:r>
              <w:rPr>
                <w:kern w:val="16"/>
                <w:sz w:val="18"/>
                <w:szCs w:val="18"/>
              </w:rPr>
              <w:t>D0 low beta quads</w:t>
            </w:r>
          </w:p>
        </w:tc>
        <w:tc>
          <w:tcPr>
            <w:tcW w:w="961" w:type="dxa"/>
          </w:tcPr>
          <w:p w:rsidR="00AA3684" w:rsidRDefault="00AA3684" w:rsidP="00CC243E">
            <w:pPr>
              <w:pStyle w:val="TableCaption"/>
              <w:jc w:val="left"/>
              <w:rPr>
                <w:kern w:val="16"/>
                <w:sz w:val="18"/>
                <w:szCs w:val="18"/>
              </w:rPr>
            </w:pPr>
            <w:proofErr w:type="spellStart"/>
            <w:r>
              <w:rPr>
                <w:kern w:val="16"/>
                <w:sz w:val="18"/>
                <w:szCs w:val="18"/>
              </w:rPr>
              <w:t>Fermilab</w:t>
            </w:r>
            <w:proofErr w:type="spellEnd"/>
            <w:r>
              <w:rPr>
                <w:kern w:val="16"/>
                <w:sz w:val="18"/>
                <w:szCs w:val="18"/>
              </w:rPr>
              <w:t xml:space="preserve"> </w:t>
            </w:r>
            <w:proofErr w:type="spellStart"/>
            <w:r>
              <w:rPr>
                <w:kern w:val="16"/>
                <w:sz w:val="18"/>
                <w:szCs w:val="18"/>
              </w:rPr>
              <w:t>Tevatron</w:t>
            </w:r>
            <w:proofErr w:type="spellEnd"/>
          </w:p>
        </w:tc>
        <w:tc>
          <w:tcPr>
            <w:tcW w:w="960" w:type="dxa"/>
          </w:tcPr>
          <w:p w:rsidR="00AA3684" w:rsidRDefault="00AA3684" w:rsidP="00CC243E">
            <w:pPr>
              <w:pStyle w:val="TableCaption"/>
              <w:jc w:val="left"/>
              <w:rPr>
                <w:kern w:val="16"/>
                <w:sz w:val="18"/>
                <w:szCs w:val="18"/>
              </w:rPr>
            </w:pPr>
            <w:r>
              <w:rPr>
                <w:kern w:val="16"/>
                <w:sz w:val="18"/>
                <w:szCs w:val="18"/>
              </w:rPr>
              <w:t>SAS</w:t>
            </w:r>
          </w:p>
        </w:tc>
        <w:tc>
          <w:tcPr>
            <w:tcW w:w="856" w:type="dxa"/>
          </w:tcPr>
          <w:p w:rsidR="00AA3684" w:rsidRDefault="00AA3684" w:rsidP="00CC243E">
            <w:pPr>
              <w:pStyle w:val="TableCaption"/>
              <w:jc w:val="left"/>
              <w:rPr>
                <w:kern w:val="16"/>
                <w:sz w:val="18"/>
                <w:szCs w:val="18"/>
              </w:rPr>
            </w:pPr>
            <w:r>
              <w:rPr>
                <w:kern w:val="16"/>
                <w:sz w:val="18"/>
                <w:szCs w:val="18"/>
              </w:rPr>
              <w:t>9</w:t>
            </w:r>
          </w:p>
        </w:tc>
        <w:tc>
          <w:tcPr>
            <w:tcW w:w="1057" w:type="dxa"/>
          </w:tcPr>
          <w:p w:rsidR="00AA3684" w:rsidRDefault="00AA3684" w:rsidP="00CC243E">
            <w:pPr>
              <w:pStyle w:val="TableCaption"/>
              <w:jc w:val="left"/>
              <w:rPr>
                <w:kern w:val="16"/>
                <w:sz w:val="18"/>
                <w:szCs w:val="18"/>
              </w:rPr>
            </w:pPr>
            <w:r>
              <w:rPr>
                <w:kern w:val="16"/>
                <w:sz w:val="18"/>
                <w:szCs w:val="18"/>
              </w:rPr>
              <w:t>Varies</w:t>
            </w:r>
          </w:p>
        </w:tc>
      </w:tr>
      <w:tr w:rsidR="00AA3684" w:rsidRPr="00E56880" w:rsidTr="00CC243E">
        <w:tc>
          <w:tcPr>
            <w:tcW w:w="947" w:type="dxa"/>
          </w:tcPr>
          <w:p w:rsidR="00AA3684" w:rsidRDefault="00AA3684" w:rsidP="00CC243E">
            <w:pPr>
              <w:pStyle w:val="TableCaption"/>
              <w:jc w:val="left"/>
              <w:rPr>
                <w:kern w:val="16"/>
                <w:sz w:val="18"/>
                <w:szCs w:val="18"/>
              </w:rPr>
            </w:pPr>
            <w:proofErr w:type="spellStart"/>
            <w:r>
              <w:rPr>
                <w:kern w:val="16"/>
                <w:sz w:val="18"/>
                <w:szCs w:val="18"/>
              </w:rPr>
              <w:t>Tev</w:t>
            </w:r>
            <w:proofErr w:type="spellEnd"/>
            <w:r>
              <w:rPr>
                <w:kern w:val="16"/>
                <w:sz w:val="18"/>
                <w:szCs w:val="18"/>
              </w:rPr>
              <w:t xml:space="preserve"> Quads</w:t>
            </w:r>
          </w:p>
        </w:tc>
        <w:tc>
          <w:tcPr>
            <w:tcW w:w="961" w:type="dxa"/>
          </w:tcPr>
          <w:p w:rsidR="00AA3684" w:rsidRDefault="00AA3684" w:rsidP="00CC243E">
            <w:pPr>
              <w:pStyle w:val="TableCaption"/>
              <w:jc w:val="left"/>
              <w:rPr>
                <w:kern w:val="16"/>
                <w:sz w:val="18"/>
                <w:szCs w:val="18"/>
              </w:rPr>
            </w:pPr>
            <w:proofErr w:type="spellStart"/>
            <w:r>
              <w:rPr>
                <w:kern w:val="16"/>
                <w:sz w:val="18"/>
                <w:szCs w:val="18"/>
              </w:rPr>
              <w:t>Fermilab</w:t>
            </w:r>
            <w:proofErr w:type="spellEnd"/>
            <w:r>
              <w:rPr>
                <w:kern w:val="16"/>
                <w:sz w:val="18"/>
                <w:szCs w:val="18"/>
              </w:rPr>
              <w:t xml:space="preserve"> </w:t>
            </w:r>
            <w:proofErr w:type="spellStart"/>
            <w:r>
              <w:rPr>
                <w:kern w:val="16"/>
                <w:sz w:val="18"/>
                <w:szCs w:val="18"/>
              </w:rPr>
              <w:t>Tevatron</w:t>
            </w:r>
            <w:proofErr w:type="spellEnd"/>
          </w:p>
        </w:tc>
        <w:tc>
          <w:tcPr>
            <w:tcW w:w="960" w:type="dxa"/>
          </w:tcPr>
          <w:p w:rsidR="00AA3684" w:rsidRDefault="00AA3684" w:rsidP="00CC243E">
            <w:pPr>
              <w:pStyle w:val="TableCaption"/>
              <w:jc w:val="left"/>
              <w:rPr>
                <w:kern w:val="16"/>
                <w:sz w:val="18"/>
                <w:szCs w:val="18"/>
              </w:rPr>
            </w:pPr>
            <w:proofErr w:type="spellStart"/>
            <w:r>
              <w:rPr>
                <w:kern w:val="16"/>
                <w:sz w:val="18"/>
                <w:szCs w:val="18"/>
              </w:rPr>
              <w:t>Balluff</w:t>
            </w:r>
            <w:proofErr w:type="spellEnd"/>
          </w:p>
        </w:tc>
        <w:tc>
          <w:tcPr>
            <w:tcW w:w="856" w:type="dxa"/>
          </w:tcPr>
          <w:p w:rsidR="00AA3684" w:rsidRDefault="00AA3684" w:rsidP="00CC243E">
            <w:pPr>
              <w:pStyle w:val="TableCaption"/>
              <w:jc w:val="left"/>
              <w:rPr>
                <w:kern w:val="16"/>
                <w:sz w:val="18"/>
                <w:szCs w:val="18"/>
              </w:rPr>
            </w:pPr>
            <w:r>
              <w:rPr>
                <w:kern w:val="16"/>
                <w:sz w:val="18"/>
                <w:szCs w:val="18"/>
              </w:rPr>
              <w:t>204</w:t>
            </w:r>
          </w:p>
        </w:tc>
        <w:tc>
          <w:tcPr>
            <w:tcW w:w="1057" w:type="dxa"/>
          </w:tcPr>
          <w:p w:rsidR="00AA3684" w:rsidRDefault="00AA3684" w:rsidP="00CC243E">
            <w:pPr>
              <w:pStyle w:val="TableCaption"/>
              <w:jc w:val="left"/>
              <w:rPr>
                <w:kern w:val="16"/>
                <w:sz w:val="18"/>
                <w:szCs w:val="18"/>
              </w:rPr>
            </w:pPr>
            <w:r>
              <w:rPr>
                <w:kern w:val="16"/>
                <w:sz w:val="18"/>
                <w:szCs w:val="18"/>
              </w:rPr>
              <w:t>30 m</w:t>
            </w:r>
          </w:p>
        </w:tc>
      </w:tr>
    </w:tbl>
    <w:p w:rsidR="00AA3684" w:rsidRPr="00590E2D" w:rsidRDefault="00AA3684" w:rsidP="00AA3684">
      <w:pPr>
        <w:pStyle w:val="BodyTextIndent"/>
      </w:pPr>
    </w:p>
    <w:p w:rsidR="00AA3684" w:rsidRDefault="00AA3684" w:rsidP="00AA3684">
      <w:pPr>
        <w:pStyle w:val="Heading2"/>
      </w:pPr>
      <w:r>
        <w:t>MINOS systEms</w:t>
      </w:r>
    </w:p>
    <w:p w:rsidR="00AA3684" w:rsidRDefault="00AA3684" w:rsidP="00AA3684">
      <w:pPr>
        <w:pStyle w:val="BodyTextIndent"/>
      </w:pPr>
      <w:r>
        <w:rPr>
          <w:noProof/>
          <w:kern w:val="16"/>
          <w:lang w:val="en-US"/>
        </w:rPr>
        <mc:AlternateContent>
          <mc:Choice Requires="wps">
            <w:drawing>
              <wp:anchor distT="0" distB="0" distL="114300" distR="114300" simplePos="0" relativeHeight="251659264" behindDoc="0" locked="0" layoutInCell="1" allowOverlap="0" wp14:anchorId="5B6EB6D7" wp14:editId="41693244">
                <wp:simplePos x="0" y="0"/>
                <wp:positionH relativeFrom="column">
                  <wp:posOffset>-3146425</wp:posOffset>
                </wp:positionH>
                <wp:positionV relativeFrom="page">
                  <wp:posOffset>9194800</wp:posOffset>
                </wp:positionV>
                <wp:extent cx="2926080" cy="508000"/>
                <wp:effectExtent l="0" t="0" r="7620" b="6350"/>
                <wp:wrapTopAndBottom/>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84" w:rsidRDefault="00AA3684" w:rsidP="00AA3684">
                            <w:pPr>
                              <w:pStyle w:val="BodyTextIndent"/>
                              <w:tabs>
                                <w:tab w:val="left" w:leader="underscore" w:pos="1800"/>
                              </w:tabs>
                              <w:ind w:firstLine="0"/>
                              <w:rPr>
                                <w:kern w:val="16"/>
                                <w:sz w:val="8"/>
                              </w:rPr>
                            </w:pPr>
                            <w:r>
                              <w:rPr>
                                <w:kern w:val="16"/>
                                <w:sz w:val="8"/>
                              </w:rPr>
                              <w:tab/>
                            </w:r>
                          </w:p>
                          <w:p w:rsidR="00AA3684" w:rsidRPr="00212918" w:rsidRDefault="00AA3684" w:rsidP="00AA3684">
                            <w:pPr>
                              <w:pStyle w:val="FootnoteText"/>
                              <w:keepNext/>
                              <w:rPr>
                                <w:kern w:val="16"/>
                                <w:lang w:val="en-US"/>
                              </w:rPr>
                            </w:pPr>
                            <w:r>
                              <w:rPr>
                                <w:kern w:val="16"/>
                              </w:rPr>
                              <w:t xml:space="preserve">*Work supported by DoE Contract De-AC02-07CH11359 </w:t>
                            </w:r>
                            <w:r>
                              <w:rPr>
                                <w:kern w:val="16"/>
                                <w:lang w:val="en-US"/>
                              </w:rPr>
                              <w:t>and by NSF Grant # 0900351</w:t>
                            </w:r>
                          </w:p>
                          <w:p w:rsidR="00AA3684" w:rsidRDefault="00AA3684" w:rsidP="00AA3684">
                            <w:pPr>
                              <w:pStyle w:val="FootnoteText"/>
                              <w:rPr>
                                <w:kern w:val="16"/>
                              </w:rPr>
                            </w:pPr>
                            <w:r>
                              <w:t># volk@fnal.gov</w:t>
                            </w:r>
                          </w:p>
                          <w:p w:rsidR="00AA3684" w:rsidRPr="00E56880" w:rsidRDefault="00AA3684" w:rsidP="00AA3684">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47.75pt;margin-top:724pt;width:230.4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" o:allowoverlap="f" filled="f" stroked="f">
                <v:textbox inset="0,0,0,0">
                  <w:txbxContent>
                    <w:p w:rsidR="00AA3684" w:rsidRDefault="00AA3684" w:rsidP="00AA3684">
                      <w:pPr>
                        <w:pStyle w:val="BodyTextIndent"/>
                        <w:tabs>
                          <w:tab w:val="left" w:leader="underscore" w:pos="1800"/>
                        </w:tabs>
                        <w:ind w:firstLine="0"/>
                        <w:rPr>
                          <w:kern w:val="16"/>
                          <w:sz w:val="8"/>
                        </w:rPr>
                      </w:pPr>
                      <w:r>
                        <w:rPr>
                          <w:kern w:val="16"/>
                          <w:sz w:val="8"/>
                        </w:rPr>
                        <w:tab/>
                      </w:r>
                    </w:p>
                    <w:p w:rsidR="00AA3684" w:rsidRPr="00212918" w:rsidRDefault="00AA3684" w:rsidP="00AA3684">
                      <w:pPr>
                        <w:pStyle w:val="FootnoteText"/>
                        <w:keepNext/>
                        <w:rPr>
                          <w:kern w:val="16"/>
                          <w:lang w:val="en-US"/>
                        </w:rPr>
                      </w:pPr>
                      <w:r>
                        <w:rPr>
                          <w:kern w:val="16"/>
                        </w:rPr>
                        <w:t xml:space="preserve">*Work supported by DoE Contract De-AC02-07CH11359 </w:t>
                      </w:r>
                      <w:r>
                        <w:rPr>
                          <w:kern w:val="16"/>
                          <w:lang w:val="en-US"/>
                        </w:rPr>
                        <w:t>and by NSF Grant # 0900351</w:t>
                      </w:r>
                    </w:p>
                    <w:p w:rsidR="00AA3684" w:rsidRDefault="00AA3684" w:rsidP="00AA3684">
                      <w:pPr>
                        <w:pStyle w:val="FootnoteText"/>
                        <w:rPr>
                          <w:kern w:val="16"/>
                        </w:rPr>
                      </w:pPr>
                      <w:r>
                        <w:t># volk@fnal.gov</w:t>
                      </w:r>
                    </w:p>
                    <w:p w:rsidR="00AA3684" w:rsidRPr="00E56880" w:rsidRDefault="00AA3684" w:rsidP="00AA3684">
                      <w:pPr>
                        <w:rPr>
                          <w:rFonts w:ascii="Times New Roman" w:hAnsi="Times New Roman"/>
                        </w:rPr>
                      </w:pPr>
                    </w:p>
                  </w:txbxContent>
                </v:textbox>
                <w10:wrap type="topAndBottom" anchory="page"/>
              </v:shape>
            </w:pict>
          </mc:Fallback>
        </mc:AlternateContent>
      </w:r>
      <w:r>
        <w:t xml:space="preserve">The MINOS experiment [7] is a search for neutrino oscillations utilizing two neutrino detectors on located at </w:t>
      </w:r>
      <w:proofErr w:type="spellStart"/>
      <w:r>
        <w:t>Fermilab</w:t>
      </w:r>
      <w:proofErr w:type="spellEnd"/>
      <w:r>
        <w:t xml:space="preserve"> and the other in Soudan, Minnesota. For cosmic ray shielding requirements both detectors are located underground. The near detector on the </w:t>
      </w:r>
      <w:proofErr w:type="spellStart"/>
      <w:r>
        <w:t>Fermilab</w:t>
      </w:r>
      <w:proofErr w:type="spellEnd"/>
      <w:r>
        <w:t xml:space="preserve"> site is 100 m below grade at the interface of the </w:t>
      </w:r>
      <w:proofErr w:type="spellStart"/>
      <w:r>
        <w:t>Maquokata</w:t>
      </w:r>
      <w:proofErr w:type="spellEnd"/>
      <w:r>
        <w:t xml:space="preserve"> </w:t>
      </w:r>
      <w:r>
        <w:lastRenderedPageBreak/>
        <w:t xml:space="preserve">shale and the Galena </w:t>
      </w:r>
      <w:proofErr w:type="spellStart"/>
      <w:r>
        <w:t>Plattville</w:t>
      </w:r>
      <w:proofErr w:type="spellEnd"/>
      <w:r>
        <w:t xml:space="preserve"> dolomite. This is an interesting geological interface for accelerator physicists. Future accelerators built at </w:t>
      </w:r>
      <w:proofErr w:type="spellStart"/>
      <w:r>
        <w:t>Fermilab</w:t>
      </w:r>
      <w:proofErr w:type="spellEnd"/>
      <w:r>
        <w:t xml:space="preserve"> will need to be in geologically stable formations due to the small beam size and constraints on </w:t>
      </w:r>
      <w:proofErr w:type="spellStart"/>
      <w:r>
        <w:t>emmitance</w:t>
      </w:r>
      <w:proofErr w:type="spellEnd"/>
      <w:r>
        <w:t xml:space="preserve"> growth. The Galena </w:t>
      </w:r>
      <w:proofErr w:type="spellStart"/>
      <w:r>
        <w:t>Plattville</w:t>
      </w:r>
      <w:proofErr w:type="spellEnd"/>
      <w:r>
        <w:t xml:space="preserve"> dolomite is easily mined with either tunnel boring machines or drill and blast techniques. Since 2006 HLS sensors have been installed on the floor of the MINOS hall to determine the characteristics of the ground motion. </w:t>
      </w:r>
    </w:p>
    <w:p w:rsidR="00AA3684" w:rsidRDefault="00AA3684" w:rsidP="00AA3684">
      <w:pPr>
        <w:pStyle w:val="BodyTextNoIndent"/>
      </w:pPr>
    </w:p>
    <w:p w:rsidR="00AA3684" w:rsidRDefault="00AA3684" w:rsidP="00AA3684">
      <w:pPr>
        <w:pStyle w:val="BodyTextNoIndent"/>
      </w:pPr>
      <w:r>
        <w:t xml:space="preserve">The original system (MINOS-1) consisted of 7 SAS type sensors in a two fully filled pipe system; 4 in a north south arrangement along the west wall and 3 SAS-E sensors in an east west arrangement along the north wall. With the approval of the off axis </w:t>
      </w:r>
      <w:proofErr w:type="spellStart"/>
      <w:r>
        <w:t>Noνa</w:t>
      </w:r>
      <w:proofErr w:type="spellEnd"/>
      <w:r>
        <w:t xml:space="preserve"> [8] experiment, a new near detector hall is being constructed to the west of the existing detector. The </w:t>
      </w:r>
      <w:proofErr w:type="spellStart"/>
      <w:r>
        <w:t>Noνa</w:t>
      </w:r>
      <w:proofErr w:type="spellEnd"/>
      <w:r>
        <w:t xml:space="preserve"> construction has just begun. The system extends beyond the limits of the </w:t>
      </w:r>
      <w:proofErr w:type="spellStart"/>
      <w:r>
        <w:t>Noνa</w:t>
      </w:r>
      <w:proofErr w:type="spellEnd"/>
      <w:r>
        <w:t xml:space="preserve"> construction. This work will consist of excavation 1 or 2 caverns 24 m by 10 m by 7 m to accommodate the new near detector. It is anticipated that there will be floor motion associated with the removal of the rock.</w:t>
      </w:r>
    </w:p>
    <w:p w:rsidR="00AA3684" w:rsidRDefault="00AA3684" w:rsidP="00AA3684">
      <w:pPr>
        <w:pStyle w:val="BodyTextNoIndent"/>
      </w:pPr>
    </w:p>
    <w:p w:rsidR="00AA3684" w:rsidRDefault="00AA3684" w:rsidP="00AA3684">
      <w:pPr>
        <w:pStyle w:val="BodyTextNoIndent"/>
      </w:pPr>
      <w:r>
        <w:t xml:space="preserve">This construction project required the removal of the north south array. In January of 2012 a new north south array consisting of 7 SAS-E type sensors with a single half-filled pipe was installed on the east side of the detector hall. The east west leg was retained. Figure 1 shows a schematic layout of the systems. Figure 2 shows the new north south system. To make up for uneven floor granite slabs were used. These slabs are of uniform size and can be glued together with construction adhesive. </w:t>
      </w:r>
    </w:p>
    <w:p w:rsidR="00AA3684" w:rsidRDefault="00AA3684" w:rsidP="00AA3684">
      <w:pPr>
        <w:pStyle w:val="BodyTextNoIndent"/>
      </w:pPr>
    </w:p>
    <w:p w:rsidR="00AA3684" w:rsidRDefault="00AA3684" w:rsidP="00AA3684">
      <w:pPr>
        <w:pStyle w:val="BodyTextNoIndent"/>
      </w:pPr>
      <w:r>
        <w:rPr>
          <w:noProof/>
          <w:lang w:val="en-US"/>
        </w:rPr>
        <w:drawing>
          <wp:inline distT="0" distB="0" distL="0" distR="0" wp14:anchorId="543A9E32" wp14:editId="67D3C57E">
            <wp:extent cx="297180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S layout Fig 1.jpg"/>
                    <pic:cNvPicPr/>
                  </pic:nvPicPr>
                  <pic:blipFill rotWithShape="1">
                    <a:blip r:embed="rId9" cstate="print">
                      <a:extLst>
                        <a:ext uri="{28A0092B-C50C-407E-A947-70E740481C1C}">
                          <a14:useLocalDpi xmlns:a14="http://schemas.microsoft.com/office/drawing/2010/main" val="0"/>
                        </a:ext>
                      </a:extLst>
                    </a:blip>
                    <a:srcRect b="16838"/>
                    <a:stretch/>
                  </pic:blipFill>
                  <pic:spPr bwMode="auto">
                    <a:xfrm>
                      <a:off x="0" y="0"/>
                      <a:ext cx="2971800" cy="1847850"/>
                    </a:xfrm>
                    <a:prstGeom prst="rect">
                      <a:avLst/>
                    </a:prstGeom>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Figure 1: Schematic of MINOS HLS systems the circles indicate sensor</w:t>
      </w:r>
    </w:p>
    <w:p w:rsidR="00AA3684" w:rsidRDefault="00AA3684" w:rsidP="00AA3684">
      <w:pPr>
        <w:pStyle w:val="BodyTextNoIndent"/>
      </w:pPr>
    </w:p>
    <w:p w:rsidR="00AA3684" w:rsidRDefault="00AA3684" w:rsidP="00AA3684">
      <w:pPr>
        <w:pStyle w:val="BodyTextNoIndent"/>
        <w:keepNext/>
        <w:widowControl w:val="0"/>
      </w:pPr>
    </w:p>
    <w:p w:rsidR="00AA3684" w:rsidRDefault="00AA3684" w:rsidP="00AA3684">
      <w:pPr>
        <w:pStyle w:val="BodyTextNoIndent"/>
        <w:widowControl w:val="0"/>
      </w:pPr>
      <w:r>
        <w:t xml:space="preserve">Typical data are shown in figure 3. These results show the difference in two sensors 70 m apart from February 2012 until mid-August 2012. The data show the floor tilt, the tidal motion with a 12.6 hour period is visible in the data. Fast Fourier Transformation shows the tidal peaks figure 4. </w:t>
      </w:r>
      <w:r>
        <w:rPr>
          <w:noProof/>
          <w:lang w:val="en-US"/>
        </w:rPr>
        <w:lastRenderedPageBreak/>
        <w:drawing>
          <wp:inline distT="0" distB="0" distL="0" distR="0" wp14:anchorId="7D0EA71D" wp14:editId="362DF02F">
            <wp:extent cx="2843784" cy="274222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784" cy="2742220"/>
                    </a:xfrm>
                    <a:prstGeom prst="rect">
                      <a:avLst/>
                    </a:prstGeom>
                    <a:noFill/>
                  </pic:spPr>
                </pic:pic>
              </a:graphicData>
            </a:graphic>
          </wp:inline>
        </w:drawing>
      </w:r>
    </w:p>
    <w:p w:rsidR="00AA3684" w:rsidRDefault="00AA3684" w:rsidP="00AA3684">
      <w:pPr>
        <w:pStyle w:val="FigureCaption"/>
      </w:pPr>
      <w:r>
        <w:t>Figure 2: MINOS HLS system in the emergency passageway</w:t>
      </w:r>
    </w:p>
    <w:p w:rsidR="00AA3684" w:rsidRDefault="00AA3684" w:rsidP="00AA3684">
      <w:pPr>
        <w:pStyle w:val="BodyTextNoIndent"/>
      </w:pPr>
      <w:r>
        <w:rPr>
          <w:noProof/>
          <w:lang w:val="en-US"/>
        </w:rPr>
        <w:drawing>
          <wp:inline distT="0" distB="0" distL="0" distR="0" wp14:anchorId="2D214D0E" wp14:editId="7195E7E0">
            <wp:extent cx="2971800" cy="2171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89" t="7639" r="12008"/>
                    <a:stretch/>
                  </pic:blipFill>
                  <pic:spPr bwMode="auto">
                    <a:xfrm>
                      <a:off x="0" y="0"/>
                      <a:ext cx="2971800" cy="2171703"/>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Figure 3: Difference in two sensors 70 m apart</w:t>
      </w:r>
    </w:p>
    <w:p w:rsidR="00AA3684" w:rsidRDefault="00AA3684" w:rsidP="00AA3684">
      <w:pPr>
        <w:pStyle w:val="BodyTextNoIndent"/>
      </w:pPr>
      <w:r>
        <w:t>Other changes in the floor tilt can be seen, however it is still not clear what the cause of this motion is. The spikes are due either to rapid changes in air pressure or un-intended disruptions to the system (e.g., a sensor was accidentally kicked).</w:t>
      </w:r>
    </w:p>
    <w:p w:rsidR="00AA3684" w:rsidRDefault="00AA3684" w:rsidP="00AA3684">
      <w:pPr>
        <w:pStyle w:val="FigureCaption"/>
      </w:pPr>
      <w:r>
        <w:rPr>
          <w:noProof/>
          <w:lang w:val="en-US"/>
        </w:rPr>
        <w:drawing>
          <wp:inline distT="0" distB="0" distL="0" distR="0" wp14:anchorId="0E064B28" wp14:editId="227DE937">
            <wp:extent cx="2843784" cy="2176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784" cy="2176272"/>
                    </a:xfrm>
                    <a:prstGeom prst="rect">
                      <a:avLst/>
                    </a:prstGeom>
                    <a:noFill/>
                  </pic:spPr>
                </pic:pic>
              </a:graphicData>
            </a:graphic>
          </wp:inline>
        </w:drawing>
      </w:r>
      <w:r>
        <w:t>Figure 4 FFT of the difference in two sensors 70 m apart</w:t>
      </w:r>
    </w:p>
    <w:p w:rsidR="00AA3684" w:rsidRDefault="00AA3684" w:rsidP="00AA3684">
      <w:pPr>
        <w:pStyle w:val="Heading2"/>
      </w:pPr>
      <w:r>
        <w:lastRenderedPageBreak/>
        <w:t>LaFarge Mine North Aurora, Ill</w:t>
      </w:r>
    </w:p>
    <w:p w:rsidR="00AA3684" w:rsidRDefault="00AA3684" w:rsidP="00AA3684">
      <w:pPr>
        <w:pStyle w:val="BodyTextIndent"/>
      </w:pPr>
      <w:r>
        <w:t xml:space="preserve">The Lafarge mine is a dolomite mine operation 10 km south west of the </w:t>
      </w:r>
      <w:proofErr w:type="spellStart"/>
      <w:r>
        <w:t>Fermilab</w:t>
      </w:r>
      <w:proofErr w:type="spellEnd"/>
      <w:r>
        <w:t xml:space="preserve"> site. It is a room and pillar mine with drifts 20 meters wide by 20 meters high. The mine is in the Galena </w:t>
      </w:r>
      <w:proofErr w:type="spellStart"/>
      <w:r>
        <w:t>Plattville</w:t>
      </w:r>
      <w:proofErr w:type="spellEnd"/>
      <w:r>
        <w:t xml:space="preserve"> dolomite. Excavation is done via drill and blast. Figure 4 shows the difference in two sensors 120 meters apart the spikes are due to the blasts that occur every workday afternoon at 14:30 hours, there is no blasting on the weekends. Figure 5 shows the difference in two sensors for a period from June 2008 to December 2008. These data are from a north south array. The slope indicates the shift in the floor level caused by removal of material. The shift stops at the time the mine ceased operation due to the economic recession of late 2008. </w:t>
      </w:r>
    </w:p>
    <w:p w:rsidR="00AA3684" w:rsidRDefault="00AA3684" w:rsidP="00AA3684">
      <w:pPr>
        <w:pStyle w:val="BodyTextIndent"/>
        <w:ind w:firstLine="0"/>
      </w:pPr>
      <w:r>
        <w:rPr>
          <w:noProof/>
          <w:lang w:val="en-US"/>
        </w:rPr>
        <w:drawing>
          <wp:inline distT="0" distB="0" distL="0" distR="0" wp14:anchorId="53C3B34A" wp14:editId="15C1FDCB">
            <wp:extent cx="2971800" cy="2564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66" t="7645" r="11936"/>
                    <a:stretch/>
                  </pic:blipFill>
                  <pic:spPr bwMode="auto">
                    <a:xfrm>
                      <a:off x="0" y="0"/>
                      <a:ext cx="2971800" cy="2564491"/>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 xml:space="preserve">Figure 5: difference in two sensors 120 meters apart </w:t>
      </w:r>
      <w:proofErr w:type="spellStart"/>
      <w:r>
        <w:t>LaFarge</w:t>
      </w:r>
      <w:proofErr w:type="spellEnd"/>
      <w:r>
        <w:t xml:space="preserve"> min June to December 2008. </w:t>
      </w:r>
    </w:p>
    <w:p w:rsidR="00AA3684" w:rsidRDefault="00AA3684" w:rsidP="00AA3684">
      <w:pPr>
        <w:pStyle w:val="BodyTextNoIndent"/>
      </w:pPr>
      <w:r>
        <w:t xml:space="preserve">Large seismic events are detectable with HLS. Figure 6 shows tilt data from March of 2011 at the time of the Tohoku Japan earthquake. The tidal motions of the floor and the sharp jumps due to the local blasts can be clearly seen. The large displacement and subsequent motions is due to the Tohoku earthquake. This does pose issues for future accelerators in dealing with ground motion caused by large earthquakes. </w:t>
      </w:r>
    </w:p>
    <w:p w:rsidR="00AA3684" w:rsidRDefault="00AA3684" w:rsidP="00AA3684">
      <w:pPr>
        <w:pStyle w:val="BodyTextNoIndent"/>
      </w:pPr>
      <w:r>
        <w:rPr>
          <w:noProof/>
          <w:lang w:val="en-US"/>
        </w:rPr>
        <w:drawing>
          <wp:inline distT="0" distB="0" distL="0" distR="0" wp14:anchorId="38950343" wp14:editId="47AAFBC7">
            <wp:extent cx="2971800" cy="1946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87" t="8336" r="12775"/>
                    <a:stretch/>
                  </pic:blipFill>
                  <pic:spPr bwMode="auto">
                    <a:xfrm>
                      <a:off x="0" y="0"/>
                      <a:ext cx="2971800" cy="1946278"/>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Figure 6: differences in two sensors showing earth motion due to Tohoku earthquake March 2011.</w:t>
      </w:r>
    </w:p>
    <w:p w:rsidR="00AA3684" w:rsidRDefault="00AA3684" w:rsidP="00AA3684">
      <w:pPr>
        <w:pStyle w:val="Heading2"/>
      </w:pPr>
      <w:r>
        <w:lastRenderedPageBreak/>
        <w:t>Sanford Underground Research Facility</w:t>
      </w:r>
    </w:p>
    <w:p w:rsidR="00AA3684" w:rsidRPr="00590E2D" w:rsidRDefault="00AA3684" w:rsidP="00AA3684">
      <w:pPr>
        <w:pStyle w:val="BodyTextIndent"/>
      </w:pPr>
      <w:r>
        <w:t xml:space="preserve"> </w:t>
      </w:r>
    </w:p>
    <w:p w:rsidR="00AA3684" w:rsidRDefault="00AA3684" w:rsidP="00AA3684">
      <w:pPr>
        <w:pStyle w:val="BodyTextIndent"/>
      </w:pPr>
      <w:r>
        <w:t xml:space="preserve">The </w:t>
      </w:r>
      <w:proofErr w:type="spellStart"/>
      <w:r>
        <w:t>Sandford</w:t>
      </w:r>
      <w:proofErr w:type="spellEnd"/>
      <w:r>
        <w:t xml:space="preserve"> Underground Research Facility (SURF) [9] is located in the </w:t>
      </w:r>
      <w:proofErr w:type="spellStart"/>
      <w:r>
        <w:t>Homestake</w:t>
      </w:r>
      <w:proofErr w:type="spellEnd"/>
      <w:r>
        <w:t xml:space="preserve"> goldmine in Lead, South Dakota. The mine extends to a depth of 2720 m (8000 </w:t>
      </w:r>
      <w:proofErr w:type="spellStart"/>
      <w:r>
        <w:t>ft</w:t>
      </w:r>
      <w:proofErr w:type="spellEnd"/>
      <w:r>
        <w:t xml:space="preserve">) and has over 500 km of drifts. When </w:t>
      </w:r>
      <w:proofErr w:type="spellStart"/>
      <w:r>
        <w:t>Barrick</w:t>
      </w:r>
      <w:proofErr w:type="spellEnd"/>
      <w:r>
        <w:t xml:space="preserve"> ceased mine operations in 2003 the mine pumps were turned off allowing the lower levels of the mine to flood. Water reached the 4100 foot level. Since the start of the work converting the mine the water levels have decreased to the 6000 foot level. HLS sensors were installed at the 2000 and 4850 foot level to observe the change in floor tilt due to removal of the large mass of water. Figure 7 shows the floor tilt as measured by two sets of sensors on the 2000 foot level of the mine. This plot is the double differences between three sensors spaced 60 m apart. The jump in the one is due to an accidental re-adjustment of a sensor. The slope shows the continual motion of the mine floor. Water removal has ceased as of the summer of 2012 and the water level is being maintained at the 6000 foot level it is anticipated that the slope of these graphs will change as the rock readjusts to the water loads. </w:t>
      </w:r>
    </w:p>
    <w:p w:rsidR="00AA3684" w:rsidRDefault="00AA3684" w:rsidP="00AA3684">
      <w:pPr>
        <w:pStyle w:val="BodyTextIndent"/>
        <w:ind w:firstLine="0"/>
      </w:pPr>
      <w:r>
        <w:rPr>
          <w:noProof/>
          <w:lang w:val="en-US"/>
        </w:rPr>
        <w:drawing>
          <wp:inline distT="0" distB="0" distL="0" distR="0" wp14:anchorId="3A3DED45" wp14:editId="74C4501F">
            <wp:extent cx="2971800" cy="20574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22" t="2780" r="5482"/>
                    <a:stretch/>
                  </pic:blipFill>
                  <pic:spPr bwMode="auto">
                    <a:xfrm>
                      <a:off x="0" y="0"/>
                      <a:ext cx="2971800" cy="2057436"/>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Figure 7: floor tilt at the 2000 foot level at SURF.</w:t>
      </w:r>
    </w:p>
    <w:p w:rsidR="00AA3684" w:rsidRDefault="00AA3684" w:rsidP="00AA3684">
      <w:pPr>
        <w:pStyle w:val="BodyTextIndent"/>
        <w:ind w:firstLine="0"/>
      </w:pPr>
      <w:r>
        <w:t xml:space="preserve">At the 4850 foot level, 12 Ultra Sonic Level Sensors were installed in two half-filled pipe systems at an angle of 105 degrees. Figure 8 shows the difference in two sensors. The floor shows much less motion than at the 2000 foot level. The spikes are due to electronic noise in the sensors. The system had to be removed after only 9 months of data due to construction work. It is anticipated that a similar arrangement will be setup soon. </w:t>
      </w:r>
    </w:p>
    <w:p w:rsidR="00AA3684" w:rsidRDefault="00AA3684" w:rsidP="00AA3684">
      <w:pPr>
        <w:pStyle w:val="Heading2"/>
      </w:pPr>
      <w:r>
        <w:t>NML and Project X HLS</w:t>
      </w:r>
    </w:p>
    <w:p w:rsidR="00AA3684" w:rsidRDefault="00AA3684" w:rsidP="00AA3684">
      <w:pPr>
        <w:pStyle w:val="BodyTextIndent"/>
      </w:pPr>
    </w:p>
    <w:p w:rsidR="00AA3684" w:rsidRDefault="00AA3684" w:rsidP="00AA3684">
      <w:pPr>
        <w:pStyle w:val="BodyTextIndent"/>
      </w:pPr>
      <w:r>
        <w:t xml:space="preserve">At NML a test stand for superconducting RF models for use in Project X [10] has been setup.  The </w:t>
      </w:r>
      <w:proofErr w:type="spellStart"/>
      <w:r>
        <w:t>cryo</w:t>
      </w:r>
      <w:proofErr w:type="spellEnd"/>
      <w:r>
        <w:t xml:space="preserve"> modules will have a small aperture and high intensity beams. Active alignment of all accelerator components will be critical for operations. A simple half-filled pipe HLS system has been installed to monitor the motion of the </w:t>
      </w:r>
      <w:proofErr w:type="spellStart"/>
      <w:r>
        <w:t>cryo</w:t>
      </w:r>
      <w:proofErr w:type="spellEnd"/>
      <w:r>
        <w:t xml:space="preserve"> model stands. Due to the anticipated radiation levels during operation SAS type sensors have been </w:t>
      </w:r>
      <w:r>
        <w:lastRenderedPageBreak/>
        <w:t xml:space="preserve">installed. Figure 9 shows typical data for movement of the stands. </w:t>
      </w:r>
    </w:p>
    <w:p w:rsidR="00AA3684" w:rsidRDefault="00AA3684" w:rsidP="00AA3684">
      <w:pPr>
        <w:pStyle w:val="BodyTextIndent"/>
        <w:ind w:firstLine="0"/>
      </w:pPr>
    </w:p>
    <w:p w:rsidR="00AA3684" w:rsidRDefault="00AA3684" w:rsidP="00AA3684">
      <w:pPr>
        <w:pStyle w:val="BodyTextNoIndent"/>
        <w:jc w:val="center"/>
      </w:pPr>
      <w:r>
        <w:rPr>
          <w:noProof/>
          <w:lang w:val="en-US"/>
        </w:rPr>
        <w:drawing>
          <wp:inline distT="0" distB="0" distL="0" distR="0" wp14:anchorId="75B8C212" wp14:editId="4BFA2865">
            <wp:extent cx="2971800" cy="2628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22" t="9035" r="13263"/>
                    <a:stretch/>
                  </pic:blipFill>
                  <pic:spPr bwMode="auto">
                    <a:xfrm>
                      <a:off x="0" y="0"/>
                      <a:ext cx="2971800" cy="2628301"/>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Default="00AA3684" w:rsidP="00AA3684">
      <w:pPr>
        <w:pStyle w:val="FigureCaption"/>
      </w:pPr>
      <w:r>
        <w:t xml:space="preserve">Figure 8: Difference in two sensors 50 m </w:t>
      </w:r>
      <w:proofErr w:type="gramStart"/>
      <w:r>
        <w:t>apart</w:t>
      </w:r>
      <w:proofErr w:type="gramEnd"/>
      <w:r>
        <w:t xml:space="preserve"> 4850 foot level SURF. </w:t>
      </w:r>
    </w:p>
    <w:p w:rsidR="00AA3684" w:rsidRDefault="00AA3684" w:rsidP="00AA3684">
      <w:pPr>
        <w:pStyle w:val="BodyTextNoIndent"/>
      </w:pPr>
    </w:p>
    <w:p w:rsidR="00AA3684" w:rsidRDefault="00AA3684" w:rsidP="00AA3684">
      <w:pPr>
        <w:pStyle w:val="BodyTextNoIndent"/>
      </w:pPr>
      <w:r>
        <w:t xml:space="preserve">Due to the level of activity in the area it is difficult to obtain low noise data. The system is disturbed from time to time by technicians working on other aspects of the </w:t>
      </w:r>
      <w:proofErr w:type="spellStart"/>
      <w:r>
        <w:t>cryo</w:t>
      </w:r>
      <w:proofErr w:type="spellEnd"/>
      <w:r>
        <w:t xml:space="preserve"> modules.  For example, the sudden jumps in the levels are due to unintentional bumps of the sensors. During the weekends when there is no activity in the hall the tidal motion can be clearly seen.  </w:t>
      </w:r>
    </w:p>
    <w:p w:rsidR="00AA3684" w:rsidRDefault="00AA3684" w:rsidP="00AA3684">
      <w:pPr>
        <w:pStyle w:val="BodyTextNoIndent"/>
      </w:pPr>
    </w:p>
    <w:p w:rsidR="00AA3684" w:rsidRDefault="00AA3684" w:rsidP="00AA3684">
      <w:pPr>
        <w:pStyle w:val="BodyTextNoIndent"/>
      </w:pPr>
      <w:r>
        <w:t xml:space="preserve">The HLS system will be expanded as more components are installed. The next major pieces will be the electron gun upstream of the </w:t>
      </w:r>
      <w:proofErr w:type="spellStart"/>
      <w:r>
        <w:t>cryo</w:t>
      </w:r>
      <w:proofErr w:type="spellEnd"/>
      <w:r>
        <w:t xml:space="preserve"> modules. Eventually a downstream spectrometer will be added. HLS will extend the entire length of the system.</w:t>
      </w:r>
    </w:p>
    <w:p w:rsidR="00AA3684" w:rsidRDefault="00AA3684" w:rsidP="00AA3684">
      <w:pPr>
        <w:pStyle w:val="FigureCaption"/>
      </w:pPr>
      <w:r>
        <w:rPr>
          <w:noProof/>
          <w:lang w:val="en-US"/>
        </w:rPr>
        <w:drawing>
          <wp:inline distT="0" distB="0" distL="0" distR="0" wp14:anchorId="247BC13B" wp14:editId="3AB0C2E2">
            <wp:extent cx="2971800" cy="2148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88" t="7639" r="12179"/>
                    <a:stretch/>
                  </pic:blipFill>
                  <pic:spPr bwMode="auto">
                    <a:xfrm>
                      <a:off x="0" y="0"/>
                      <a:ext cx="2971800" cy="2148095"/>
                    </a:xfrm>
                    <a:prstGeom prst="rect">
                      <a:avLst/>
                    </a:prstGeom>
                    <a:noFill/>
                    <a:ln>
                      <a:noFill/>
                    </a:ln>
                    <a:extLst>
                      <a:ext uri="{53640926-AAD7-44D8-BBD7-CCE9431645EC}">
                        <a14:shadowObscured xmlns:a14="http://schemas.microsoft.com/office/drawing/2010/main"/>
                      </a:ext>
                    </a:extLst>
                  </pic:spPr>
                </pic:pic>
              </a:graphicData>
            </a:graphic>
          </wp:inline>
        </w:drawing>
      </w:r>
    </w:p>
    <w:p w:rsidR="00AA3684" w:rsidRPr="00A30977" w:rsidRDefault="00AA3684" w:rsidP="00AA3684">
      <w:pPr>
        <w:pStyle w:val="FigureCaption"/>
      </w:pPr>
      <w:r>
        <w:t xml:space="preserve">Figure 9: Sensors on </w:t>
      </w:r>
      <w:proofErr w:type="spellStart"/>
      <w:r>
        <w:t>cryo</w:t>
      </w:r>
      <w:proofErr w:type="spellEnd"/>
      <w:r>
        <w:t xml:space="preserve"> module stand at NML the sharp jumps are due to unintentional disturbances of the system.</w:t>
      </w:r>
    </w:p>
    <w:p w:rsidR="00AA3684" w:rsidRDefault="00AA3684" w:rsidP="00AA3684">
      <w:pPr>
        <w:pStyle w:val="BodyTextIndent"/>
      </w:pPr>
    </w:p>
    <w:p w:rsidR="00AA3684" w:rsidRDefault="00AA3684" w:rsidP="00AA3684">
      <w:pPr>
        <w:pStyle w:val="Heading2"/>
      </w:pPr>
      <w:r>
        <w:lastRenderedPageBreak/>
        <w:t>ATL law analysis</w:t>
      </w:r>
    </w:p>
    <w:p w:rsidR="00AA3684" w:rsidRDefault="00AA3684" w:rsidP="00AA3684">
      <w:pPr>
        <w:pStyle w:val="BodyTextIndent"/>
      </w:pPr>
    </w:p>
    <w:p w:rsidR="00AA3684" w:rsidRDefault="004F0971" w:rsidP="00AA3684">
      <w:pPr>
        <w:pStyle w:val="BodyTextIndent"/>
      </w:pPr>
      <w:r>
        <w:t>Ground motion data indicate long-term systematic drifts. If the area and HLS system are stabilized diffusive motions (non-systematic, random) can be detected, these motions represent the “background” motion of the ground’s fractals. Such motion follows the ATL Law [11, 12]</w:t>
      </w:r>
      <w:r w:rsidR="00AA3684">
        <w:t xml:space="preserve"> </w:t>
      </w:r>
      <w:r>
        <w:t xml:space="preserve">which describes the </w:t>
      </w:r>
      <w:proofErr w:type="spellStart"/>
      <w:r>
        <w:t>rms</w:t>
      </w:r>
      <w:proofErr w:type="spellEnd"/>
      <w:r>
        <w:t xml:space="preserve"> motion of two points relative to each other over time averaged over different observation points and different time series. </w:t>
      </w:r>
      <w:r w:rsidR="00AA3684">
        <w:t>The fundamental equation is</w:t>
      </w:r>
      <w:r>
        <w:t xml:space="preserve"> [13</w:t>
      </w:r>
      <w:proofErr w:type="gramStart"/>
      <w:r>
        <w:t xml:space="preserve">] </w:t>
      </w:r>
      <w:r w:rsidR="00AA3684">
        <w:t>:</w:t>
      </w:r>
      <w:proofErr w:type="gramEnd"/>
    </w:p>
    <w:p w:rsidR="00AA3684" w:rsidRDefault="00AA3684" w:rsidP="00AA3684">
      <w:pPr>
        <w:pStyle w:val="BodyTextIndent"/>
      </w:pPr>
    </w:p>
    <w:p w:rsidR="00AA3684" w:rsidRPr="00D439E6" w:rsidRDefault="004F0971" w:rsidP="00AA3684">
      <w:pPr>
        <w:pStyle w:val="BodyTextIndent"/>
      </w:pPr>
      <m:oMathPara>
        <m:oMath>
          <m:sSup>
            <m:sSupPr>
              <m:ctrlPr>
                <w:rPr>
                  <w:rFonts w:ascii="Cambria Math" w:hAnsi="Cambria Math"/>
                  <w:i/>
                </w:rPr>
              </m:ctrlPr>
            </m:sSupPr>
            <m:e>
              <m:r>
                <w:rPr>
                  <w:rFonts w:ascii="Cambria Math" w:hAnsi="Cambria Math"/>
                </w:rPr>
                <m:t>&lt;ds&gt;</m:t>
              </m:r>
            </m:e>
            <m:sup>
              <m:r>
                <w:rPr>
                  <w:rFonts w:ascii="Cambria Math" w:hAnsi="Cambria Math"/>
                </w:rPr>
                <m:t>2</m:t>
              </m:r>
            </m:sup>
          </m:sSup>
          <m:r>
            <w:rPr>
              <w:rFonts w:ascii="Cambria Math" w:hAnsi="Cambria Math"/>
            </w:rPr>
            <m:t>=ATL</m:t>
          </m:r>
        </m:oMath>
      </m:oMathPara>
    </w:p>
    <w:p w:rsidR="00AA3684" w:rsidRDefault="00AA3684" w:rsidP="00AA3684">
      <w:pPr>
        <w:pStyle w:val="BodyTextIndent"/>
      </w:pPr>
    </w:p>
    <w:p w:rsidR="00AA3684" w:rsidRDefault="00AA3684" w:rsidP="00AA3684">
      <w:pPr>
        <w:pStyle w:val="BodyTextNoIndent"/>
      </w:pPr>
      <w:proofErr w:type="gramStart"/>
      <w:r>
        <w:t>where</w:t>
      </w:r>
      <w:proofErr w:type="gramEnd"/>
      <w:r>
        <w:t xml:space="preserve"> variable T is the time interval, L the initial separation of the two points and A is a constant in µ</w:t>
      </w:r>
      <w:r w:rsidR="004F0971">
        <w:t>m</w:t>
      </w:r>
      <w:r w:rsidRPr="00D439E6">
        <w:rPr>
          <w:vertAlign w:val="superscript"/>
        </w:rPr>
        <w:t>2</w:t>
      </w:r>
      <w:r>
        <w:t xml:space="preserve"> per second per meter. The </w:t>
      </w:r>
      <w:r w:rsidR="004F0971">
        <w:t xml:space="preserve">diffusion </w:t>
      </w:r>
      <w:proofErr w:type="gramStart"/>
      <w:r>
        <w:t>A</w:t>
      </w:r>
      <w:proofErr w:type="gramEnd"/>
      <w:r>
        <w:t xml:space="preserve"> constant has been calculated for several of the systems on a month by month basis. In some cases the months were split where the system was disturbed and a large displacement in positions were observed. The process is to calculate the double differences for sets of three sensors. The double differences are defined as</w:t>
      </w:r>
    </w:p>
    <w:p w:rsidR="00AA3684" w:rsidRDefault="00AA3684" w:rsidP="00AA3684">
      <w:pPr>
        <w:pStyle w:val="BodyTextNoIndent"/>
      </w:pPr>
    </w:p>
    <w:p w:rsidR="00AA3684" w:rsidRDefault="00AA3684" w:rsidP="00AA3684">
      <w:pPr>
        <w:pStyle w:val="BodyTextNoIndent"/>
        <w:jc w:val="center"/>
      </w:pPr>
      <w:proofErr w:type="gramStart"/>
      <w:r w:rsidRPr="009E66D4">
        <w:rPr>
          <w:i/>
        </w:rPr>
        <w:t>ds</w:t>
      </w:r>
      <w:proofErr w:type="gramEnd"/>
      <w:r w:rsidRPr="009E66D4">
        <w:rPr>
          <w:i/>
        </w:rPr>
        <w:t xml:space="preserve"> </w:t>
      </w:r>
      <w:r>
        <w:t>= (S</w:t>
      </w:r>
      <w:r w:rsidRPr="009E66D4">
        <w:rPr>
          <w:vertAlign w:val="subscript"/>
        </w:rPr>
        <w:t>0</w:t>
      </w:r>
      <w:r>
        <w:t>-S</w:t>
      </w:r>
      <w:r w:rsidRPr="009E66D4">
        <w:rPr>
          <w:vertAlign w:val="subscript"/>
        </w:rPr>
        <w:t>1</w:t>
      </w:r>
      <w:r>
        <w:t>)-(S</w:t>
      </w:r>
      <w:r w:rsidRPr="009E66D4">
        <w:rPr>
          <w:vertAlign w:val="subscript"/>
        </w:rPr>
        <w:t>1</w:t>
      </w:r>
      <w:r>
        <w:t>-S</w:t>
      </w:r>
      <w:r w:rsidRPr="009E66D4">
        <w:rPr>
          <w:vertAlign w:val="subscript"/>
        </w:rPr>
        <w:t>2</w:t>
      </w:r>
      <w:r>
        <w:t>)</w:t>
      </w:r>
    </w:p>
    <w:p w:rsidR="00AA3684" w:rsidRDefault="00AA3684" w:rsidP="00AA3684">
      <w:pPr>
        <w:pStyle w:val="BodyTextNoIndent"/>
      </w:pPr>
    </w:p>
    <w:p w:rsidR="00AA3684" w:rsidRDefault="00AA3684" w:rsidP="00AA3684">
      <w:pPr>
        <w:pStyle w:val="BodyTextNoIndent"/>
      </w:pPr>
      <w:r>
        <w:t>Where S</w:t>
      </w:r>
      <w:r w:rsidRPr="009E66D4">
        <w:rPr>
          <w:vertAlign w:val="subscript"/>
        </w:rPr>
        <w:t>i</w:t>
      </w:r>
      <w:r>
        <w:t xml:space="preserve"> is the level value for </w:t>
      </w:r>
      <w:r w:rsidR="004F0971">
        <w:t>a given</w:t>
      </w:r>
      <w:bookmarkStart w:id="0" w:name="_GoBack"/>
      <w:bookmarkEnd w:id="0"/>
      <w:r>
        <w:t xml:space="preserve"> sensor. A least squares fit is applied to the double differences as a function of time. This is to remove the systematic shifts caused by motion such as observed in the 2000 foot level at SURF. Then the differences for various time slices from 1 minute up to two weeks are calculated. These values are then plotted versus time and the slope of the line yields the value of the constant </w:t>
      </w:r>
      <w:proofErr w:type="gramStart"/>
      <w:r>
        <w:t>A</w:t>
      </w:r>
      <w:proofErr w:type="gramEnd"/>
      <w:r>
        <w:t xml:space="preserve"> in µ</w:t>
      </w:r>
      <w:r w:rsidRPr="00DB6226">
        <w:rPr>
          <w:vertAlign w:val="superscript"/>
        </w:rPr>
        <w:t>2</w:t>
      </w:r>
      <w:r>
        <w:t xml:space="preserve"> per second per meter. Table 3 lists the A dependence values for the systems. </w:t>
      </w:r>
    </w:p>
    <w:p w:rsidR="00AA3684" w:rsidRDefault="00AA3684" w:rsidP="00AA3684">
      <w:pPr>
        <w:pStyle w:val="BodyTextNoIndent"/>
      </w:pPr>
    </w:p>
    <w:p w:rsidR="00AA3684" w:rsidRPr="003F0842" w:rsidRDefault="00AA3684" w:rsidP="00AA3684">
      <w:pPr>
        <w:pStyle w:val="BodyTextIndent"/>
      </w:pPr>
      <w:r>
        <w:t>Table 3</w:t>
      </w:r>
      <w:r w:rsidRPr="003F0842">
        <w:t xml:space="preserve">: </w:t>
      </w:r>
      <w:r>
        <w:t>A values for HLS systems</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152"/>
        <w:gridCol w:w="1152"/>
        <w:gridCol w:w="1152"/>
        <w:gridCol w:w="1152"/>
      </w:tblGrid>
      <w:tr w:rsidR="00AA3684" w:rsidRPr="003F0842" w:rsidTr="00CC243E">
        <w:tc>
          <w:tcPr>
            <w:tcW w:w="1152" w:type="dxa"/>
            <w:tcBorders>
              <w:top w:val="single" w:sz="12" w:space="0" w:color="auto"/>
              <w:bottom w:val="single" w:sz="12" w:space="0" w:color="auto"/>
            </w:tcBorders>
          </w:tcPr>
          <w:p w:rsidR="00AA3684" w:rsidRPr="003F0842" w:rsidRDefault="00AA3684" w:rsidP="00CC243E">
            <w:pPr>
              <w:pStyle w:val="BodyTextIndent"/>
              <w:rPr>
                <w:b/>
                <w:bCs/>
              </w:rPr>
            </w:pPr>
            <w:r>
              <w:rPr>
                <w:b/>
                <w:bCs/>
              </w:rPr>
              <w:t>Name</w:t>
            </w:r>
          </w:p>
        </w:tc>
        <w:tc>
          <w:tcPr>
            <w:tcW w:w="1152" w:type="dxa"/>
            <w:tcBorders>
              <w:top w:val="single" w:sz="12" w:space="0" w:color="auto"/>
              <w:bottom w:val="single" w:sz="12" w:space="0" w:color="auto"/>
            </w:tcBorders>
          </w:tcPr>
          <w:p w:rsidR="00AA3684" w:rsidRPr="003F0842" w:rsidRDefault="00AA3684" w:rsidP="00CC243E">
            <w:pPr>
              <w:pStyle w:val="BodyTextIndent"/>
              <w:rPr>
                <w:b/>
                <w:bCs/>
              </w:rPr>
            </w:pPr>
            <w:r>
              <w:rPr>
                <w:b/>
                <w:bCs/>
              </w:rPr>
              <w:t>Sensors</w:t>
            </w:r>
          </w:p>
        </w:tc>
        <w:tc>
          <w:tcPr>
            <w:tcW w:w="1152" w:type="dxa"/>
            <w:tcBorders>
              <w:top w:val="single" w:sz="12" w:space="0" w:color="auto"/>
              <w:bottom w:val="single" w:sz="12" w:space="0" w:color="auto"/>
            </w:tcBorders>
          </w:tcPr>
          <w:p w:rsidR="00AA3684" w:rsidRDefault="00AA3684" w:rsidP="00CC243E">
            <w:pPr>
              <w:pStyle w:val="BodyTextIndent"/>
              <w:rPr>
                <w:b/>
                <w:bCs/>
              </w:rPr>
            </w:pPr>
            <w:r>
              <w:rPr>
                <w:b/>
                <w:bCs/>
              </w:rPr>
              <w:t>Depth</w:t>
            </w:r>
          </w:p>
          <w:p w:rsidR="00AA3684" w:rsidRPr="003F0842" w:rsidRDefault="00AA3684" w:rsidP="00CC243E">
            <w:pPr>
              <w:pStyle w:val="BodyTextIndent"/>
              <w:rPr>
                <w:b/>
                <w:bCs/>
              </w:rPr>
            </w:pPr>
            <w:r>
              <w:rPr>
                <w:b/>
                <w:bCs/>
              </w:rPr>
              <w:t>meters</w:t>
            </w:r>
          </w:p>
        </w:tc>
        <w:tc>
          <w:tcPr>
            <w:tcW w:w="1152" w:type="dxa"/>
            <w:tcBorders>
              <w:top w:val="single" w:sz="12" w:space="0" w:color="auto"/>
              <w:bottom w:val="single" w:sz="12" w:space="0" w:color="auto"/>
            </w:tcBorders>
          </w:tcPr>
          <w:p w:rsidR="00AA3684" w:rsidRDefault="00AA3684" w:rsidP="00CC243E">
            <w:pPr>
              <w:pStyle w:val="BodyTextIndent"/>
              <w:jc w:val="center"/>
              <w:rPr>
                <w:b/>
                <w:bCs/>
              </w:rPr>
            </w:pPr>
            <w:r>
              <w:rPr>
                <w:b/>
                <w:bCs/>
              </w:rPr>
              <w:t>Average A</w:t>
            </w:r>
          </w:p>
          <w:p w:rsidR="00AA3684" w:rsidRDefault="00AA3684" w:rsidP="00CC243E">
            <w:pPr>
              <w:pStyle w:val="BodyTextIndent"/>
              <w:jc w:val="center"/>
              <w:rPr>
                <w:b/>
                <w:bCs/>
              </w:rPr>
            </w:pPr>
            <w:r>
              <w:rPr>
                <w:b/>
                <w:bCs/>
              </w:rPr>
              <w:t>µ</w:t>
            </w:r>
            <w:r w:rsidR="004F0971">
              <w:rPr>
                <w:b/>
                <w:bCs/>
              </w:rPr>
              <w:t>m</w:t>
            </w:r>
            <w:r w:rsidRPr="00E07A3C">
              <w:rPr>
                <w:b/>
                <w:bCs/>
                <w:vertAlign w:val="superscript"/>
              </w:rPr>
              <w:t>2</w:t>
            </w:r>
            <w:r>
              <w:rPr>
                <w:b/>
                <w:bCs/>
              </w:rPr>
              <w:t>/s/m</w:t>
            </w:r>
          </w:p>
          <w:p w:rsidR="00AA3684" w:rsidRPr="003F0842" w:rsidRDefault="00AA3684" w:rsidP="00CC243E">
            <w:pPr>
              <w:pStyle w:val="BodyTextIndent"/>
              <w:jc w:val="center"/>
              <w:rPr>
                <w:b/>
                <w:bCs/>
              </w:rPr>
            </w:pPr>
            <w:r>
              <w:rPr>
                <w:b/>
                <w:bCs/>
              </w:rPr>
              <w:t xml:space="preserve">x 10 </w:t>
            </w:r>
            <w:r w:rsidRPr="00E07A3C">
              <w:rPr>
                <w:b/>
                <w:bCs/>
                <w:vertAlign w:val="superscript"/>
              </w:rPr>
              <w:t>-5</w:t>
            </w:r>
          </w:p>
        </w:tc>
      </w:tr>
      <w:tr w:rsidR="00AA3684" w:rsidRPr="003F0842" w:rsidTr="00CC243E">
        <w:trPr>
          <w:trHeight w:val="241"/>
        </w:trPr>
        <w:tc>
          <w:tcPr>
            <w:tcW w:w="1152" w:type="dxa"/>
            <w:tcBorders>
              <w:top w:val="single" w:sz="12" w:space="0" w:color="auto"/>
            </w:tcBorders>
          </w:tcPr>
          <w:p w:rsidR="00AA3684" w:rsidRPr="003F0842" w:rsidRDefault="00AA3684" w:rsidP="00CC243E">
            <w:pPr>
              <w:pStyle w:val="BodyTextIndent"/>
              <w:jc w:val="center"/>
            </w:pPr>
            <w:proofErr w:type="spellStart"/>
            <w:r>
              <w:t>LaFarge</w:t>
            </w:r>
            <w:proofErr w:type="spellEnd"/>
          </w:p>
        </w:tc>
        <w:tc>
          <w:tcPr>
            <w:tcW w:w="1152" w:type="dxa"/>
            <w:tcBorders>
              <w:top w:val="single" w:sz="12" w:space="0" w:color="auto"/>
            </w:tcBorders>
          </w:tcPr>
          <w:p w:rsidR="00AA3684" w:rsidRPr="003F0842" w:rsidRDefault="00AA3684" w:rsidP="00CC243E">
            <w:pPr>
              <w:pStyle w:val="BodyTextIndent"/>
              <w:jc w:val="center"/>
            </w:pPr>
            <w:r>
              <w:t>4</w:t>
            </w:r>
          </w:p>
        </w:tc>
        <w:tc>
          <w:tcPr>
            <w:tcW w:w="1152" w:type="dxa"/>
            <w:tcBorders>
              <w:top w:val="single" w:sz="12" w:space="0" w:color="auto"/>
            </w:tcBorders>
          </w:tcPr>
          <w:p w:rsidR="00AA3684" w:rsidRPr="003F0842" w:rsidRDefault="00AA3684" w:rsidP="00CC243E">
            <w:pPr>
              <w:pStyle w:val="BodyTextIndent"/>
              <w:jc w:val="center"/>
            </w:pPr>
            <w:r>
              <w:t>110</w:t>
            </w:r>
          </w:p>
        </w:tc>
        <w:tc>
          <w:tcPr>
            <w:tcW w:w="1152" w:type="dxa"/>
            <w:tcBorders>
              <w:top w:val="single" w:sz="12" w:space="0" w:color="auto"/>
            </w:tcBorders>
          </w:tcPr>
          <w:p w:rsidR="00AA3684" w:rsidRPr="003F0842" w:rsidRDefault="00AA3684" w:rsidP="00CC243E">
            <w:pPr>
              <w:pStyle w:val="BodyTextIndent"/>
              <w:jc w:val="center"/>
            </w:pPr>
            <w:r>
              <w:t>1.61</w:t>
            </w:r>
          </w:p>
        </w:tc>
      </w:tr>
      <w:tr w:rsidR="00AA3684" w:rsidRPr="003F0842" w:rsidTr="00CC243E">
        <w:tc>
          <w:tcPr>
            <w:tcW w:w="1152" w:type="dxa"/>
          </w:tcPr>
          <w:p w:rsidR="00AA3684" w:rsidRPr="003F0842" w:rsidRDefault="00AA3684" w:rsidP="00CC243E">
            <w:pPr>
              <w:pStyle w:val="BodyTextIndent"/>
              <w:jc w:val="center"/>
            </w:pPr>
            <w:r>
              <w:t>Minos1</w:t>
            </w:r>
          </w:p>
        </w:tc>
        <w:tc>
          <w:tcPr>
            <w:tcW w:w="1152" w:type="dxa"/>
          </w:tcPr>
          <w:p w:rsidR="00AA3684" w:rsidRPr="003F0842" w:rsidRDefault="00AA3684" w:rsidP="00CC243E">
            <w:pPr>
              <w:pStyle w:val="BodyTextIndent"/>
              <w:jc w:val="center"/>
            </w:pPr>
            <w:r>
              <w:t>4</w:t>
            </w:r>
          </w:p>
        </w:tc>
        <w:tc>
          <w:tcPr>
            <w:tcW w:w="1152" w:type="dxa"/>
          </w:tcPr>
          <w:p w:rsidR="00AA3684" w:rsidRPr="003F0842" w:rsidRDefault="00AA3684" w:rsidP="00CC243E">
            <w:pPr>
              <w:pStyle w:val="BodyTextIndent"/>
              <w:jc w:val="center"/>
            </w:pPr>
            <w:r>
              <w:t>100</w:t>
            </w:r>
          </w:p>
        </w:tc>
        <w:tc>
          <w:tcPr>
            <w:tcW w:w="1152" w:type="dxa"/>
          </w:tcPr>
          <w:p w:rsidR="00AA3684" w:rsidRPr="003F0842" w:rsidRDefault="00AA3684" w:rsidP="00CC243E">
            <w:pPr>
              <w:pStyle w:val="BodyTextIndent"/>
              <w:jc w:val="center"/>
            </w:pPr>
            <w:r>
              <w:t>3.01</w:t>
            </w:r>
          </w:p>
        </w:tc>
      </w:tr>
      <w:tr w:rsidR="00AA3684" w:rsidRPr="003F0842" w:rsidTr="00CC243E">
        <w:tc>
          <w:tcPr>
            <w:tcW w:w="1152" w:type="dxa"/>
          </w:tcPr>
          <w:p w:rsidR="00AA3684" w:rsidRPr="003F0842" w:rsidRDefault="00AA3684" w:rsidP="00CC243E">
            <w:pPr>
              <w:pStyle w:val="BodyTextIndent"/>
              <w:jc w:val="center"/>
            </w:pPr>
            <w:r>
              <w:t>Minos2</w:t>
            </w:r>
          </w:p>
        </w:tc>
        <w:tc>
          <w:tcPr>
            <w:tcW w:w="1152" w:type="dxa"/>
          </w:tcPr>
          <w:p w:rsidR="00AA3684" w:rsidRPr="003F0842" w:rsidRDefault="00AA3684" w:rsidP="00CC243E">
            <w:pPr>
              <w:pStyle w:val="BodyTextIndent"/>
              <w:jc w:val="center"/>
            </w:pPr>
            <w:r>
              <w:t>7</w:t>
            </w:r>
          </w:p>
        </w:tc>
        <w:tc>
          <w:tcPr>
            <w:tcW w:w="1152" w:type="dxa"/>
          </w:tcPr>
          <w:p w:rsidR="00AA3684" w:rsidRPr="003F0842" w:rsidRDefault="00AA3684" w:rsidP="00CC243E">
            <w:pPr>
              <w:pStyle w:val="BodyTextIndent"/>
              <w:jc w:val="center"/>
            </w:pPr>
            <w:r>
              <w:t>100</w:t>
            </w:r>
          </w:p>
        </w:tc>
        <w:tc>
          <w:tcPr>
            <w:tcW w:w="1152" w:type="dxa"/>
          </w:tcPr>
          <w:p w:rsidR="00AA3684" w:rsidRPr="003F0842" w:rsidRDefault="00AA3684" w:rsidP="00CC243E">
            <w:pPr>
              <w:pStyle w:val="BodyTextIndent"/>
              <w:jc w:val="center"/>
            </w:pPr>
            <w:r>
              <w:t>3.91</w:t>
            </w:r>
          </w:p>
        </w:tc>
      </w:tr>
      <w:tr w:rsidR="00AA3684" w:rsidRPr="003F0842" w:rsidTr="00CC243E">
        <w:tc>
          <w:tcPr>
            <w:tcW w:w="1152" w:type="dxa"/>
          </w:tcPr>
          <w:p w:rsidR="00AA3684" w:rsidRPr="003F0842" w:rsidRDefault="00AA3684" w:rsidP="00CC243E">
            <w:pPr>
              <w:pStyle w:val="BodyTextIndent"/>
              <w:jc w:val="center"/>
            </w:pPr>
            <w:r>
              <w:t>Array C</w:t>
            </w:r>
          </w:p>
        </w:tc>
        <w:tc>
          <w:tcPr>
            <w:tcW w:w="1152" w:type="dxa"/>
          </w:tcPr>
          <w:p w:rsidR="00AA3684" w:rsidRPr="003F0842" w:rsidRDefault="00AA3684" w:rsidP="00CC243E">
            <w:pPr>
              <w:pStyle w:val="BodyTextIndent"/>
              <w:jc w:val="center"/>
            </w:pPr>
            <w:r>
              <w:t>6</w:t>
            </w:r>
          </w:p>
        </w:tc>
        <w:tc>
          <w:tcPr>
            <w:tcW w:w="1152" w:type="dxa"/>
          </w:tcPr>
          <w:p w:rsidR="00AA3684" w:rsidRPr="003F0842" w:rsidRDefault="00AA3684" w:rsidP="00CC243E">
            <w:pPr>
              <w:pStyle w:val="BodyTextIndent"/>
              <w:jc w:val="center"/>
            </w:pPr>
            <w:r>
              <w:t>680</w:t>
            </w:r>
          </w:p>
        </w:tc>
        <w:tc>
          <w:tcPr>
            <w:tcW w:w="1152" w:type="dxa"/>
          </w:tcPr>
          <w:p w:rsidR="00AA3684" w:rsidRPr="003F0842" w:rsidRDefault="00AA3684" w:rsidP="00CC243E">
            <w:pPr>
              <w:pStyle w:val="BodyTextIndent"/>
              <w:jc w:val="center"/>
            </w:pPr>
            <w:r>
              <w:t>0.09</w:t>
            </w:r>
          </w:p>
        </w:tc>
      </w:tr>
      <w:tr w:rsidR="00AA3684" w:rsidRPr="003F0842" w:rsidTr="00CC243E">
        <w:tc>
          <w:tcPr>
            <w:tcW w:w="1152" w:type="dxa"/>
          </w:tcPr>
          <w:p w:rsidR="00AA3684" w:rsidRPr="003F0842" w:rsidRDefault="00AA3684" w:rsidP="00CC243E">
            <w:pPr>
              <w:pStyle w:val="BodyTextIndent"/>
              <w:jc w:val="center"/>
            </w:pPr>
            <w:r>
              <w:t>Array D</w:t>
            </w:r>
          </w:p>
        </w:tc>
        <w:tc>
          <w:tcPr>
            <w:tcW w:w="1152" w:type="dxa"/>
          </w:tcPr>
          <w:p w:rsidR="00AA3684" w:rsidRPr="003F0842" w:rsidRDefault="00AA3684" w:rsidP="00CC243E">
            <w:pPr>
              <w:pStyle w:val="BodyTextIndent"/>
              <w:jc w:val="center"/>
            </w:pPr>
            <w:r>
              <w:t>12</w:t>
            </w:r>
          </w:p>
        </w:tc>
        <w:tc>
          <w:tcPr>
            <w:tcW w:w="1152" w:type="dxa"/>
          </w:tcPr>
          <w:p w:rsidR="00AA3684" w:rsidRPr="003F0842" w:rsidRDefault="00AA3684" w:rsidP="00CC243E">
            <w:pPr>
              <w:pStyle w:val="BodyTextIndent"/>
              <w:jc w:val="center"/>
            </w:pPr>
            <w:r>
              <w:t>1650</w:t>
            </w:r>
          </w:p>
        </w:tc>
        <w:tc>
          <w:tcPr>
            <w:tcW w:w="1152" w:type="dxa"/>
          </w:tcPr>
          <w:p w:rsidR="00AA3684" w:rsidRPr="003F0842" w:rsidRDefault="00AA3684" w:rsidP="00CC243E">
            <w:pPr>
              <w:pStyle w:val="BodyTextIndent"/>
              <w:jc w:val="center"/>
            </w:pPr>
            <w:r>
              <w:t>0.06</w:t>
            </w:r>
          </w:p>
        </w:tc>
      </w:tr>
    </w:tbl>
    <w:p w:rsidR="00AA3684" w:rsidRDefault="00AA3684" w:rsidP="00AA3684">
      <w:pPr>
        <w:pStyle w:val="BodyTextIndent"/>
      </w:pPr>
    </w:p>
    <w:p w:rsidR="00AA3684" w:rsidRDefault="00AA3684" w:rsidP="00AA3684">
      <w:pPr>
        <w:pStyle w:val="Heading2"/>
      </w:pPr>
      <w:r>
        <w:t>Long Baseline Neutrino experiment</w:t>
      </w:r>
    </w:p>
    <w:p w:rsidR="00AA3684" w:rsidRDefault="00AA3684" w:rsidP="00AA3684">
      <w:pPr>
        <w:pStyle w:val="BodyTextIndent"/>
      </w:pPr>
    </w:p>
    <w:p w:rsidR="00AA3684" w:rsidRDefault="00AA3684" w:rsidP="00AA3684">
      <w:pPr>
        <w:pStyle w:val="BodyTextIndent"/>
      </w:pPr>
      <w:r>
        <w:t>A proposal for a Long Baseline Neutrino Oscillation Experiment (LBNE) [1</w:t>
      </w:r>
      <w:r w:rsidR="004F0971">
        <w:t>4</w:t>
      </w:r>
      <w:r>
        <w:t xml:space="preserve">] is in CD-1 review. To reduce the costs associated with underground work the beam from the Main Injector will be extracted upward to a height of 20 meters above grade. The beam will then be </w:t>
      </w:r>
      <w:r>
        <w:lastRenderedPageBreak/>
        <w:t xml:space="preserve">bent back down into the earth at an angle such that the neutrino beam will appear at the SURF in Lead South Dakota see figure 10. HLS will be used to monitor the extracted beam line during and after construction so that adjustments can be made to the beam line elements as needed. </w:t>
      </w:r>
    </w:p>
    <w:p w:rsidR="00AA3684" w:rsidRDefault="00AA3684" w:rsidP="00AA3684">
      <w:pPr>
        <w:pStyle w:val="BodyTextIndent"/>
      </w:pPr>
    </w:p>
    <w:p w:rsidR="00AA3684" w:rsidRDefault="00AA3684" w:rsidP="00AA3684">
      <w:pPr>
        <w:pStyle w:val="BodyTextNoIndent"/>
      </w:pPr>
      <w:r>
        <w:rPr>
          <w:noProof/>
          <w:lang w:val="en-US"/>
        </w:rPr>
        <w:drawing>
          <wp:inline distT="0" distB="0" distL="0" distR="0" wp14:anchorId="6CC5EFB5" wp14:editId="0089EA0B">
            <wp:extent cx="3108960" cy="171292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1712926"/>
                    </a:xfrm>
                    <a:prstGeom prst="rect">
                      <a:avLst/>
                    </a:prstGeom>
                    <a:noFill/>
                  </pic:spPr>
                </pic:pic>
              </a:graphicData>
            </a:graphic>
          </wp:inline>
        </w:drawing>
      </w:r>
    </w:p>
    <w:p w:rsidR="00AA3684" w:rsidRDefault="00AA3684" w:rsidP="00AA3684">
      <w:pPr>
        <w:pStyle w:val="FigureCaption"/>
      </w:pPr>
      <w:r>
        <w:t>Figure 10: LBNE primary beam and target design.</w:t>
      </w:r>
    </w:p>
    <w:p w:rsidR="00AA3684" w:rsidRDefault="00AA3684" w:rsidP="00AA3684">
      <w:pPr>
        <w:pStyle w:val="BodyTextNoIndent"/>
        <w:rPr>
          <w:szCs w:val="24"/>
        </w:rPr>
      </w:pPr>
    </w:p>
    <w:p w:rsidR="00AA3684" w:rsidRDefault="00AA3684" w:rsidP="00AA3684">
      <w:pPr>
        <w:pStyle w:val="Heading2"/>
      </w:pPr>
      <w:r>
        <w:t>ConcLusionS</w:t>
      </w:r>
    </w:p>
    <w:p w:rsidR="00AA3684" w:rsidRDefault="00AA3684" w:rsidP="00AA3684">
      <w:pPr>
        <w:pStyle w:val="BodyTextIndent"/>
      </w:pPr>
    </w:p>
    <w:p w:rsidR="00B75D5E" w:rsidRDefault="00AA3684" w:rsidP="00AA3684">
      <w:pPr>
        <w:pStyle w:val="BodyTextIndent"/>
      </w:pPr>
      <w:r>
        <w:t xml:space="preserve">Hydrostatic Level Systems have been in use at </w:t>
      </w:r>
      <w:proofErr w:type="spellStart"/>
      <w:r>
        <w:t>Fermilab</w:t>
      </w:r>
      <w:proofErr w:type="spellEnd"/>
      <w:r>
        <w:t xml:space="preserve"> for over 12 years. There is a great deal of available data on ground and accelerator component motion available. These systems will continue into the future to provide more such data. For future accelerator systems HLS will be used to monitor and move accelerator components</w:t>
      </w:r>
    </w:p>
    <w:p w:rsidR="00AA3684" w:rsidRDefault="00AA3684" w:rsidP="00AA3684">
      <w:pPr>
        <w:pStyle w:val="Heading2"/>
      </w:pPr>
      <w:r>
        <w:t>Acknowledgements</w:t>
      </w:r>
    </w:p>
    <w:p w:rsidR="00AA3684" w:rsidRPr="00A73B62" w:rsidRDefault="00AA3684" w:rsidP="00AA3684">
      <w:pPr>
        <w:pStyle w:val="BodyTextIndent"/>
      </w:pPr>
      <w:r>
        <w:t xml:space="preserve">The authors would like to thank the staff of the Fermi National Laboratory, the Sanford Underground Research Facility, and the </w:t>
      </w:r>
      <w:proofErr w:type="spellStart"/>
      <w:r>
        <w:t>Conco</w:t>
      </w:r>
      <w:proofErr w:type="spellEnd"/>
      <w:r>
        <w:t xml:space="preserve"> Lafarge mine for their continued support. </w:t>
      </w:r>
    </w:p>
    <w:p w:rsidR="00AA3684" w:rsidRDefault="00AA3684" w:rsidP="00AA3684">
      <w:pPr>
        <w:pStyle w:val="Heading2"/>
        <w:rPr>
          <w:rStyle w:val="FootnoteReference"/>
          <w:sz w:val="24"/>
          <w:vertAlign w:val="baseline"/>
        </w:rPr>
      </w:pPr>
      <w:r>
        <w:rPr>
          <w:rStyle w:val="FootnoteReference"/>
          <w:sz w:val="24"/>
          <w:vertAlign w:val="baseline"/>
        </w:rPr>
        <w:t>References</w:t>
      </w:r>
    </w:p>
    <w:p w:rsidR="00AA3684" w:rsidRPr="00AB24EC" w:rsidRDefault="00AA3684" w:rsidP="00AA3684">
      <w:pPr>
        <w:pStyle w:val="referencetext"/>
        <w:tabs>
          <w:tab w:val="clear" w:pos="1440"/>
          <w:tab w:val="num" w:pos="564"/>
        </w:tabs>
        <w:ind w:left="564" w:hanging="114"/>
        <w:rPr>
          <w:color w:val="000000"/>
        </w:rPr>
      </w:pPr>
      <w:r w:rsidRPr="00860F59">
        <w:rPr>
          <w:rFonts w:ascii="AdvP6F00" w:hAnsi="AdvP6F00" w:cs="AdvP6F00"/>
          <w:color w:val="000000"/>
          <w:lang w:val="en-US" w:eastAsia="en-US"/>
        </w:rPr>
        <w:t xml:space="preserve">D. C. Agnew, </w:t>
      </w:r>
      <w:r>
        <w:rPr>
          <w:color w:val="000000"/>
          <w:lang w:val="en-US" w:eastAsia="en-US"/>
        </w:rPr>
        <w:t xml:space="preserve">Rev. </w:t>
      </w:r>
      <w:proofErr w:type="spellStart"/>
      <w:r>
        <w:rPr>
          <w:color w:val="000000"/>
          <w:lang w:val="en-US" w:eastAsia="en-US"/>
        </w:rPr>
        <w:t>Geophys</w:t>
      </w:r>
      <w:proofErr w:type="spellEnd"/>
      <w:r>
        <w:rPr>
          <w:color w:val="000000"/>
          <w:lang w:val="en-US" w:eastAsia="en-US"/>
        </w:rPr>
        <w:t xml:space="preserve">. 1986, 24, p. 579 </w:t>
      </w:r>
    </w:p>
    <w:p w:rsidR="00AA3684" w:rsidRPr="00495AAF" w:rsidRDefault="00AA3684" w:rsidP="00AA3684">
      <w:pPr>
        <w:pStyle w:val="referencetext"/>
        <w:tabs>
          <w:tab w:val="clear" w:pos="1440"/>
          <w:tab w:val="num" w:pos="564"/>
        </w:tabs>
        <w:ind w:left="564" w:hanging="114"/>
        <w:rPr>
          <w:color w:val="000000"/>
        </w:rPr>
      </w:pPr>
      <w:r>
        <w:rPr>
          <w:rFonts w:ascii="AdvP6F00" w:hAnsi="AdvP6F00" w:cs="AdvP6F00"/>
          <w:color w:val="000000"/>
          <w:lang w:val="en-US" w:eastAsia="en-US"/>
        </w:rPr>
        <w:t xml:space="preserve">S. Takeda, Development of New Hydrostatic Leveling Equipment for Large Next Generation accelerators, Proceedings of EPAC </w:t>
      </w:r>
      <w:proofErr w:type="gramStart"/>
      <w:r>
        <w:rPr>
          <w:rFonts w:ascii="AdvP6F00" w:hAnsi="AdvP6F00" w:cs="AdvP6F00"/>
          <w:color w:val="000000"/>
          <w:lang w:val="en-US" w:eastAsia="en-US"/>
        </w:rPr>
        <w:t>2004  p</w:t>
      </w:r>
      <w:proofErr w:type="gramEnd"/>
      <w:r>
        <w:rPr>
          <w:rFonts w:ascii="AdvP6F00" w:hAnsi="AdvP6F00" w:cs="AdvP6F00"/>
          <w:color w:val="000000"/>
          <w:lang w:val="en-US" w:eastAsia="en-US"/>
        </w:rPr>
        <w:t>.  2113.</w:t>
      </w:r>
    </w:p>
    <w:p w:rsidR="00AA3684" w:rsidRPr="00495AAF" w:rsidRDefault="00AA3684" w:rsidP="00AA3684">
      <w:pPr>
        <w:pStyle w:val="referencetext"/>
        <w:tabs>
          <w:tab w:val="clear" w:pos="1440"/>
          <w:tab w:val="num" w:pos="564"/>
        </w:tabs>
        <w:ind w:left="564" w:hanging="114"/>
        <w:rPr>
          <w:color w:val="000000"/>
        </w:rPr>
      </w:pPr>
      <w:r>
        <w:rPr>
          <w:rFonts w:ascii="AdvP6F00" w:hAnsi="AdvP6F00" w:cs="AdvP6F00"/>
          <w:color w:val="000000"/>
          <w:lang w:val="en-US" w:eastAsia="en-US"/>
        </w:rPr>
        <w:t xml:space="preserve">N. </w:t>
      </w:r>
      <w:proofErr w:type="spellStart"/>
      <w:r>
        <w:rPr>
          <w:rFonts w:ascii="AdvP6F00" w:hAnsi="AdvP6F00" w:cs="AdvP6F00"/>
          <w:color w:val="000000"/>
          <w:lang w:val="en-US" w:eastAsia="en-US"/>
        </w:rPr>
        <w:t>Sunikumar</w:t>
      </w:r>
      <w:proofErr w:type="spellEnd"/>
      <w:r>
        <w:rPr>
          <w:rFonts w:ascii="AdvP6F00" w:hAnsi="AdvP6F00" w:cs="AdvP6F00"/>
          <w:color w:val="000000"/>
          <w:lang w:val="en-US" w:eastAsia="en-US"/>
        </w:rPr>
        <w:t xml:space="preserve"> et al. Characterization of Slow Orbit Motion in SPEAR3. IPSC 2010, pp. 1215-1217.</w:t>
      </w:r>
    </w:p>
    <w:p w:rsidR="00AA3684" w:rsidRPr="00AB24EC" w:rsidRDefault="00AA3684" w:rsidP="00AA3684">
      <w:pPr>
        <w:pStyle w:val="referencetext"/>
        <w:tabs>
          <w:tab w:val="clear" w:pos="1440"/>
          <w:tab w:val="num" w:pos="564"/>
        </w:tabs>
        <w:ind w:left="564" w:hanging="114"/>
        <w:rPr>
          <w:color w:val="000000"/>
        </w:rPr>
      </w:pPr>
      <w:r>
        <w:rPr>
          <w:rFonts w:ascii="AdvP6F00" w:hAnsi="AdvP6F00" w:cs="AdvP6F00"/>
          <w:color w:val="000000"/>
          <w:lang w:val="en-US" w:eastAsia="en-US"/>
        </w:rPr>
        <w:t xml:space="preserve">F.Q. Wei, et Al., Experiences with the Hydrostatic Leveling System at the SLS, Proceedings of EPAC 2004, </w:t>
      </w:r>
      <w:proofErr w:type="gramStart"/>
      <w:r>
        <w:rPr>
          <w:rFonts w:ascii="AdvP6F00" w:hAnsi="AdvP6F00" w:cs="AdvP6F00"/>
          <w:color w:val="000000"/>
          <w:lang w:val="en-US" w:eastAsia="en-US"/>
        </w:rPr>
        <w:t>p.1651</w:t>
      </w:r>
      <w:proofErr w:type="gramEnd"/>
      <w:r>
        <w:rPr>
          <w:rFonts w:ascii="AdvP6F00" w:hAnsi="AdvP6F00" w:cs="AdvP6F00"/>
          <w:color w:val="000000"/>
          <w:lang w:val="en-US" w:eastAsia="en-US"/>
        </w:rPr>
        <w:t>.</w:t>
      </w:r>
    </w:p>
    <w:p w:rsidR="00AA3684" w:rsidRDefault="00AA3684" w:rsidP="00AA3684">
      <w:pPr>
        <w:pStyle w:val="referencetext"/>
        <w:tabs>
          <w:tab w:val="clear" w:pos="1440"/>
          <w:tab w:val="num" w:pos="564"/>
        </w:tabs>
        <w:ind w:left="564" w:hanging="114"/>
        <w:rPr>
          <w:color w:val="000000"/>
        </w:rPr>
      </w:pPr>
      <w:r>
        <w:rPr>
          <w:rFonts w:ascii="AdvP6F00" w:hAnsi="AdvP6F00" w:cs="AdvP6F00"/>
          <w:color w:val="000000"/>
          <w:lang w:val="en-US" w:eastAsia="en-US"/>
        </w:rPr>
        <w:t xml:space="preserve">A. </w:t>
      </w:r>
      <w:proofErr w:type="spellStart"/>
      <w:r>
        <w:rPr>
          <w:rFonts w:ascii="AdvP6F00" w:hAnsi="AdvP6F00" w:cs="AdvP6F00"/>
          <w:color w:val="000000"/>
          <w:lang w:val="en-US" w:eastAsia="en-US"/>
        </w:rPr>
        <w:t>Seryi</w:t>
      </w:r>
      <w:proofErr w:type="spellEnd"/>
      <w:r>
        <w:rPr>
          <w:rFonts w:ascii="AdvP6F00" w:hAnsi="AdvP6F00" w:cs="AdvP6F00"/>
          <w:color w:val="000000"/>
          <w:lang w:val="en-US" w:eastAsia="en-US"/>
        </w:rPr>
        <w:t xml:space="preserve">, </w:t>
      </w:r>
      <w:proofErr w:type="gramStart"/>
      <w:r>
        <w:rPr>
          <w:rFonts w:ascii="AdvP6F00" w:hAnsi="AdvP6F00" w:cs="AdvP6F00"/>
          <w:color w:val="000000"/>
          <w:lang w:val="en-US" w:eastAsia="en-US"/>
        </w:rPr>
        <w:t>et</w:t>
      </w:r>
      <w:proofErr w:type="gramEnd"/>
      <w:r>
        <w:rPr>
          <w:rFonts w:ascii="AdvP6F00" w:hAnsi="AdvP6F00" w:cs="AdvP6F00"/>
          <w:color w:val="000000"/>
          <w:lang w:val="en-US" w:eastAsia="en-US"/>
        </w:rPr>
        <w:t xml:space="preserve">. al, Hydrostatic Level Systems for Slow Ground Motion Studies at Fermilab and SLAC, Proceedings of IEEEPAC 2001, p. 1479. </w:t>
      </w:r>
    </w:p>
    <w:p w:rsidR="00AA3684" w:rsidRDefault="00AA3684" w:rsidP="00AA3684">
      <w:pPr>
        <w:pStyle w:val="referencetext"/>
        <w:tabs>
          <w:tab w:val="clear" w:pos="1440"/>
          <w:tab w:val="num" w:pos="564"/>
        </w:tabs>
        <w:ind w:left="564" w:hanging="114"/>
        <w:rPr>
          <w:color w:val="000000"/>
        </w:rPr>
      </w:pPr>
      <w:r>
        <w:rPr>
          <w:color w:val="000000"/>
        </w:rPr>
        <w:lastRenderedPageBreak/>
        <w:t xml:space="preserve">J. Volk et al., Hydrostatic Level Sensors as High Precision Ground Motion Instrumentation for </w:t>
      </w:r>
      <w:proofErr w:type="spellStart"/>
      <w:r>
        <w:rPr>
          <w:color w:val="000000"/>
        </w:rPr>
        <w:t>Tevatron</w:t>
      </w:r>
      <w:proofErr w:type="spellEnd"/>
      <w:r>
        <w:rPr>
          <w:color w:val="000000"/>
        </w:rPr>
        <w:t xml:space="preserve"> and Other Energy Frontier Accelerators, J. Instrumentation</w:t>
      </w:r>
      <w:proofErr w:type="gramStart"/>
      <w:r>
        <w:rPr>
          <w:color w:val="000000"/>
        </w:rPr>
        <w:t>,  2012</w:t>
      </w:r>
      <w:proofErr w:type="gramEnd"/>
      <w:r>
        <w:rPr>
          <w:color w:val="000000"/>
        </w:rPr>
        <w:t>, P01004.</w:t>
      </w:r>
    </w:p>
    <w:p w:rsidR="00AA3684" w:rsidRDefault="00AA3684" w:rsidP="00AA3684">
      <w:pPr>
        <w:pStyle w:val="referencetext"/>
        <w:tabs>
          <w:tab w:val="clear" w:pos="1440"/>
          <w:tab w:val="num" w:pos="564"/>
        </w:tabs>
        <w:ind w:left="564" w:hanging="114"/>
        <w:rPr>
          <w:color w:val="000000"/>
        </w:rPr>
      </w:pPr>
      <w:r>
        <w:rPr>
          <w:color w:val="000000"/>
        </w:rPr>
        <w:t xml:space="preserve">MINOS, The Main Injector Neutrino Oscillation Search  </w:t>
      </w:r>
      <w:hyperlink r:id="rId19" w:history="1">
        <w:r>
          <w:rPr>
            <w:rStyle w:val="Hyperlink"/>
          </w:rPr>
          <w:t xml:space="preserve">URL: </w:t>
        </w:r>
        <w:r w:rsidRPr="009D04A3">
          <w:rPr>
            <w:rStyle w:val="Hyperlink"/>
          </w:rPr>
          <w:t>www-numi.fnal.gov/</w:t>
        </w:r>
      </w:hyperlink>
    </w:p>
    <w:p w:rsidR="00AA3684" w:rsidRPr="00914CAB" w:rsidRDefault="00AA3684" w:rsidP="00AA3684">
      <w:pPr>
        <w:pStyle w:val="referencetext"/>
        <w:tabs>
          <w:tab w:val="clear" w:pos="1440"/>
          <w:tab w:val="num" w:pos="564"/>
        </w:tabs>
        <w:ind w:left="564" w:hanging="114"/>
        <w:rPr>
          <w:color w:val="000000"/>
          <w:lang w:val="en-US"/>
        </w:rPr>
      </w:pPr>
      <w:r w:rsidRPr="00914CAB">
        <w:rPr>
          <w:color w:val="000000"/>
          <w:lang w:val="en-US"/>
        </w:rPr>
        <w:t>No</w:t>
      </w:r>
      <w:r>
        <w:rPr>
          <w:color w:val="000000"/>
        </w:rPr>
        <w:t>ν</w:t>
      </w:r>
      <w:r w:rsidRPr="00914CAB">
        <w:rPr>
          <w:color w:val="000000"/>
          <w:lang w:val="en-US"/>
        </w:rPr>
        <w:t xml:space="preserve">a </w:t>
      </w:r>
      <w:hyperlink r:id="rId20" w:history="1">
        <w:r w:rsidRPr="00914CAB">
          <w:rPr>
            <w:rStyle w:val="Hyperlink"/>
            <w:lang w:val="en-US"/>
          </w:rPr>
          <w:t>URL: www-nova.fnal.gov/index.html</w:t>
        </w:r>
      </w:hyperlink>
    </w:p>
    <w:p w:rsidR="00AA3684" w:rsidRDefault="00AA3684" w:rsidP="00AA3684">
      <w:pPr>
        <w:pStyle w:val="referencetext"/>
        <w:tabs>
          <w:tab w:val="clear" w:pos="1440"/>
          <w:tab w:val="num" w:pos="564"/>
        </w:tabs>
        <w:ind w:left="564" w:hanging="114"/>
        <w:rPr>
          <w:color w:val="000000"/>
        </w:rPr>
      </w:pPr>
      <w:r>
        <w:rPr>
          <w:color w:val="000000"/>
        </w:rPr>
        <w:t>Sanford Underground Research Facility (SURF)  URL:</w:t>
      </w:r>
      <w:hyperlink r:id="rId21" w:history="1">
        <w:r w:rsidRPr="007435FB">
          <w:rPr>
            <w:rStyle w:val="Hyperlink"/>
          </w:rPr>
          <w:t>www.sanfordundergroundlaboratoryat</w:t>
        </w:r>
      </w:hyperlink>
      <w:r>
        <w:rPr>
          <w:color w:val="000000"/>
        </w:rPr>
        <w:t xml:space="preserve"> homestake.org </w:t>
      </w:r>
    </w:p>
    <w:p w:rsidR="004F0971" w:rsidRPr="004F0971" w:rsidRDefault="00AA3684" w:rsidP="004F0971">
      <w:pPr>
        <w:pStyle w:val="referencetext"/>
        <w:tabs>
          <w:tab w:val="clear" w:pos="1440"/>
          <w:tab w:val="num" w:pos="564"/>
        </w:tabs>
        <w:ind w:left="564" w:hanging="114"/>
        <w:rPr>
          <w:rStyle w:val="Hyperlink"/>
          <w:color w:val="000000"/>
          <w:u w:val="none"/>
        </w:rPr>
      </w:pPr>
      <w:r>
        <w:rPr>
          <w:color w:val="000000"/>
        </w:rPr>
        <w:t xml:space="preserve">Project X </w:t>
      </w:r>
      <w:hyperlink r:id="rId22" w:history="1">
        <w:r>
          <w:rPr>
            <w:rStyle w:val="Hyperlink"/>
          </w:rPr>
          <w:t>URL: projectx.fnal.gov/</w:t>
        </w:r>
      </w:hyperlink>
    </w:p>
    <w:p w:rsidR="004F0971" w:rsidRDefault="004F0971" w:rsidP="004F0971">
      <w:pPr>
        <w:pStyle w:val="referencetext"/>
        <w:tabs>
          <w:tab w:val="clear" w:pos="1440"/>
          <w:tab w:val="num" w:pos="564"/>
        </w:tabs>
        <w:ind w:left="564" w:hanging="114"/>
        <w:rPr>
          <w:rStyle w:val="Hyperlink"/>
          <w:color w:val="000000"/>
          <w:u w:val="none"/>
        </w:rPr>
      </w:pPr>
      <w:r>
        <w:rPr>
          <w:rStyle w:val="Hyperlink"/>
          <w:color w:val="000000"/>
          <w:u w:val="none"/>
        </w:rPr>
        <w:t xml:space="preserve">B.A. </w:t>
      </w:r>
      <w:proofErr w:type="spellStart"/>
      <w:r>
        <w:rPr>
          <w:rStyle w:val="Hyperlink"/>
          <w:color w:val="000000"/>
          <w:u w:val="none"/>
        </w:rPr>
        <w:t>Baklakov</w:t>
      </w:r>
      <w:proofErr w:type="spellEnd"/>
      <w:r>
        <w:rPr>
          <w:rStyle w:val="Hyperlink"/>
          <w:color w:val="000000"/>
          <w:u w:val="none"/>
        </w:rPr>
        <w:t xml:space="preserve">, et al </w:t>
      </w:r>
      <w:proofErr w:type="spellStart"/>
      <w:r>
        <w:rPr>
          <w:rStyle w:val="Hyperlink"/>
          <w:color w:val="000000"/>
          <w:u w:val="none"/>
        </w:rPr>
        <w:t>Sov</w:t>
      </w:r>
      <w:proofErr w:type="spellEnd"/>
      <w:r>
        <w:rPr>
          <w:rStyle w:val="Hyperlink"/>
          <w:color w:val="000000"/>
          <w:u w:val="none"/>
        </w:rPr>
        <w:t xml:space="preserve"> Tech. </w:t>
      </w:r>
      <w:proofErr w:type="spellStart"/>
      <w:r>
        <w:rPr>
          <w:rStyle w:val="Hyperlink"/>
          <w:color w:val="000000"/>
          <w:u w:val="none"/>
        </w:rPr>
        <w:t>Phy</w:t>
      </w:r>
      <w:proofErr w:type="spellEnd"/>
      <w:r>
        <w:rPr>
          <w:rStyle w:val="Hyperlink"/>
          <w:color w:val="000000"/>
          <w:u w:val="none"/>
        </w:rPr>
        <w:t>. 38, 894 (1993)</w:t>
      </w:r>
    </w:p>
    <w:p w:rsidR="004F0971" w:rsidRDefault="004F0971" w:rsidP="004F0971">
      <w:pPr>
        <w:pStyle w:val="referencetext"/>
        <w:tabs>
          <w:tab w:val="clear" w:pos="1440"/>
          <w:tab w:val="num" w:pos="564"/>
        </w:tabs>
        <w:ind w:left="564" w:hanging="114"/>
        <w:rPr>
          <w:rStyle w:val="Hyperlink"/>
          <w:color w:val="000000"/>
          <w:u w:val="none"/>
        </w:rPr>
      </w:pPr>
      <w:r>
        <w:rPr>
          <w:rStyle w:val="Hyperlink"/>
          <w:color w:val="000000"/>
          <w:u w:val="none"/>
        </w:rPr>
        <w:t xml:space="preserve">V. </w:t>
      </w:r>
      <w:proofErr w:type="spellStart"/>
      <w:r>
        <w:rPr>
          <w:rStyle w:val="Hyperlink"/>
          <w:color w:val="000000"/>
          <w:u w:val="none"/>
        </w:rPr>
        <w:t>Shiltsev</w:t>
      </w:r>
      <w:proofErr w:type="spellEnd"/>
      <w:r>
        <w:rPr>
          <w:rStyle w:val="Hyperlink"/>
          <w:color w:val="000000"/>
          <w:u w:val="none"/>
        </w:rPr>
        <w:t xml:space="preserve">, Phys. Rev. </w:t>
      </w:r>
      <w:proofErr w:type="spellStart"/>
      <w:r>
        <w:rPr>
          <w:rStyle w:val="Hyperlink"/>
          <w:color w:val="000000"/>
          <w:u w:val="none"/>
        </w:rPr>
        <w:t>Lett</w:t>
      </w:r>
      <w:proofErr w:type="spellEnd"/>
      <w:r>
        <w:rPr>
          <w:rStyle w:val="Hyperlink"/>
          <w:color w:val="000000"/>
          <w:u w:val="none"/>
        </w:rPr>
        <w:t>. 104, 238501 (2010)</w:t>
      </w:r>
    </w:p>
    <w:p w:rsidR="004F0971" w:rsidRPr="004F0971" w:rsidRDefault="004F0971" w:rsidP="004F0971">
      <w:pPr>
        <w:pStyle w:val="referencetext"/>
        <w:tabs>
          <w:tab w:val="clear" w:pos="1440"/>
          <w:tab w:val="num" w:pos="564"/>
        </w:tabs>
        <w:ind w:left="564" w:hanging="114"/>
        <w:rPr>
          <w:rStyle w:val="Hyperlink"/>
          <w:color w:val="000000"/>
          <w:u w:val="none"/>
        </w:rPr>
      </w:pPr>
      <w:r>
        <w:rPr>
          <w:rStyle w:val="Hyperlink"/>
          <w:color w:val="000000"/>
          <w:u w:val="none"/>
        </w:rPr>
        <w:t xml:space="preserve">V. </w:t>
      </w:r>
      <w:proofErr w:type="spellStart"/>
      <w:r>
        <w:rPr>
          <w:rStyle w:val="Hyperlink"/>
          <w:color w:val="000000"/>
          <w:u w:val="none"/>
        </w:rPr>
        <w:t>Shiltsev</w:t>
      </w:r>
      <w:proofErr w:type="spellEnd"/>
      <w:r>
        <w:rPr>
          <w:rStyle w:val="Hyperlink"/>
          <w:color w:val="000000"/>
          <w:u w:val="none"/>
        </w:rPr>
        <w:t xml:space="preserve"> Phys. Rev. St </w:t>
      </w:r>
      <w:proofErr w:type="spellStart"/>
      <w:r>
        <w:rPr>
          <w:rStyle w:val="Hyperlink"/>
          <w:color w:val="000000"/>
          <w:u w:val="none"/>
        </w:rPr>
        <w:t>Accel</w:t>
      </w:r>
      <w:proofErr w:type="spellEnd"/>
      <w:r>
        <w:rPr>
          <w:rStyle w:val="Hyperlink"/>
          <w:color w:val="000000"/>
          <w:u w:val="none"/>
        </w:rPr>
        <w:t>. Beams, 12 094801 (2010)</w:t>
      </w:r>
    </w:p>
    <w:p w:rsidR="00AA3684" w:rsidRPr="004F0971" w:rsidRDefault="00AA3684" w:rsidP="004F0971">
      <w:pPr>
        <w:pStyle w:val="referencetext"/>
        <w:tabs>
          <w:tab w:val="clear" w:pos="1440"/>
          <w:tab w:val="num" w:pos="564"/>
        </w:tabs>
        <w:ind w:left="564" w:hanging="114"/>
        <w:rPr>
          <w:color w:val="000000"/>
        </w:rPr>
      </w:pPr>
      <w:r>
        <w:t>Long Baseline Neutrino Experiment  URL: lbne.fnal.gov</w:t>
      </w:r>
    </w:p>
    <w:p w:rsidR="00AA3684" w:rsidRPr="00165665" w:rsidRDefault="00AA3684" w:rsidP="00AA3684">
      <w:pPr>
        <w:pStyle w:val="BodyTextIndent"/>
      </w:pPr>
    </w:p>
    <w:sectPr w:rsidR="00AA3684" w:rsidRPr="00165665" w:rsidSect="00500A60">
      <w:footnotePr>
        <w:pos w:val="beneathText"/>
        <w:numFmt w:val="chicago"/>
      </w:footnotePr>
      <w:endnotePr>
        <w:numFmt w:val="decimal"/>
      </w:endnotePr>
      <w:type w:val="continuous"/>
      <w:pgSz w:w="12242" w:h="15842" w:code="1"/>
      <w:pgMar w:top="1077" w:right="147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E4F" w:rsidRDefault="00F63E4F"/>
  </w:endnote>
  <w:endnote w:type="continuationSeparator" w:id="0">
    <w:p w:rsidR="00F63E4F" w:rsidRDefault="00F6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P6F0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E4F" w:rsidRDefault="00F63E4F">
      <w:r>
        <w:separator/>
      </w:r>
    </w:p>
  </w:footnote>
  <w:footnote w:type="continuationSeparator" w:id="0">
    <w:p w:rsidR="00F63E4F" w:rsidRDefault="00F63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AE61500"/>
    <w:multiLevelType w:val="multilevel"/>
    <w:tmpl w:val="7424F97A"/>
    <w:styleLink w:val="references"/>
    <w:lvl w:ilvl="0">
      <w:start w:val="1"/>
      <w:numFmt w:val="decimal"/>
      <w:pStyle w:val="referencetext"/>
      <w:lvlText w:val="[%1]"/>
      <w:lvlJc w:val="right"/>
      <w:pPr>
        <w:tabs>
          <w:tab w:val="num" w:pos="564"/>
        </w:tabs>
        <w:ind w:left="564" w:hanging="114"/>
      </w:pPr>
      <w:rPr>
        <w:sz w:val="22"/>
      </w:rPr>
    </w:lvl>
    <w:lvl w:ilvl="1">
      <w:start w:val="1"/>
      <w:numFmt w:val="lowerLetter"/>
      <w:lvlText w:val="%2."/>
      <w:lvlJc w:val="left"/>
      <w:pPr>
        <w:tabs>
          <w:tab w:val="num" w:pos="1710"/>
        </w:tabs>
        <w:ind w:left="1710" w:hanging="360"/>
      </w:pPr>
    </w:lvl>
    <w:lvl w:ilvl="2">
      <w:start w:val="1"/>
      <w:numFmt w:val="lowerRoman"/>
      <w:lvlText w:val="%3."/>
      <w:lvlJc w:val="right"/>
      <w:pPr>
        <w:tabs>
          <w:tab w:val="num" w:pos="2430"/>
        </w:tabs>
        <w:ind w:left="2430" w:hanging="18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14">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5">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4"/>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21B"/>
    <w:rsid w:val="00013ABB"/>
    <w:rsid w:val="00052CB4"/>
    <w:rsid w:val="00074A20"/>
    <w:rsid w:val="000A2A9A"/>
    <w:rsid w:val="000C1815"/>
    <w:rsid w:val="000D0EE2"/>
    <w:rsid w:val="000E1BEA"/>
    <w:rsid w:val="000E28FD"/>
    <w:rsid w:val="000E57D6"/>
    <w:rsid w:val="000F3F19"/>
    <w:rsid w:val="0014145F"/>
    <w:rsid w:val="0015344C"/>
    <w:rsid w:val="00165665"/>
    <w:rsid w:val="001D6284"/>
    <w:rsid w:val="001E78D7"/>
    <w:rsid w:val="00243C3F"/>
    <w:rsid w:val="00256197"/>
    <w:rsid w:val="002C6318"/>
    <w:rsid w:val="002D2A47"/>
    <w:rsid w:val="003003BA"/>
    <w:rsid w:val="003412C6"/>
    <w:rsid w:val="00370789"/>
    <w:rsid w:val="0037743E"/>
    <w:rsid w:val="00394F4B"/>
    <w:rsid w:val="003A007C"/>
    <w:rsid w:val="003A575A"/>
    <w:rsid w:val="003C2B35"/>
    <w:rsid w:val="003C52DD"/>
    <w:rsid w:val="003E4017"/>
    <w:rsid w:val="00404AD2"/>
    <w:rsid w:val="0049346D"/>
    <w:rsid w:val="004A1546"/>
    <w:rsid w:val="004F0971"/>
    <w:rsid w:val="004F2A1D"/>
    <w:rsid w:val="00500A60"/>
    <w:rsid w:val="00506C77"/>
    <w:rsid w:val="00552435"/>
    <w:rsid w:val="005779BE"/>
    <w:rsid w:val="005909C8"/>
    <w:rsid w:val="005C76FE"/>
    <w:rsid w:val="005E24F7"/>
    <w:rsid w:val="005F6709"/>
    <w:rsid w:val="0064089E"/>
    <w:rsid w:val="006560C3"/>
    <w:rsid w:val="00662C6C"/>
    <w:rsid w:val="006773E4"/>
    <w:rsid w:val="006811B5"/>
    <w:rsid w:val="006845B5"/>
    <w:rsid w:val="006C58CD"/>
    <w:rsid w:val="006F69A8"/>
    <w:rsid w:val="00705910"/>
    <w:rsid w:val="00761218"/>
    <w:rsid w:val="007B1A5A"/>
    <w:rsid w:val="007D1D1F"/>
    <w:rsid w:val="007F0E02"/>
    <w:rsid w:val="007F29FF"/>
    <w:rsid w:val="00801CB2"/>
    <w:rsid w:val="00875D2B"/>
    <w:rsid w:val="008A01FD"/>
    <w:rsid w:val="008B10C8"/>
    <w:rsid w:val="008F5E79"/>
    <w:rsid w:val="00963151"/>
    <w:rsid w:val="00973EE7"/>
    <w:rsid w:val="009B15A2"/>
    <w:rsid w:val="009C5D88"/>
    <w:rsid w:val="009D1438"/>
    <w:rsid w:val="009E24BD"/>
    <w:rsid w:val="00A045D8"/>
    <w:rsid w:val="00A06B28"/>
    <w:rsid w:val="00A35069"/>
    <w:rsid w:val="00A45AC9"/>
    <w:rsid w:val="00A53915"/>
    <w:rsid w:val="00A748B1"/>
    <w:rsid w:val="00AA3684"/>
    <w:rsid w:val="00AB1310"/>
    <w:rsid w:val="00AB2D00"/>
    <w:rsid w:val="00AD583B"/>
    <w:rsid w:val="00B216A3"/>
    <w:rsid w:val="00B229FB"/>
    <w:rsid w:val="00B75D5E"/>
    <w:rsid w:val="00B94C4E"/>
    <w:rsid w:val="00BC515F"/>
    <w:rsid w:val="00BC6316"/>
    <w:rsid w:val="00BC6C9C"/>
    <w:rsid w:val="00C12DA9"/>
    <w:rsid w:val="00C53798"/>
    <w:rsid w:val="00CA421B"/>
    <w:rsid w:val="00CF5D37"/>
    <w:rsid w:val="00D550FB"/>
    <w:rsid w:val="00D800B1"/>
    <w:rsid w:val="00D91B03"/>
    <w:rsid w:val="00DE79DC"/>
    <w:rsid w:val="00E47E1F"/>
    <w:rsid w:val="00E57E70"/>
    <w:rsid w:val="00EB1E89"/>
    <w:rsid w:val="00EC74E3"/>
    <w:rsid w:val="00EE4291"/>
    <w:rsid w:val="00F2614A"/>
    <w:rsid w:val="00F4797F"/>
    <w:rsid w:val="00F63E4F"/>
    <w:rsid w:val="00FA4B60"/>
    <w:rsid w:val="00FD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basedOn w:val="DefaultParagraphFont"/>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basedOn w:val="DefaultParagraphFont"/>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character" w:customStyle="1" w:styleId="FootnoteTextChar">
    <w:name w:val="Footnote Text Char"/>
    <w:basedOn w:val="DefaultParagraphFont"/>
    <w:link w:val="FootnoteText"/>
    <w:rsid w:val="00AA3684"/>
    <w:rPr>
      <w:sz w:val="16"/>
      <w:lang w:val="en-GB"/>
    </w:rPr>
  </w:style>
  <w:style w:type="character" w:customStyle="1" w:styleId="BodyTextIndentChar">
    <w:name w:val="Body Text Indent Char"/>
    <w:basedOn w:val="DefaultParagraphFont"/>
    <w:link w:val="BodyTextIndent"/>
    <w:rsid w:val="00AA3684"/>
    <w:rPr>
      <w:lang w:val="en-GB"/>
    </w:rPr>
  </w:style>
  <w:style w:type="numbering" w:customStyle="1" w:styleId="references">
    <w:name w:val="references"/>
    <w:rsid w:val="00AA3684"/>
    <w:pPr>
      <w:numPr>
        <w:numId w:val="16"/>
      </w:numPr>
    </w:pPr>
  </w:style>
  <w:style w:type="paragraph" w:customStyle="1" w:styleId="referencetext">
    <w:name w:val="reference_text"/>
    <w:basedOn w:val="BodyText"/>
    <w:rsid w:val="00AA3684"/>
    <w:pPr>
      <w:numPr>
        <w:numId w:val="16"/>
      </w:numPr>
      <w:tabs>
        <w:tab w:val="clear" w:pos="564"/>
        <w:tab w:val="num" w:pos="1440"/>
      </w:tabs>
      <w:spacing w:after="160" w:line="264" w:lineRule="auto"/>
      <w:ind w:left="1440" w:hanging="360"/>
    </w:pPr>
    <w:rPr>
      <w:rFonts w:ascii="Times New Roman" w:hAnsi="Times New Roman"/>
      <w:szCs w:val="20"/>
      <w:lang w:eastAsia="ru-RU"/>
    </w:rPr>
  </w:style>
  <w:style w:type="paragraph" w:styleId="BodyText">
    <w:name w:val="Body Text"/>
    <w:basedOn w:val="Normal"/>
    <w:link w:val="BodyTextChar"/>
    <w:uiPriority w:val="99"/>
    <w:semiHidden/>
    <w:unhideWhenUsed/>
    <w:rsid w:val="00AA3684"/>
    <w:pPr>
      <w:spacing w:after="120"/>
    </w:pPr>
  </w:style>
  <w:style w:type="character" w:customStyle="1" w:styleId="BodyTextChar">
    <w:name w:val="Body Text Char"/>
    <w:basedOn w:val="DefaultParagraphFont"/>
    <w:link w:val="BodyText"/>
    <w:uiPriority w:val="99"/>
    <w:semiHidden/>
    <w:rsid w:val="00AA3684"/>
    <w:rPr>
      <w:rFonts w:ascii="Times" w:hAnsi="Time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basedOn w:val="DefaultParagraphFont"/>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basedOn w:val="DefaultParagraphFont"/>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character" w:customStyle="1" w:styleId="FootnoteTextChar">
    <w:name w:val="Footnote Text Char"/>
    <w:basedOn w:val="DefaultParagraphFont"/>
    <w:link w:val="FootnoteText"/>
    <w:rsid w:val="00AA3684"/>
    <w:rPr>
      <w:sz w:val="16"/>
      <w:lang w:val="en-GB"/>
    </w:rPr>
  </w:style>
  <w:style w:type="character" w:customStyle="1" w:styleId="BodyTextIndentChar">
    <w:name w:val="Body Text Indent Char"/>
    <w:basedOn w:val="DefaultParagraphFont"/>
    <w:link w:val="BodyTextIndent"/>
    <w:rsid w:val="00AA3684"/>
    <w:rPr>
      <w:lang w:val="en-GB"/>
    </w:rPr>
  </w:style>
  <w:style w:type="numbering" w:customStyle="1" w:styleId="references">
    <w:name w:val="references"/>
    <w:rsid w:val="00AA3684"/>
    <w:pPr>
      <w:numPr>
        <w:numId w:val="16"/>
      </w:numPr>
    </w:pPr>
  </w:style>
  <w:style w:type="paragraph" w:customStyle="1" w:styleId="referencetext">
    <w:name w:val="reference_text"/>
    <w:basedOn w:val="BodyText"/>
    <w:rsid w:val="00AA3684"/>
    <w:pPr>
      <w:numPr>
        <w:numId w:val="16"/>
      </w:numPr>
      <w:tabs>
        <w:tab w:val="clear" w:pos="564"/>
        <w:tab w:val="num" w:pos="1440"/>
      </w:tabs>
      <w:spacing w:after="160" w:line="264" w:lineRule="auto"/>
      <w:ind w:left="1440" w:hanging="360"/>
    </w:pPr>
    <w:rPr>
      <w:rFonts w:ascii="Times New Roman" w:hAnsi="Times New Roman"/>
      <w:szCs w:val="20"/>
      <w:lang w:eastAsia="ru-RU"/>
    </w:rPr>
  </w:style>
  <w:style w:type="paragraph" w:styleId="BodyText">
    <w:name w:val="Body Text"/>
    <w:basedOn w:val="Normal"/>
    <w:link w:val="BodyTextChar"/>
    <w:uiPriority w:val="99"/>
    <w:semiHidden/>
    <w:unhideWhenUsed/>
    <w:rsid w:val="00AA3684"/>
    <w:pPr>
      <w:spacing w:after="120"/>
    </w:pPr>
  </w:style>
  <w:style w:type="character" w:customStyle="1" w:styleId="BodyTextChar">
    <w:name w:val="Body Text Char"/>
    <w:basedOn w:val="DefaultParagraphFont"/>
    <w:link w:val="BodyText"/>
    <w:uiPriority w:val="99"/>
    <w:semiHidden/>
    <w:rsid w:val="00AA3684"/>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9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anfordundergroundlaboratorya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nova.fnal.gov/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umi.fnal.gov/"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projectx.fna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45A71-DB02-4244-B72D-1120B054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2476</Words>
  <Characters>12243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Eyberger</dc:creator>
  <cp:lastModifiedBy>James T. Volk x2412,2444 07633N</cp:lastModifiedBy>
  <cp:revision>2</cp:revision>
  <cp:lastPrinted>2012-02-20T20:17:00Z</cp:lastPrinted>
  <dcterms:created xsi:type="dcterms:W3CDTF">2012-09-10T13:20:00Z</dcterms:created>
  <dcterms:modified xsi:type="dcterms:W3CDTF">2012-09-10T13:20:00Z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