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D288" w14:textId="4CBC080D" w:rsidR="003414E7" w:rsidRDefault="00EE6AE5" w:rsidP="003414E7">
      <w:pPr>
        <w:pStyle w:val="Title"/>
      </w:pPr>
      <w:bookmarkStart w:id="0" w:name="_GoBack"/>
      <w:bookmarkEnd w:id="0"/>
      <w:proofErr w:type="spellStart"/>
      <w:r>
        <w:t>Bergoz</w:t>
      </w:r>
      <w:proofErr w:type="spellEnd"/>
      <w:r>
        <w:t xml:space="preserve"> </w:t>
      </w:r>
      <w:r w:rsidR="003414E7">
        <w:t>NPCT requirements</w:t>
      </w:r>
    </w:p>
    <w:p w14:paraId="6C804998" w14:textId="77777777" w:rsidR="003414E7" w:rsidRPr="003414E7" w:rsidRDefault="003414E7" w:rsidP="003414E7">
      <w:pPr>
        <w:pStyle w:val="Title"/>
        <w:pBdr>
          <w:bottom w:val="single" w:sz="4" w:space="1" w:color="auto"/>
        </w:pBdr>
        <w:rPr>
          <w:sz w:val="24"/>
          <w:szCs w:val="24"/>
        </w:rPr>
      </w:pPr>
    </w:p>
    <w:p w14:paraId="267FD6A2" w14:textId="556D605F" w:rsidR="005C0E0B" w:rsidRDefault="00243A84" w:rsidP="003C0ED0">
      <w:pPr>
        <w:pStyle w:val="Heading1"/>
      </w:pPr>
      <w:r>
        <w:t>Specifications</w:t>
      </w:r>
    </w:p>
    <w:p w14:paraId="1159BFF9" w14:textId="6600C709" w:rsidR="003C0ED0" w:rsidRDefault="00F73CF0" w:rsidP="002F4AF0">
      <w:r>
        <w:t>These are</w:t>
      </w:r>
      <w:r w:rsidR="00C9164B">
        <w:t xml:space="preserve"> the requirements and specifications </w:t>
      </w:r>
      <w:r>
        <w:t>for</w:t>
      </w:r>
      <w:r w:rsidR="00C9164B">
        <w:t xml:space="preserve"> the NPCT. The NPCT will be installed in the Fermilab Booster with the following machine parameters:</w:t>
      </w:r>
    </w:p>
    <w:p w14:paraId="115E6DA6" w14:textId="31DFC301" w:rsidR="004357D4" w:rsidRDefault="004357D4" w:rsidP="005129B2">
      <w:pPr>
        <w:pStyle w:val="Caption"/>
        <w:keepNext/>
      </w:pPr>
      <w:bookmarkStart w:id="1" w:name="_Ref46989013"/>
      <w:r>
        <w:t xml:space="preserve">Table </w:t>
      </w:r>
      <w:r w:rsidR="00343F14">
        <w:fldChar w:fldCharType="begin"/>
      </w:r>
      <w:r w:rsidR="00343F14">
        <w:instrText xml:space="preserve"> SEQ Table \* ARABIC </w:instrText>
      </w:r>
      <w:r w:rsidR="00343F14">
        <w:fldChar w:fldCharType="separate"/>
      </w:r>
      <w:r w:rsidR="003F071D">
        <w:rPr>
          <w:noProof/>
        </w:rPr>
        <w:t>1</w:t>
      </w:r>
      <w:r w:rsidR="00343F14">
        <w:rPr>
          <w:noProof/>
        </w:rPr>
        <w:fldChar w:fldCharType="end"/>
      </w:r>
      <w:bookmarkEnd w:id="1"/>
      <w:r>
        <w:t>: Booster parameters</w:t>
      </w:r>
    </w:p>
    <w:tbl>
      <w:tblPr>
        <w:tblStyle w:val="GridTable1Light-Accent1"/>
        <w:tblW w:w="0" w:type="auto"/>
        <w:tblLook w:val="04A0" w:firstRow="1" w:lastRow="0" w:firstColumn="1" w:lastColumn="0" w:noHBand="0" w:noVBand="1"/>
      </w:tblPr>
      <w:tblGrid>
        <w:gridCol w:w="3325"/>
        <w:gridCol w:w="2340"/>
        <w:gridCol w:w="2250"/>
        <w:gridCol w:w="1637"/>
      </w:tblGrid>
      <w:tr w:rsidR="009C6683" w14:paraId="52A7F61E" w14:textId="77777777" w:rsidTr="00512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CC4C699" w14:textId="686BE17C" w:rsidR="009C6683" w:rsidRDefault="009C6683" w:rsidP="002F4AF0">
            <w:r>
              <w:t>Parameter</w:t>
            </w:r>
          </w:p>
        </w:tc>
        <w:tc>
          <w:tcPr>
            <w:tcW w:w="2340" w:type="dxa"/>
          </w:tcPr>
          <w:p w14:paraId="3403BB1E" w14:textId="6ABC6F2C" w:rsidR="009C6683" w:rsidRDefault="009C6683" w:rsidP="002F4AF0">
            <w:pPr>
              <w:cnfStyle w:val="100000000000" w:firstRow="1" w:lastRow="0" w:firstColumn="0" w:lastColumn="0" w:oddVBand="0" w:evenVBand="0" w:oddHBand="0" w:evenHBand="0" w:firstRowFirstColumn="0" w:firstRowLastColumn="0" w:lastRowFirstColumn="0" w:lastRowLastColumn="0"/>
            </w:pPr>
            <w:r>
              <w:t>PIP</w:t>
            </w:r>
          </w:p>
        </w:tc>
        <w:tc>
          <w:tcPr>
            <w:tcW w:w="2250" w:type="dxa"/>
          </w:tcPr>
          <w:p w14:paraId="0E2E3815" w14:textId="13F79B6B" w:rsidR="009C6683" w:rsidRDefault="009C6683" w:rsidP="002F4AF0">
            <w:pPr>
              <w:cnfStyle w:val="100000000000" w:firstRow="1" w:lastRow="0" w:firstColumn="0" w:lastColumn="0" w:oddVBand="0" w:evenVBand="0" w:oddHBand="0" w:evenHBand="0" w:firstRowFirstColumn="0" w:firstRowLastColumn="0" w:lastRowFirstColumn="0" w:lastRowLastColumn="0"/>
            </w:pPr>
            <w:r>
              <w:t>PIPII</w:t>
            </w:r>
          </w:p>
        </w:tc>
        <w:tc>
          <w:tcPr>
            <w:tcW w:w="1637" w:type="dxa"/>
          </w:tcPr>
          <w:p w14:paraId="1E2A2A5D" w14:textId="2A86EC71" w:rsidR="009C6683" w:rsidRDefault="009C6683" w:rsidP="002F4AF0">
            <w:pPr>
              <w:cnfStyle w:val="100000000000" w:firstRow="1" w:lastRow="0" w:firstColumn="0" w:lastColumn="0" w:oddVBand="0" w:evenVBand="0" w:oddHBand="0" w:evenHBand="0" w:firstRowFirstColumn="0" w:firstRowLastColumn="0" w:lastRowFirstColumn="0" w:lastRowLastColumn="0"/>
            </w:pPr>
            <w:r>
              <w:t>Units</w:t>
            </w:r>
          </w:p>
        </w:tc>
      </w:tr>
      <w:tr w:rsidR="009C6683" w14:paraId="279615DB"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1099CFEB" w14:textId="41E3A519" w:rsidR="009C6683" w:rsidRPr="00364D83" w:rsidRDefault="009C6683" w:rsidP="002F4AF0">
            <w:pPr>
              <w:rPr>
                <w:b w:val="0"/>
                <w:bCs w:val="0"/>
                <w:sz w:val="22"/>
                <w:szCs w:val="22"/>
              </w:rPr>
            </w:pPr>
            <w:r w:rsidRPr="00364D83">
              <w:rPr>
                <w:b w:val="0"/>
                <w:bCs w:val="0"/>
                <w:sz w:val="22"/>
                <w:szCs w:val="22"/>
              </w:rPr>
              <w:t xml:space="preserve">Injection </w:t>
            </w:r>
            <w:r w:rsidR="00073BA2">
              <w:rPr>
                <w:b w:val="0"/>
                <w:bCs w:val="0"/>
                <w:sz w:val="22"/>
                <w:szCs w:val="22"/>
              </w:rPr>
              <w:t xml:space="preserve">current </w:t>
            </w:r>
            <w:r w:rsidR="00E609F6">
              <w:rPr>
                <w:b w:val="0"/>
                <w:bCs w:val="0"/>
                <w:sz w:val="22"/>
                <w:szCs w:val="22"/>
              </w:rPr>
              <w:t>for tuning</w:t>
            </w:r>
            <w:r w:rsidR="003A2583">
              <w:rPr>
                <w:b w:val="0"/>
                <w:bCs w:val="0"/>
                <w:sz w:val="22"/>
                <w:szCs w:val="22"/>
              </w:rPr>
              <w:t xml:space="preserve"> per pulse</w:t>
            </w:r>
          </w:p>
        </w:tc>
        <w:tc>
          <w:tcPr>
            <w:tcW w:w="2340" w:type="dxa"/>
          </w:tcPr>
          <w:p w14:paraId="77CA16E0" w14:textId="55417CA8" w:rsidR="009C6683" w:rsidRPr="00367156" w:rsidRDefault="00406422"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36</w:t>
            </w:r>
            <w:r w:rsidR="00C006DE">
              <w:rPr>
                <w:sz w:val="22"/>
                <w:szCs w:val="22"/>
              </w:rPr>
              <w:t xml:space="preserve"> (</w:t>
            </w:r>
            <w:r w:rsidR="00E853C6">
              <w:rPr>
                <w:sz w:val="22"/>
                <w:szCs w:val="22"/>
              </w:rPr>
              <w:t>~</w:t>
            </w:r>
            <w:r w:rsidR="00661E0E">
              <w:rPr>
                <w:sz w:val="22"/>
                <w:szCs w:val="22"/>
              </w:rPr>
              <w:t>2</w:t>
            </w:r>
            <w:r w:rsidR="00B274E0">
              <w:rPr>
                <w:sz w:val="22"/>
                <w:szCs w:val="22"/>
              </w:rPr>
              <w:t xml:space="preserve"> to </w:t>
            </w:r>
            <w:r w:rsidR="00661E0E">
              <w:rPr>
                <w:sz w:val="22"/>
                <w:szCs w:val="22"/>
              </w:rPr>
              <w:t>3</w:t>
            </w:r>
            <w:r w:rsidR="00C006DE">
              <w:rPr>
                <w:sz w:val="22"/>
                <w:szCs w:val="22"/>
              </w:rPr>
              <w:t xml:space="preserve"> turns, </w:t>
            </w:r>
            <w:r w:rsidR="00661E0E">
              <w:rPr>
                <w:sz w:val="22"/>
                <w:szCs w:val="22"/>
              </w:rPr>
              <w:t xml:space="preserve">0.5 </w:t>
            </w:r>
            <w:r w:rsidR="00C006DE">
              <w:rPr>
                <w:sz w:val="22"/>
                <w:szCs w:val="22"/>
              </w:rPr>
              <w:t>e12 protons)</w:t>
            </w:r>
            <w:r w:rsidR="009C6683" w:rsidRPr="00367156">
              <w:rPr>
                <w:sz w:val="22"/>
                <w:szCs w:val="22"/>
              </w:rPr>
              <w:t xml:space="preserve"> </w:t>
            </w:r>
          </w:p>
        </w:tc>
        <w:tc>
          <w:tcPr>
            <w:tcW w:w="2250" w:type="dxa"/>
          </w:tcPr>
          <w:p w14:paraId="1EDC8B89" w14:textId="4C582B4C" w:rsidR="009C6683" w:rsidRPr="00367156" w:rsidRDefault="00406422"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36</w:t>
            </w:r>
            <w:r w:rsidR="006072A8">
              <w:rPr>
                <w:sz w:val="22"/>
                <w:szCs w:val="22"/>
              </w:rPr>
              <w:t xml:space="preserve"> (~</w:t>
            </w:r>
            <w:r>
              <w:rPr>
                <w:sz w:val="22"/>
                <w:szCs w:val="22"/>
              </w:rPr>
              <w:t>18</w:t>
            </w:r>
            <w:r w:rsidR="006072A8">
              <w:rPr>
                <w:sz w:val="22"/>
                <w:szCs w:val="22"/>
              </w:rPr>
              <w:t xml:space="preserve"> turns, </w:t>
            </w:r>
            <w:r w:rsidR="00661E0E">
              <w:rPr>
                <w:sz w:val="22"/>
                <w:szCs w:val="22"/>
              </w:rPr>
              <w:t xml:space="preserve">0.5 </w:t>
            </w:r>
            <w:r w:rsidR="006072A8">
              <w:rPr>
                <w:sz w:val="22"/>
                <w:szCs w:val="22"/>
              </w:rPr>
              <w:t>e12 protons)</w:t>
            </w:r>
          </w:p>
        </w:tc>
        <w:tc>
          <w:tcPr>
            <w:tcW w:w="1637" w:type="dxa"/>
          </w:tcPr>
          <w:p w14:paraId="0DE1B980" w14:textId="45855EC1" w:rsidR="009C6683" w:rsidRPr="00367156" w:rsidRDefault="009C6683"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mA</w:t>
            </w:r>
          </w:p>
        </w:tc>
      </w:tr>
      <w:tr w:rsidR="005427B7" w14:paraId="6B327326"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117ED03F" w14:textId="04FD82EB" w:rsidR="005427B7" w:rsidRPr="00364D83" w:rsidRDefault="005427B7" w:rsidP="002F4AF0">
            <w:pPr>
              <w:rPr>
                <w:b w:val="0"/>
                <w:bCs w:val="0"/>
                <w:sz w:val="22"/>
                <w:szCs w:val="22"/>
              </w:rPr>
            </w:pPr>
            <w:r>
              <w:rPr>
                <w:b w:val="0"/>
                <w:bCs w:val="0"/>
                <w:sz w:val="22"/>
                <w:szCs w:val="22"/>
              </w:rPr>
              <w:t>Maximum current</w:t>
            </w:r>
            <w:r w:rsidR="003344F1">
              <w:rPr>
                <w:b w:val="0"/>
                <w:bCs w:val="0"/>
                <w:sz w:val="22"/>
                <w:szCs w:val="22"/>
              </w:rPr>
              <w:t xml:space="preserve"> at extraction</w:t>
            </w:r>
            <w:r w:rsidR="003A2583">
              <w:rPr>
                <w:b w:val="0"/>
                <w:bCs w:val="0"/>
                <w:sz w:val="22"/>
                <w:szCs w:val="22"/>
              </w:rPr>
              <w:t xml:space="preserve"> per pulse</w:t>
            </w:r>
          </w:p>
        </w:tc>
        <w:tc>
          <w:tcPr>
            <w:tcW w:w="2340" w:type="dxa"/>
          </w:tcPr>
          <w:p w14:paraId="4907B7F5" w14:textId="2094AFBF" w:rsidR="005427B7" w:rsidRPr="00367156" w:rsidRDefault="00E22DA9"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700 </w:t>
            </w:r>
            <w:r w:rsidR="003344F1">
              <w:rPr>
                <w:sz w:val="22"/>
                <w:szCs w:val="22"/>
              </w:rPr>
              <w:t>(</w:t>
            </w:r>
            <w:r w:rsidR="00654E6F">
              <w:rPr>
                <w:sz w:val="22"/>
                <w:szCs w:val="22"/>
              </w:rPr>
              <w:t xml:space="preserve">7e12 </w:t>
            </w:r>
            <w:r w:rsidR="00A2054E">
              <w:rPr>
                <w:sz w:val="22"/>
                <w:szCs w:val="22"/>
              </w:rPr>
              <w:t>protons</w:t>
            </w:r>
            <w:r w:rsidR="003344F1">
              <w:rPr>
                <w:sz w:val="22"/>
                <w:szCs w:val="22"/>
              </w:rPr>
              <w:t>)</w:t>
            </w:r>
          </w:p>
        </w:tc>
        <w:tc>
          <w:tcPr>
            <w:tcW w:w="2250" w:type="dxa"/>
          </w:tcPr>
          <w:p w14:paraId="48291F40" w14:textId="053F9AB3" w:rsidR="005427B7" w:rsidRPr="00367156" w:rsidRDefault="00E22DA9"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800 </w:t>
            </w:r>
            <w:r w:rsidR="003344F1">
              <w:rPr>
                <w:sz w:val="22"/>
                <w:szCs w:val="22"/>
              </w:rPr>
              <w:t>(</w:t>
            </w:r>
            <w:r w:rsidR="00654E6F">
              <w:rPr>
                <w:sz w:val="22"/>
                <w:szCs w:val="22"/>
              </w:rPr>
              <w:t xml:space="preserve">8e12 </w:t>
            </w:r>
            <w:r w:rsidR="00A2054E">
              <w:rPr>
                <w:sz w:val="22"/>
                <w:szCs w:val="22"/>
              </w:rPr>
              <w:t>protons</w:t>
            </w:r>
            <w:r w:rsidR="003344F1">
              <w:rPr>
                <w:sz w:val="22"/>
                <w:szCs w:val="22"/>
              </w:rPr>
              <w:t>)</w:t>
            </w:r>
          </w:p>
        </w:tc>
        <w:tc>
          <w:tcPr>
            <w:tcW w:w="1637" w:type="dxa"/>
          </w:tcPr>
          <w:p w14:paraId="6CA0ADA5" w14:textId="7882A947" w:rsidR="005427B7" w:rsidRPr="00367156" w:rsidRDefault="005427B7"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w:t>
            </w:r>
          </w:p>
        </w:tc>
      </w:tr>
      <w:tr w:rsidR="009C6683" w14:paraId="1D621B98"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32D08F8F" w14:textId="485481AC" w:rsidR="009C6683" w:rsidRPr="00364D83" w:rsidRDefault="004F7739" w:rsidP="002F4AF0">
            <w:pPr>
              <w:rPr>
                <w:b w:val="0"/>
                <w:bCs w:val="0"/>
                <w:sz w:val="22"/>
                <w:szCs w:val="22"/>
              </w:rPr>
            </w:pPr>
            <w:r w:rsidRPr="00364D83">
              <w:rPr>
                <w:b w:val="0"/>
                <w:bCs w:val="0"/>
                <w:sz w:val="22"/>
                <w:szCs w:val="22"/>
              </w:rPr>
              <w:t>Typical number of turns</w:t>
            </w:r>
          </w:p>
        </w:tc>
        <w:tc>
          <w:tcPr>
            <w:tcW w:w="2340" w:type="dxa"/>
          </w:tcPr>
          <w:p w14:paraId="062020F1" w14:textId="4F0A89A8" w:rsidR="009C6683" w:rsidRPr="00367156" w:rsidRDefault="00661E0E"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r w:rsidR="004F7739" w:rsidRPr="00367156">
              <w:rPr>
                <w:sz w:val="22"/>
                <w:szCs w:val="22"/>
              </w:rPr>
              <w:t xml:space="preserve"> – 1</w:t>
            </w:r>
            <w:r w:rsidR="003944E3">
              <w:rPr>
                <w:sz w:val="22"/>
                <w:szCs w:val="22"/>
              </w:rPr>
              <w:t>7</w:t>
            </w:r>
          </w:p>
        </w:tc>
        <w:tc>
          <w:tcPr>
            <w:tcW w:w="2250" w:type="dxa"/>
          </w:tcPr>
          <w:p w14:paraId="199C75AD" w14:textId="0FB9CB15" w:rsidR="009C6683" w:rsidRPr="00367156" w:rsidRDefault="004F7739"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1 – 300</w:t>
            </w:r>
          </w:p>
        </w:tc>
        <w:tc>
          <w:tcPr>
            <w:tcW w:w="1637" w:type="dxa"/>
          </w:tcPr>
          <w:p w14:paraId="225B2333" w14:textId="77777777" w:rsidR="009C6683" w:rsidRPr="00367156" w:rsidRDefault="009C6683" w:rsidP="002F4AF0">
            <w:pPr>
              <w:cnfStyle w:val="000000000000" w:firstRow="0" w:lastRow="0" w:firstColumn="0" w:lastColumn="0" w:oddVBand="0" w:evenVBand="0" w:oddHBand="0" w:evenHBand="0" w:firstRowFirstColumn="0" w:firstRowLastColumn="0" w:lastRowFirstColumn="0" w:lastRowLastColumn="0"/>
              <w:rPr>
                <w:sz w:val="22"/>
                <w:szCs w:val="22"/>
              </w:rPr>
            </w:pPr>
          </w:p>
        </w:tc>
      </w:tr>
      <w:tr w:rsidR="004F7739" w14:paraId="2F551563"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4DC752E6" w14:textId="3F6A4ED0" w:rsidR="004F7739" w:rsidRPr="00364D83" w:rsidRDefault="004F7739" w:rsidP="002F4AF0">
            <w:pPr>
              <w:rPr>
                <w:b w:val="0"/>
                <w:bCs w:val="0"/>
                <w:sz w:val="22"/>
                <w:szCs w:val="22"/>
              </w:rPr>
            </w:pPr>
            <w:r w:rsidRPr="00364D83">
              <w:rPr>
                <w:b w:val="0"/>
                <w:bCs w:val="0"/>
                <w:sz w:val="22"/>
                <w:szCs w:val="22"/>
              </w:rPr>
              <w:t>Ramp rate</w:t>
            </w:r>
          </w:p>
        </w:tc>
        <w:tc>
          <w:tcPr>
            <w:tcW w:w="2340" w:type="dxa"/>
          </w:tcPr>
          <w:p w14:paraId="72C4249B" w14:textId="77F43D6F" w:rsidR="004F7739" w:rsidRPr="00367156" w:rsidRDefault="004F7739"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15</w:t>
            </w:r>
          </w:p>
        </w:tc>
        <w:tc>
          <w:tcPr>
            <w:tcW w:w="2250" w:type="dxa"/>
          </w:tcPr>
          <w:p w14:paraId="69BD5374" w14:textId="733FE076" w:rsidR="004F7739" w:rsidRPr="00367156" w:rsidRDefault="004F7739"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20</w:t>
            </w:r>
          </w:p>
        </w:tc>
        <w:tc>
          <w:tcPr>
            <w:tcW w:w="1637" w:type="dxa"/>
          </w:tcPr>
          <w:p w14:paraId="1F3780CE" w14:textId="46041653" w:rsidR="004F7739" w:rsidRPr="00367156" w:rsidRDefault="004F7739"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Hz</w:t>
            </w:r>
          </w:p>
        </w:tc>
      </w:tr>
      <w:tr w:rsidR="00D51F92" w14:paraId="0C17FD05"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4723C281" w14:textId="6AA933D6" w:rsidR="00D51F92" w:rsidRPr="00D51F92" w:rsidRDefault="00D51F92" w:rsidP="002F4AF0">
            <w:pPr>
              <w:rPr>
                <w:b w:val="0"/>
                <w:bCs w:val="0"/>
                <w:sz w:val="22"/>
                <w:szCs w:val="22"/>
              </w:rPr>
            </w:pPr>
            <w:r w:rsidRPr="00D51F92">
              <w:rPr>
                <w:b w:val="0"/>
                <w:bCs w:val="0"/>
                <w:sz w:val="22"/>
                <w:szCs w:val="22"/>
              </w:rPr>
              <w:t>Harmonic number</w:t>
            </w:r>
          </w:p>
        </w:tc>
        <w:tc>
          <w:tcPr>
            <w:tcW w:w="2340" w:type="dxa"/>
          </w:tcPr>
          <w:p w14:paraId="41E9B0CB" w14:textId="60EF9516" w:rsidR="00D51F92" w:rsidRPr="00367156" w:rsidRDefault="00D51F92"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84</w:t>
            </w:r>
          </w:p>
        </w:tc>
        <w:tc>
          <w:tcPr>
            <w:tcW w:w="2250" w:type="dxa"/>
          </w:tcPr>
          <w:p w14:paraId="3D304519" w14:textId="7EE71C90" w:rsidR="00D51F92" w:rsidRPr="00367156" w:rsidRDefault="00D51F92"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84</w:t>
            </w:r>
          </w:p>
        </w:tc>
        <w:tc>
          <w:tcPr>
            <w:tcW w:w="1637" w:type="dxa"/>
          </w:tcPr>
          <w:p w14:paraId="7FD79264" w14:textId="77777777" w:rsidR="00D51F92" w:rsidRPr="00367156" w:rsidRDefault="00D51F92" w:rsidP="002F4AF0">
            <w:pPr>
              <w:cnfStyle w:val="000000000000" w:firstRow="0" w:lastRow="0" w:firstColumn="0" w:lastColumn="0" w:oddVBand="0" w:evenVBand="0" w:oddHBand="0" w:evenHBand="0" w:firstRowFirstColumn="0" w:firstRowLastColumn="0" w:lastRowFirstColumn="0" w:lastRowLastColumn="0"/>
              <w:rPr>
                <w:sz w:val="22"/>
                <w:szCs w:val="22"/>
              </w:rPr>
            </w:pPr>
          </w:p>
        </w:tc>
      </w:tr>
      <w:tr w:rsidR="004F7739" w14:paraId="1107D006"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225B1636" w14:textId="50004F6C" w:rsidR="004F7739" w:rsidRPr="00364D83" w:rsidRDefault="00EF1AD5" w:rsidP="002F4AF0">
            <w:pPr>
              <w:rPr>
                <w:b w:val="0"/>
                <w:bCs w:val="0"/>
                <w:sz w:val="22"/>
                <w:szCs w:val="22"/>
              </w:rPr>
            </w:pPr>
            <w:r w:rsidRPr="00364D83">
              <w:rPr>
                <w:b w:val="0"/>
                <w:bCs w:val="0"/>
                <w:sz w:val="22"/>
                <w:szCs w:val="22"/>
              </w:rPr>
              <w:t>Extraction notch size</w:t>
            </w:r>
          </w:p>
        </w:tc>
        <w:tc>
          <w:tcPr>
            <w:tcW w:w="2340" w:type="dxa"/>
          </w:tcPr>
          <w:p w14:paraId="1B6FDD67" w14:textId="7EB669A3" w:rsidR="004F7739" w:rsidRPr="00367156" w:rsidRDefault="00EF1AD5"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3</w:t>
            </w:r>
          </w:p>
        </w:tc>
        <w:tc>
          <w:tcPr>
            <w:tcW w:w="2250" w:type="dxa"/>
          </w:tcPr>
          <w:p w14:paraId="2D8D6C58" w14:textId="02428B6B" w:rsidR="004F7739" w:rsidRPr="00367156" w:rsidRDefault="00EF1AD5"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3</w:t>
            </w:r>
          </w:p>
        </w:tc>
        <w:tc>
          <w:tcPr>
            <w:tcW w:w="1637" w:type="dxa"/>
          </w:tcPr>
          <w:p w14:paraId="25824117" w14:textId="624FD48F" w:rsidR="004F7739" w:rsidRPr="00367156" w:rsidRDefault="003944E3" w:rsidP="002F4AF0">
            <w:pPr>
              <w:cnfStyle w:val="000000000000" w:firstRow="0" w:lastRow="0" w:firstColumn="0" w:lastColumn="0" w:oddVBand="0" w:evenVBand="0" w:oddHBand="0" w:evenHBand="0" w:firstRowFirstColumn="0" w:firstRowLastColumn="0" w:lastRowFirstColumn="0" w:lastRowLastColumn="0"/>
              <w:rPr>
                <w:sz w:val="22"/>
                <w:szCs w:val="22"/>
              </w:rPr>
            </w:pPr>
            <w:r w:rsidRPr="005129B2">
              <w:rPr>
                <w:sz w:val="21"/>
                <w:szCs w:val="21"/>
              </w:rPr>
              <w:t xml:space="preserve">Booster </w:t>
            </w:r>
            <w:r w:rsidR="00E7209B">
              <w:rPr>
                <w:sz w:val="21"/>
                <w:szCs w:val="21"/>
              </w:rPr>
              <w:t>b</w:t>
            </w:r>
            <w:r w:rsidR="00EF1AD5" w:rsidRPr="005129B2">
              <w:rPr>
                <w:sz w:val="21"/>
                <w:szCs w:val="21"/>
              </w:rPr>
              <w:t>uckets</w:t>
            </w:r>
          </w:p>
        </w:tc>
      </w:tr>
      <w:tr w:rsidR="00EF1AD5" w14:paraId="5CCB12B2"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576B1415" w14:textId="78CCF545" w:rsidR="00EF1AD5" w:rsidRPr="00364D83" w:rsidRDefault="00EF1AD5" w:rsidP="002F4AF0">
            <w:pPr>
              <w:rPr>
                <w:b w:val="0"/>
                <w:bCs w:val="0"/>
                <w:sz w:val="22"/>
                <w:szCs w:val="22"/>
              </w:rPr>
            </w:pPr>
            <w:r w:rsidRPr="00364D83">
              <w:rPr>
                <w:b w:val="0"/>
                <w:bCs w:val="0"/>
                <w:sz w:val="22"/>
                <w:szCs w:val="22"/>
              </w:rPr>
              <w:t>Injection frequency</w:t>
            </w:r>
          </w:p>
        </w:tc>
        <w:tc>
          <w:tcPr>
            <w:tcW w:w="2340" w:type="dxa"/>
          </w:tcPr>
          <w:p w14:paraId="41EE4591" w14:textId="22DFB435" w:rsidR="00EF1AD5" w:rsidRPr="00367156" w:rsidRDefault="00EF1AD5"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37.</w:t>
            </w:r>
            <w:r w:rsidR="001B4833">
              <w:rPr>
                <w:sz w:val="22"/>
                <w:szCs w:val="22"/>
              </w:rPr>
              <w:t>8</w:t>
            </w:r>
          </w:p>
        </w:tc>
        <w:tc>
          <w:tcPr>
            <w:tcW w:w="2250" w:type="dxa"/>
          </w:tcPr>
          <w:p w14:paraId="6CEFA0A4" w14:textId="13229CA7" w:rsidR="00EF1AD5" w:rsidRPr="00367156" w:rsidRDefault="009151D0"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4</w:t>
            </w:r>
            <w:r w:rsidR="004B725D">
              <w:rPr>
                <w:sz w:val="22"/>
                <w:szCs w:val="22"/>
              </w:rPr>
              <w:t>4.7</w:t>
            </w:r>
          </w:p>
        </w:tc>
        <w:tc>
          <w:tcPr>
            <w:tcW w:w="1637" w:type="dxa"/>
          </w:tcPr>
          <w:p w14:paraId="3FF2B308" w14:textId="1063FD8A" w:rsidR="00EF1AD5" w:rsidRPr="00367156" w:rsidRDefault="009151D0"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MHz</w:t>
            </w:r>
          </w:p>
        </w:tc>
      </w:tr>
      <w:tr w:rsidR="000F7A92" w14:paraId="02840B26" w14:textId="77777777" w:rsidTr="00E7209B">
        <w:tc>
          <w:tcPr>
            <w:cnfStyle w:val="001000000000" w:firstRow="0" w:lastRow="0" w:firstColumn="1" w:lastColumn="0" w:oddVBand="0" w:evenVBand="0" w:oddHBand="0" w:evenHBand="0" w:firstRowFirstColumn="0" w:firstRowLastColumn="0" w:lastRowFirstColumn="0" w:lastRowLastColumn="0"/>
            <w:tcW w:w="3325" w:type="dxa"/>
          </w:tcPr>
          <w:p w14:paraId="4C714469" w14:textId="6AF0C574" w:rsidR="000F7A92" w:rsidRPr="00364D83" w:rsidRDefault="000F7A92" w:rsidP="002F4AF0">
            <w:pPr>
              <w:rPr>
                <w:b w:val="0"/>
                <w:bCs w:val="0"/>
                <w:sz w:val="22"/>
                <w:szCs w:val="22"/>
              </w:rPr>
            </w:pPr>
            <w:r>
              <w:rPr>
                <w:b w:val="0"/>
                <w:bCs w:val="0"/>
                <w:sz w:val="22"/>
                <w:szCs w:val="22"/>
              </w:rPr>
              <w:t>Injection revolution frequency</w:t>
            </w:r>
          </w:p>
        </w:tc>
        <w:tc>
          <w:tcPr>
            <w:tcW w:w="2340" w:type="dxa"/>
          </w:tcPr>
          <w:p w14:paraId="305A5AD8" w14:textId="5DD8164F" w:rsidR="000F7A92" w:rsidRPr="00367156" w:rsidRDefault="0032506F"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450</w:t>
            </w:r>
            <w:r w:rsidR="00A615F8">
              <w:rPr>
                <w:sz w:val="22"/>
                <w:szCs w:val="22"/>
              </w:rPr>
              <w:t>.0</w:t>
            </w:r>
          </w:p>
        </w:tc>
        <w:tc>
          <w:tcPr>
            <w:tcW w:w="2250" w:type="dxa"/>
          </w:tcPr>
          <w:p w14:paraId="155BDD20" w14:textId="3F7C8628" w:rsidR="000F7A92" w:rsidRPr="00367156" w:rsidRDefault="0032506F"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532</w:t>
            </w:r>
            <w:r w:rsidR="00A615F8">
              <w:rPr>
                <w:sz w:val="22"/>
                <w:szCs w:val="22"/>
              </w:rPr>
              <w:t>.1</w:t>
            </w:r>
          </w:p>
        </w:tc>
        <w:tc>
          <w:tcPr>
            <w:tcW w:w="1637" w:type="dxa"/>
          </w:tcPr>
          <w:p w14:paraId="003EC123" w14:textId="67AC2CA3" w:rsidR="000F7A92" w:rsidRPr="00367156" w:rsidRDefault="0032506F"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kHz</w:t>
            </w:r>
          </w:p>
        </w:tc>
      </w:tr>
      <w:tr w:rsidR="009151D0" w14:paraId="4CBA3065"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2C5263CD" w14:textId="6B40D626" w:rsidR="009151D0" w:rsidRPr="00364D83" w:rsidRDefault="009151D0" w:rsidP="002F4AF0">
            <w:pPr>
              <w:rPr>
                <w:b w:val="0"/>
                <w:bCs w:val="0"/>
                <w:sz w:val="22"/>
                <w:szCs w:val="22"/>
              </w:rPr>
            </w:pPr>
            <w:r w:rsidRPr="00364D83">
              <w:rPr>
                <w:b w:val="0"/>
                <w:bCs w:val="0"/>
                <w:sz w:val="22"/>
                <w:szCs w:val="22"/>
              </w:rPr>
              <w:t>Extraction frequency</w:t>
            </w:r>
          </w:p>
        </w:tc>
        <w:tc>
          <w:tcPr>
            <w:tcW w:w="2340" w:type="dxa"/>
          </w:tcPr>
          <w:p w14:paraId="6FCB7408" w14:textId="23BD331F" w:rsidR="009151D0" w:rsidRPr="00367156" w:rsidRDefault="009151D0"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52.</w:t>
            </w:r>
            <w:r w:rsidR="001B4833">
              <w:rPr>
                <w:sz w:val="22"/>
                <w:szCs w:val="22"/>
              </w:rPr>
              <w:t>8</w:t>
            </w:r>
          </w:p>
        </w:tc>
        <w:tc>
          <w:tcPr>
            <w:tcW w:w="2250" w:type="dxa"/>
          </w:tcPr>
          <w:p w14:paraId="6B2F3876" w14:textId="28B21FE9" w:rsidR="009151D0" w:rsidRPr="00367156" w:rsidRDefault="001B4833"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52.8</w:t>
            </w:r>
          </w:p>
        </w:tc>
        <w:tc>
          <w:tcPr>
            <w:tcW w:w="1637" w:type="dxa"/>
          </w:tcPr>
          <w:p w14:paraId="0D95F3E4" w14:textId="7B6536EA" w:rsidR="009151D0" w:rsidRPr="00367156" w:rsidRDefault="009151D0"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MHz</w:t>
            </w:r>
          </w:p>
        </w:tc>
      </w:tr>
      <w:tr w:rsidR="000F7A92" w14:paraId="1B764EA8" w14:textId="77777777" w:rsidTr="00E7209B">
        <w:tc>
          <w:tcPr>
            <w:cnfStyle w:val="001000000000" w:firstRow="0" w:lastRow="0" w:firstColumn="1" w:lastColumn="0" w:oddVBand="0" w:evenVBand="0" w:oddHBand="0" w:evenHBand="0" w:firstRowFirstColumn="0" w:firstRowLastColumn="0" w:lastRowFirstColumn="0" w:lastRowLastColumn="0"/>
            <w:tcW w:w="3325" w:type="dxa"/>
          </w:tcPr>
          <w:p w14:paraId="05147071" w14:textId="4851FC71" w:rsidR="000F7A92" w:rsidRPr="00364D83" w:rsidRDefault="000F7A92" w:rsidP="002F4AF0">
            <w:pPr>
              <w:rPr>
                <w:b w:val="0"/>
                <w:bCs w:val="0"/>
                <w:sz w:val="22"/>
                <w:szCs w:val="22"/>
              </w:rPr>
            </w:pPr>
            <w:r>
              <w:rPr>
                <w:b w:val="0"/>
                <w:bCs w:val="0"/>
                <w:sz w:val="22"/>
                <w:szCs w:val="22"/>
              </w:rPr>
              <w:t>Extraction revolution frequency</w:t>
            </w:r>
          </w:p>
        </w:tc>
        <w:tc>
          <w:tcPr>
            <w:tcW w:w="2340" w:type="dxa"/>
          </w:tcPr>
          <w:p w14:paraId="7C2A5DC3" w14:textId="1EB1066A" w:rsidR="000F7A92" w:rsidRPr="00367156" w:rsidRDefault="00A615F8"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628.6</w:t>
            </w:r>
          </w:p>
        </w:tc>
        <w:tc>
          <w:tcPr>
            <w:tcW w:w="2250" w:type="dxa"/>
          </w:tcPr>
          <w:p w14:paraId="005C0352" w14:textId="785DE94B" w:rsidR="000F7A92" w:rsidRDefault="00A615F8"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628.6</w:t>
            </w:r>
          </w:p>
        </w:tc>
        <w:tc>
          <w:tcPr>
            <w:tcW w:w="1637" w:type="dxa"/>
          </w:tcPr>
          <w:p w14:paraId="64F80F78" w14:textId="48E33766" w:rsidR="000F7A92" w:rsidRPr="00367156" w:rsidRDefault="00A615F8" w:rsidP="002F4AF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kHz</w:t>
            </w:r>
          </w:p>
        </w:tc>
      </w:tr>
      <w:tr w:rsidR="00AF086F" w14:paraId="4E4D8ACC"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77A00303" w14:textId="078F8D9A" w:rsidR="00AF086F" w:rsidRPr="00364D83" w:rsidRDefault="00AF086F" w:rsidP="002F4AF0">
            <w:pPr>
              <w:rPr>
                <w:b w:val="0"/>
                <w:bCs w:val="0"/>
                <w:sz w:val="22"/>
                <w:szCs w:val="22"/>
              </w:rPr>
            </w:pPr>
            <w:r w:rsidRPr="00364D83">
              <w:rPr>
                <w:b w:val="0"/>
                <w:bCs w:val="0"/>
                <w:sz w:val="22"/>
                <w:szCs w:val="22"/>
              </w:rPr>
              <w:t xml:space="preserve">Injection </w:t>
            </w:r>
            <w:r w:rsidR="003944E3">
              <w:rPr>
                <w:b w:val="0"/>
                <w:bCs w:val="0"/>
                <w:sz w:val="22"/>
                <w:szCs w:val="22"/>
              </w:rPr>
              <w:t xml:space="preserve">kinetic </w:t>
            </w:r>
            <w:r w:rsidRPr="00364D83">
              <w:rPr>
                <w:b w:val="0"/>
                <w:bCs w:val="0"/>
                <w:sz w:val="22"/>
                <w:szCs w:val="22"/>
              </w:rPr>
              <w:t>energy</w:t>
            </w:r>
          </w:p>
        </w:tc>
        <w:tc>
          <w:tcPr>
            <w:tcW w:w="2340" w:type="dxa"/>
          </w:tcPr>
          <w:p w14:paraId="50A0705E" w14:textId="34A9052C" w:rsidR="00AF086F" w:rsidRPr="00367156" w:rsidRDefault="00AF086F"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400</w:t>
            </w:r>
          </w:p>
        </w:tc>
        <w:tc>
          <w:tcPr>
            <w:tcW w:w="2250" w:type="dxa"/>
          </w:tcPr>
          <w:p w14:paraId="36039DBE" w14:textId="5AA65298" w:rsidR="00AF086F" w:rsidRPr="00367156" w:rsidRDefault="00AF086F"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800</w:t>
            </w:r>
          </w:p>
        </w:tc>
        <w:tc>
          <w:tcPr>
            <w:tcW w:w="1637" w:type="dxa"/>
          </w:tcPr>
          <w:p w14:paraId="43C74276" w14:textId="667C8CEA" w:rsidR="00AF086F" w:rsidRPr="00367156" w:rsidRDefault="00AF086F"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MeV</w:t>
            </w:r>
          </w:p>
        </w:tc>
      </w:tr>
      <w:tr w:rsidR="00AF086F" w14:paraId="7A134433" w14:textId="77777777" w:rsidTr="005129B2">
        <w:tc>
          <w:tcPr>
            <w:cnfStyle w:val="001000000000" w:firstRow="0" w:lastRow="0" w:firstColumn="1" w:lastColumn="0" w:oddVBand="0" w:evenVBand="0" w:oddHBand="0" w:evenHBand="0" w:firstRowFirstColumn="0" w:firstRowLastColumn="0" w:lastRowFirstColumn="0" w:lastRowLastColumn="0"/>
            <w:tcW w:w="3325" w:type="dxa"/>
          </w:tcPr>
          <w:p w14:paraId="6B791E94" w14:textId="6F5E82A1" w:rsidR="00AF086F" w:rsidRPr="00364D83" w:rsidRDefault="00AF086F" w:rsidP="002F4AF0">
            <w:pPr>
              <w:rPr>
                <w:b w:val="0"/>
                <w:bCs w:val="0"/>
                <w:sz w:val="22"/>
                <w:szCs w:val="22"/>
              </w:rPr>
            </w:pPr>
            <w:r w:rsidRPr="00364D83">
              <w:rPr>
                <w:b w:val="0"/>
                <w:bCs w:val="0"/>
                <w:sz w:val="22"/>
                <w:szCs w:val="22"/>
              </w:rPr>
              <w:t>Extraction energy</w:t>
            </w:r>
          </w:p>
        </w:tc>
        <w:tc>
          <w:tcPr>
            <w:tcW w:w="2340" w:type="dxa"/>
          </w:tcPr>
          <w:p w14:paraId="20970882" w14:textId="17C6578C" w:rsidR="00AF086F" w:rsidRPr="00367156" w:rsidRDefault="00AF086F"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8</w:t>
            </w:r>
          </w:p>
        </w:tc>
        <w:tc>
          <w:tcPr>
            <w:tcW w:w="2250" w:type="dxa"/>
          </w:tcPr>
          <w:p w14:paraId="5D2E16B3" w14:textId="2F194F7B" w:rsidR="00AF086F" w:rsidRPr="00367156" w:rsidRDefault="00AF086F"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8</w:t>
            </w:r>
          </w:p>
        </w:tc>
        <w:tc>
          <w:tcPr>
            <w:tcW w:w="1637" w:type="dxa"/>
          </w:tcPr>
          <w:p w14:paraId="4C29C910" w14:textId="0B4A8AFC" w:rsidR="00AF086F" w:rsidRPr="00367156" w:rsidRDefault="00AF086F"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GeV</w:t>
            </w:r>
          </w:p>
        </w:tc>
      </w:tr>
      <w:tr w:rsidR="00EB3137" w14:paraId="1B4F626F" w14:textId="77777777" w:rsidTr="005129B2">
        <w:tc>
          <w:tcPr>
            <w:cnfStyle w:val="001000000000" w:firstRow="0" w:lastRow="0" w:firstColumn="1" w:lastColumn="0" w:oddVBand="0" w:evenVBand="0" w:oddHBand="0" w:evenHBand="0" w:firstRowFirstColumn="0" w:firstRowLastColumn="0" w:lastRowFirstColumn="0" w:lastRowLastColumn="0"/>
            <w:tcW w:w="0" w:type="dxa"/>
          </w:tcPr>
          <w:p w14:paraId="0D465EF9" w14:textId="289BCD9C" w:rsidR="00EB3137" w:rsidRPr="00364D83" w:rsidRDefault="00EB3137" w:rsidP="002F4AF0">
            <w:pPr>
              <w:rPr>
                <w:b w:val="0"/>
                <w:bCs w:val="0"/>
                <w:sz w:val="22"/>
                <w:szCs w:val="22"/>
              </w:rPr>
            </w:pPr>
            <w:r w:rsidRPr="00364D83">
              <w:rPr>
                <w:b w:val="0"/>
                <w:bCs w:val="0"/>
                <w:sz w:val="22"/>
                <w:szCs w:val="22"/>
              </w:rPr>
              <w:t>Bunch structure</w:t>
            </w:r>
          </w:p>
        </w:tc>
        <w:tc>
          <w:tcPr>
            <w:tcW w:w="0" w:type="dxa"/>
          </w:tcPr>
          <w:p w14:paraId="5FB628E2" w14:textId="42A4F51A" w:rsidR="00EB3137" w:rsidRPr="00367156" w:rsidRDefault="00EB3137"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 xml:space="preserve">See section </w:t>
            </w:r>
            <w:r w:rsidR="00E3572E">
              <w:rPr>
                <w:sz w:val="22"/>
                <w:szCs w:val="22"/>
              </w:rPr>
              <w:fldChar w:fldCharType="begin"/>
            </w:r>
            <w:r w:rsidR="00E3572E">
              <w:rPr>
                <w:sz w:val="22"/>
                <w:szCs w:val="22"/>
              </w:rPr>
              <w:instrText xml:space="preserve"> REF _Ref46481837 \w \h </w:instrText>
            </w:r>
            <w:r w:rsidR="00E3572E">
              <w:rPr>
                <w:sz w:val="22"/>
                <w:szCs w:val="22"/>
              </w:rPr>
            </w:r>
            <w:r w:rsidR="00E3572E">
              <w:rPr>
                <w:sz w:val="22"/>
                <w:szCs w:val="22"/>
              </w:rPr>
              <w:fldChar w:fldCharType="separate"/>
            </w:r>
            <w:r w:rsidR="00F479E9">
              <w:rPr>
                <w:sz w:val="22"/>
                <w:szCs w:val="22"/>
              </w:rPr>
              <w:t>2.2</w:t>
            </w:r>
            <w:r w:rsidR="00E3572E">
              <w:rPr>
                <w:sz w:val="22"/>
                <w:szCs w:val="22"/>
              </w:rPr>
              <w:fldChar w:fldCharType="end"/>
            </w:r>
          </w:p>
        </w:tc>
        <w:tc>
          <w:tcPr>
            <w:tcW w:w="2250" w:type="dxa"/>
          </w:tcPr>
          <w:p w14:paraId="6A4B494E" w14:textId="525174AF" w:rsidR="00EB3137" w:rsidRPr="00367156" w:rsidRDefault="00EB3137" w:rsidP="002F4AF0">
            <w:pPr>
              <w:cnfStyle w:val="000000000000" w:firstRow="0" w:lastRow="0" w:firstColumn="0" w:lastColumn="0" w:oddVBand="0" w:evenVBand="0" w:oddHBand="0" w:evenHBand="0" w:firstRowFirstColumn="0" w:firstRowLastColumn="0" w:lastRowFirstColumn="0" w:lastRowLastColumn="0"/>
              <w:rPr>
                <w:sz w:val="22"/>
                <w:szCs w:val="22"/>
              </w:rPr>
            </w:pPr>
            <w:r w:rsidRPr="00367156">
              <w:rPr>
                <w:sz w:val="22"/>
                <w:szCs w:val="22"/>
              </w:rPr>
              <w:t>See section</w:t>
            </w:r>
            <w:r w:rsidR="00E3572E">
              <w:rPr>
                <w:sz w:val="22"/>
                <w:szCs w:val="22"/>
              </w:rPr>
              <w:t xml:space="preserve"> </w:t>
            </w:r>
            <w:r w:rsidR="00E3572E">
              <w:rPr>
                <w:sz w:val="22"/>
                <w:szCs w:val="22"/>
              </w:rPr>
              <w:fldChar w:fldCharType="begin"/>
            </w:r>
            <w:r w:rsidR="00E3572E">
              <w:rPr>
                <w:sz w:val="22"/>
                <w:szCs w:val="22"/>
              </w:rPr>
              <w:instrText xml:space="preserve"> REF _Ref46481837 \w \h </w:instrText>
            </w:r>
            <w:r w:rsidR="00E3572E">
              <w:rPr>
                <w:sz w:val="22"/>
                <w:szCs w:val="22"/>
              </w:rPr>
            </w:r>
            <w:r w:rsidR="00E3572E">
              <w:rPr>
                <w:sz w:val="22"/>
                <w:szCs w:val="22"/>
              </w:rPr>
              <w:fldChar w:fldCharType="separate"/>
            </w:r>
            <w:r w:rsidR="00F479E9">
              <w:rPr>
                <w:sz w:val="22"/>
                <w:szCs w:val="22"/>
              </w:rPr>
              <w:t>2.2</w:t>
            </w:r>
            <w:r w:rsidR="00E3572E">
              <w:rPr>
                <w:sz w:val="22"/>
                <w:szCs w:val="22"/>
              </w:rPr>
              <w:fldChar w:fldCharType="end"/>
            </w:r>
          </w:p>
        </w:tc>
        <w:tc>
          <w:tcPr>
            <w:tcW w:w="1637" w:type="dxa"/>
          </w:tcPr>
          <w:p w14:paraId="6548220E" w14:textId="77777777" w:rsidR="00EB3137" w:rsidRPr="00367156" w:rsidRDefault="00EB3137" w:rsidP="002F4AF0">
            <w:pPr>
              <w:cnfStyle w:val="000000000000" w:firstRow="0" w:lastRow="0" w:firstColumn="0" w:lastColumn="0" w:oddVBand="0" w:evenVBand="0" w:oddHBand="0" w:evenHBand="0" w:firstRowFirstColumn="0" w:firstRowLastColumn="0" w:lastRowFirstColumn="0" w:lastRowLastColumn="0"/>
              <w:rPr>
                <w:sz w:val="22"/>
                <w:szCs w:val="22"/>
              </w:rPr>
            </w:pPr>
          </w:p>
        </w:tc>
      </w:tr>
    </w:tbl>
    <w:p w14:paraId="5B117E5E" w14:textId="5BD2C319" w:rsidR="00FF3D6E" w:rsidRDefault="00FF3D6E" w:rsidP="005129B2">
      <w:r>
        <w:t xml:space="preserve">Note: the instantaneous </w:t>
      </w:r>
      <w:r w:rsidR="00EE15E8">
        <w:t xml:space="preserve">peak </w:t>
      </w:r>
      <w:r>
        <w:t xml:space="preserve">currents are a lot larger than the currents given above. See section </w:t>
      </w:r>
      <w:r>
        <w:fldChar w:fldCharType="begin"/>
      </w:r>
      <w:r>
        <w:instrText xml:space="preserve"> REF _Ref46926792 \w \h </w:instrText>
      </w:r>
      <w:r>
        <w:fldChar w:fldCharType="separate"/>
      </w:r>
      <w:r>
        <w:t>2.2.1</w:t>
      </w:r>
      <w:r>
        <w:fldChar w:fldCharType="end"/>
      </w:r>
      <w:r>
        <w:t>.</w:t>
      </w:r>
    </w:p>
    <w:p w14:paraId="466C5328" w14:textId="19A37C7E" w:rsidR="00FF3D6E" w:rsidRPr="00FF3D6E" w:rsidRDefault="001C1B1C" w:rsidP="003F071D">
      <w:pPr>
        <w:pStyle w:val="Heading2"/>
        <w:spacing w:line="180" w:lineRule="auto"/>
      </w:pPr>
      <w:r>
        <w:t xml:space="preserve">NPCT </w:t>
      </w:r>
      <w:r w:rsidR="008129E9">
        <w:t xml:space="preserve">electrical </w:t>
      </w:r>
      <w:r>
        <w:t>specifications</w:t>
      </w:r>
    </w:p>
    <w:p w14:paraId="01AB1C0B" w14:textId="433BB104" w:rsidR="003F071D" w:rsidRDefault="003F071D" w:rsidP="005129B2">
      <w:pPr>
        <w:pStyle w:val="Caption"/>
        <w:keepNext/>
      </w:pPr>
      <w:bookmarkStart w:id="2" w:name="_Ref46988867"/>
      <w:r>
        <w:t xml:space="preserve">Table </w:t>
      </w:r>
      <w:r w:rsidR="00343F14">
        <w:fldChar w:fldCharType="begin"/>
      </w:r>
      <w:r w:rsidR="00343F14">
        <w:instrText xml:space="preserve"> SEQ Table \* ARABIC </w:instrText>
      </w:r>
      <w:r w:rsidR="00343F14">
        <w:fldChar w:fldCharType="separate"/>
      </w:r>
      <w:r>
        <w:rPr>
          <w:noProof/>
        </w:rPr>
        <w:t>2</w:t>
      </w:r>
      <w:r w:rsidR="00343F14">
        <w:rPr>
          <w:noProof/>
        </w:rPr>
        <w:fldChar w:fldCharType="end"/>
      </w:r>
      <w:bookmarkEnd w:id="2"/>
      <w:r>
        <w:t xml:space="preserve">: </w:t>
      </w:r>
      <w:r w:rsidRPr="004531AF">
        <w:t>Electrical specifications</w:t>
      </w:r>
    </w:p>
    <w:tbl>
      <w:tblPr>
        <w:tblStyle w:val="GridTable1Light-Accent1"/>
        <w:tblpPr w:leftFromText="180" w:rightFromText="180" w:vertAnchor="text" w:horzAnchor="margin" w:tblpY="87"/>
        <w:tblW w:w="9535" w:type="dxa"/>
        <w:tblLook w:val="04A0" w:firstRow="1" w:lastRow="0" w:firstColumn="1" w:lastColumn="0" w:noHBand="0" w:noVBand="1"/>
      </w:tblPr>
      <w:tblGrid>
        <w:gridCol w:w="2695"/>
        <w:gridCol w:w="900"/>
        <w:gridCol w:w="1170"/>
        <w:gridCol w:w="4770"/>
      </w:tblGrid>
      <w:tr w:rsidR="003F071D" w14:paraId="3553053C" w14:textId="77777777" w:rsidTr="00512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738C667" w14:textId="77777777" w:rsidR="003F071D" w:rsidRDefault="003F071D" w:rsidP="003F071D">
            <w:r>
              <w:t>Parameter</w:t>
            </w:r>
          </w:p>
        </w:tc>
        <w:tc>
          <w:tcPr>
            <w:tcW w:w="900" w:type="dxa"/>
          </w:tcPr>
          <w:p w14:paraId="082050E3" w14:textId="77777777" w:rsidR="003F071D" w:rsidRDefault="003F071D" w:rsidP="003F071D">
            <w:pPr>
              <w:cnfStyle w:val="100000000000" w:firstRow="1" w:lastRow="0" w:firstColumn="0" w:lastColumn="0" w:oddVBand="0" w:evenVBand="0" w:oddHBand="0" w:evenHBand="0" w:firstRowFirstColumn="0" w:firstRowLastColumn="0" w:lastRowFirstColumn="0" w:lastRowLastColumn="0"/>
            </w:pPr>
            <w:r>
              <w:t>Value</w:t>
            </w:r>
          </w:p>
        </w:tc>
        <w:tc>
          <w:tcPr>
            <w:tcW w:w="1170" w:type="dxa"/>
          </w:tcPr>
          <w:p w14:paraId="5ACBC46B" w14:textId="77777777" w:rsidR="003F071D" w:rsidRDefault="003F071D" w:rsidP="003F071D">
            <w:pPr>
              <w:cnfStyle w:val="100000000000" w:firstRow="1" w:lastRow="0" w:firstColumn="0" w:lastColumn="0" w:oddVBand="0" w:evenVBand="0" w:oddHBand="0" w:evenHBand="0" w:firstRowFirstColumn="0" w:firstRowLastColumn="0" w:lastRowFirstColumn="0" w:lastRowLastColumn="0"/>
            </w:pPr>
            <w:r>
              <w:t>Units</w:t>
            </w:r>
          </w:p>
        </w:tc>
        <w:tc>
          <w:tcPr>
            <w:tcW w:w="4770" w:type="dxa"/>
          </w:tcPr>
          <w:p w14:paraId="563B204D" w14:textId="77777777" w:rsidR="003F071D" w:rsidRDefault="003F071D" w:rsidP="003F071D">
            <w:pPr>
              <w:cnfStyle w:val="100000000000" w:firstRow="1" w:lastRow="0" w:firstColumn="0" w:lastColumn="0" w:oddVBand="0" w:evenVBand="0" w:oddHBand="0" w:evenHBand="0" w:firstRowFirstColumn="0" w:firstRowLastColumn="0" w:lastRowFirstColumn="0" w:lastRowLastColumn="0"/>
            </w:pPr>
            <w:r>
              <w:t>Comments</w:t>
            </w:r>
          </w:p>
        </w:tc>
      </w:tr>
      <w:tr w:rsidR="003F071D" w14:paraId="78FA33C9" w14:textId="77777777" w:rsidTr="005129B2">
        <w:tc>
          <w:tcPr>
            <w:cnfStyle w:val="001000000000" w:firstRow="0" w:lastRow="0" w:firstColumn="1" w:lastColumn="0" w:oddVBand="0" w:evenVBand="0" w:oddHBand="0" w:evenHBand="0" w:firstRowFirstColumn="0" w:firstRowLastColumn="0" w:lastRowFirstColumn="0" w:lastRowLastColumn="0"/>
            <w:tcW w:w="2695" w:type="dxa"/>
          </w:tcPr>
          <w:p w14:paraId="4CFCB1C7" w14:textId="77777777" w:rsidR="003F071D" w:rsidRPr="00364D83" w:rsidRDefault="003F071D" w:rsidP="003F071D">
            <w:pPr>
              <w:rPr>
                <w:b w:val="0"/>
                <w:bCs w:val="0"/>
                <w:sz w:val="22"/>
                <w:szCs w:val="22"/>
              </w:rPr>
            </w:pPr>
            <w:r>
              <w:rPr>
                <w:b w:val="0"/>
                <w:bCs w:val="0"/>
                <w:sz w:val="22"/>
                <w:szCs w:val="22"/>
              </w:rPr>
              <w:t xml:space="preserve">Output accuracy (see section </w:t>
            </w:r>
            <w:r>
              <w:rPr>
                <w:sz w:val="22"/>
                <w:szCs w:val="22"/>
              </w:rPr>
              <w:fldChar w:fldCharType="begin"/>
            </w:r>
            <w:r>
              <w:rPr>
                <w:b w:val="0"/>
                <w:bCs w:val="0"/>
                <w:sz w:val="22"/>
                <w:szCs w:val="22"/>
              </w:rPr>
              <w:instrText xml:space="preserve"> REF _Ref46481487 \w \h </w:instrText>
            </w:r>
            <w:r>
              <w:rPr>
                <w:sz w:val="22"/>
                <w:szCs w:val="22"/>
              </w:rPr>
              <w:instrText xml:space="preserve"> \* MERGEFORMAT </w:instrText>
            </w:r>
            <w:r>
              <w:rPr>
                <w:sz w:val="22"/>
                <w:szCs w:val="22"/>
              </w:rPr>
            </w:r>
            <w:r>
              <w:rPr>
                <w:sz w:val="22"/>
                <w:szCs w:val="22"/>
              </w:rPr>
              <w:fldChar w:fldCharType="separate"/>
            </w:r>
            <w:r>
              <w:rPr>
                <w:b w:val="0"/>
                <w:bCs w:val="0"/>
                <w:sz w:val="22"/>
                <w:szCs w:val="22"/>
              </w:rPr>
              <w:t>2.1</w:t>
            </w:r>
            <w:r>
              <w:rPr>
                <w:sz w:val="22"/>
                <w:szCs w:val="22"/>
              </w:rPr>
              <w:fldChar w:fldCharType="end"/>
            </w:r>
            <w:r>
              <w:rPr>
                <w:b w:val="0"/>
                <w:bCs w:val="0"/>
                <w:sz w:val="22"/>
                <w:szCs w:val="22"/>
              </w:rPr>
              <w:t>)</w:t>
            </w:r>
          </w:p>
        </w:tc>
        <w:tc>
          <w:tcPr>
            <w:tcW w:w="900" w:type="dxa"/>
          </w:tcPr>
          <w:p w14:paraId="153CF71D" w14:textId="77777777" w:rsidR="003F071D" w:rsidRPr="00367156"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w:t>
            </w:r>
          </w:p>
        </w:tc>
        <w:tc>
          <w:tcPr>
            <w:tcW w:w="1170" w:type="dxa"/>
          </w:tcPr>
          <w:p w14:paraId="5EE0C283" w14:textId="77777777" w:rsidR="003F071D" w:rsidRPr="00367156"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t>
            </w:r>
          </w:p>
        </w:tc>
        <w:tc>
          <w:tcPr>
            <w:tcW w:w="4770" w:type="dxa"/>
          </w:tcPr>
          <w:p w14:paraId="6F931785" w14:textId="4FB1F0FE" w:rsidR="003F071D" w:rsidRDefault="004315C2"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Current ranges specified in </w:t>
            </w:r>
            <w:r>
              <w:rPr>
                <w:sz w:val="22"/>
                <w:szCs w:val="22"/>
              </w:rPr>
              <w:fldChar w:fldCharType="begin"/>
            </w:r>
            <w:r>
              <w:rPr>
                <w:sz w:val="22"/>
                <w:szCs w:val="22"/>
              </w:rPr>
              <w:instrText xml:space="preserve"> REF _Ref46989013 \h </w:instrText>
            </w:r>
            <w:r>
              <w:rPr>
                <w:sz w:val="22"/>
                <w:szCs w:val="22"/>
              </w:rPr>
            </w:r>
            <w:r>
              <w:rPr>
                <w:sz w:val="22"/>
                <w:szCs w:val="22"/>
              </w:rPr>
              <w:fldChar w:fldCharType="separate"/>
            </w:r>
            <w:r>
              <w:t xml:space="preserve">Table </w:t>
            </w:r>
            <w:r>
              <w:rPr>
                <w:noProof/>
              </w:rPr>
              <w:t>1</w:t>
            </w:r>
            <w:r>
              <w:rPr>
                <w:sz w:val="22"/>
                <w:szCs w:val="22"/>
              </w:rPr>
              <w:fldChar w:fldCharType="end"/>
            </w:r>
            <w:r>
              <w:rPr>
                <w:sz w:val="22"/>
                <w:szCs w:val="22"/>
              </w:rPr>
              <w:t>.</w:t>
            </w:r>
          </w:p>
        </w:tc>
      </w:tr>
      <w:tr w:rsidR="003F071D" w14:paraId="6E8B0DD6" w14:textId="77777777" w:rsidTr="005129B2">
        <w:tc>
          <w:tcPr>
            <w:cnfStyle w:val="001000000000" w:firstRow="0" w:lastRow="0" w:firstColumn="1" w:lastColumn="0" w:oddVBand="0" w:evenVBand="0" w:oddHBand="0" w:evenHBand="0" w:firstRowFirstColumn="0" w:firstRowLastColumn="0" w:lastRowFirstColumn="0" w:lastRowLastColumn="0"/>
            <w:tcW w:w="2695" w:type="dxa"/>
          </w:tcPr>
          <w:p w14:paraId="31A1AA92" w14:textId="77777777" w:rsidR="003F071D" w:rsidRPr="00364D83" w:rsidRDefault="003F071D" w:rsidP="003F071D">
            <w:pPr>
              <w:rPr>
                <w:b w:val="0"/>
                <w:bCs w:val="0"/>
                <w:sz w:val="22"/>
                <w:szCs w:val="22"/>
              </w:rPr>
            </w:pPr>
            <w:r>
              <w:rPr>
                <w:b w:val="0"/>
                <w:bCs w:val="0"/>
                <w:sz w:val="22"/>
                <w:szCs w:val="22"/>
              </w:rPr>
              <w:t>Range control switching time</w:t>
            </w:r>
          </w:p>
        </w:tc>
        <w:tc>
          <w:tcPr>
            <w:tcW w:w="900" w:type="dxa"/>
          </w:tcPr>
          <w:p w14:paraId="221962F4" w14:textId="2AB0E09B" w:rsidR="003F071D" w:rsidRPr="00367156" w:rsidRDefault="00A80DF5"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&lt; 2</w:t>
            </w:r>
          </w:p>
        </w:tc>
        <w:tc>
          <w:tcPr>
            <w:tcW w:w="1170" w:type="dxa"/>
          </w:tcPr>
          <w:p w14:paraId="42F60228" w14:textId="0B963DCA" w:rsidR="003F071D" w:rsidRPr="00367156" w:rsidRDefault="00643F97" w:rsidP="003F071D">
            <w:pPr>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ms</w:t>
            </w:r>
            <w:proofErr w:type="spellEnd"/>
          </w:p>
        </w:tc>
        <w:tc>
          <w:tcPr>
            <w:tcW w:w="4770" w:type="dxa"/>
          </w:tcPr>
          <w:p w14:paraId="72BD985D" w14:textId="719B5EA9" w:rsidR="003F071D" w:rsidRPr="00367156" w:rsidRDefault="00643F97"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Switching between Booster events. To be discussed.</w:t>
            </w:r>
          </w:p>
        </w:tc>
      </w:tr>
      <w:tr w:rsidR="003F071D" w14:paraId="2DA88ED2" w14:textId="77777777" w:rsidTr="005129B2">
        <w:tc>
          <w:tcPr>
            <w:cnfStyle w:val="001000000000" w:firstRow="0" w:lastRow="0" w:firstColumn="1" w:lastColumn="0" w:oddVBand="0" w:evenVBand="0" w:oddHBand="0" w:evenHBand="0" w:firstRowFirstColumn="0" w:firstRowLastColumn="0" w:lastRowFirstColumn="0" w:lastRowLastColumn="0"/>
            <w:tcW w:w="2695" w:type="dxa"/>
          </w:tcPr>
          <w:p w14:paraId="679EB3DD" w14:textId="77777777" w:rsidR="003F071D" w:rsidRPr="0006366D" w:rsidRDefault="003F071D" w:rsidP="003F071D">
            <w:pPr>
              <w:rPr>
                <w:b w:val="0"/>
                <w:bCs w:val="0"/>
                <w:sz w:val="22"/>
                <w:szCs w:val="22"/>
              </w:rPr>
            </w:pPr>
            <w:r w:rsidRPr="0006366D">
              <w:rPr>
                <w:b w:val="0"/>
                <w:bCs w:val="0"/>
                <w:sz w:val="22"/>
                <w:szCs w:val="22"/>
              </w:rPr>
              <w:t>Amplifier settling time</w:t>
            </w:r>
          </w:p>
        </w:tc>
        <w:tc>
          <w:tcPr>
            <w:tcW w:w="900" w:type="dxa"/>
          </w:tcPr>
          <w:p w14:paraId="4E671F7E" w14:textId="77777777" w:rsidR="003F071D"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50</w:t>
            </w:r>
          </w:p>
        </w:tc>
        <w:tc>
          <w:tcPr>
            <w:tcW w:w="1170" w:type="dxa"/>
          </w:tcPr>
          <w:p w14:paraId="6530086D" w14:textId="77777777" w:rsidR="003F071D" w:rsidRDefault="003F071D" w:rsidP="003F071D">
            <w:pPr>
              <w:cnfStyle w:val="000000000000" w:firstRow="0" w:lastRow="0" w:firstColumn="0" w:lastColumn="0" w:oddVBand="0" w:evenVBand="0" w:oddHBand="0" w:evenHBand="0" w:firstRowFirstColumn="0" w:firstRowLastColumn="0" w:lastRowFirstColumn="0" w:lastRowLastColumn="0"/>
              <w:rPr>
                <w:rFonts w:ascii="Symbol" w:hAnsi="Symbol"/>
                <w:sz w:val="22"/>
                <w:szCs w:val="22"/>
              </w:rPr>
            </w:pPr>
            <w:r>
              <w:rPr>
                <w:rFonts w:ascii="Symbol" w:hAnsi="Symbol"/>
                <w:sz w:val="22"/>
                <w:szCs w:val="22"/>
              </w:rPr>
              <w:t></w:t>
            </w:r>
            <w:r>
              <w:rPr>
                <w:sz w:val="22"/>
                <w:szCs w:val="22"/>
              </w:rPr>
              <w:t>s</w:t>
            </w:r>
          </w:p>
        </w:tc>
        <w:tc>
          <w:tcPr>
            <w:tcW w:w="4770" w:type="dxa"/>
          </w:tcPr>
          <w:p w14:paraId="7EC02DC3" w14:textId="77777777" w:rsidR="003F071D"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About 25 turns. Specified in NPCT spec sheet.</w:t>
            </w:r>
          </w:p>
        </w:tc>
      </w:tr>
      <w:tr w:rsidR="003F071D" w14:paraId="52F80036" w14:textId="77777777" w:rsidTr="005129B2">
        <w:tc>
          <w:tcPr>
            <w:cnfStyle w:val="001000000000" w:firstRow="0" w:lastRow="0" w:firstColumn="1" w:lastColumn="0" w:oddVBand="0" w:evenVBand="0" w:oddHBand="0" w:evenHBand="0" w:firstRowFirstColumn="0" w:firstRowLastColumn="0" w:lastRowFirstColumn="0" w:lastRowLastColumn="0"/>
            <w:tcW w:w="2695" w:type="dxa"/>
          </w:tcPr>
          <w:p w14:paraId="367BE73B" w14:textId="77777777" w:rsidR="003F071D" w:rsidRPr="00364D83" w:rsidRDefault="003F071D" w:rsidP="003F071D">
            <w:pPr>
              <w:rPr>
                <w:b w:val="0"/>
                <w:bCs w:val="0"/>
                <w:sz w:val="22"/>
                <w:szCs w:val="22"/>
              </w:rPr>
            </w:pPr>
            <w:r>
              <w:rPr>
                <w:b w:val="0"/>
                <w:bCs w:val="0"/>
                <w:sz w:val="22"/>
                <w:szCs w:val="22"/>
              </w:rPr>
              <w:t>Bandwidth</w:t>
            </w:r>
          </w:p>
        </w:tc>
        <w:tc>
          <w:tcPr>
            <w:tcW w:w="900" w:type="dxa"/>
          </w:tcPr>
          <w:p w14:paraId="4A628D36" w14:textId="77777777" w:rsidR="003F071D" w:rsidRPr="009D0876"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sidRPr="009D0876">
              <w:rPr>
                <w:sz w:val="22"/>
                <w:szCs w:val="22"/>
              </w:rPr>
              <w:t xml:space="preserve">10 </w:t>
            </w:r>
          </w:p>
        </w:tc>
        <w:tc>
          <w:tcPr>
            <w:tcW w:w="1170" w:type="dxa"/>
          </w:tcPr>
          <w:p w14:paraId="41D03519" w14:textId="77777777" w:rsidR="003F071D" w:rsidRPr="00367156"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kHz</w:t>
            </w:r>
          </w:p>
        </w:tc>
        <w:tc>
          <w:tcPr>
            <w:tcW w:w="4770" w:type="dxa"/>
          </w:tcPr>
          <w:p w14:paraId="6B91C9CF" w14:textId="77777777" w:rsidR="003F071D" w:rsidRPr="00367156"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Maximum as specified in NPCT spec sheet</w:t>
            </w:r>
          </w:p>
        </w:tc>
      </w:tr>
      <w:tr w:rsidR="003F071D" w14:paraId="1DF08675" w14:textId="77777777" w:rsidTr="005129B2">
        <w:tc>
          <w:tcPr>
            <w:cnfStyle w:val="001000000000" w:firstRow="0" w:lastRow="0" w:firstColumn="1" w:lastColumn="0" w:oddVBand="0" w:evenVBand="0" w:oddHBand="0" w:evenHBand="0" w:firstRowFirstColumn="0" w:firstRowLastColumn="0" w:lastRowFirstColumn="0" w:lastRowLastColumn="0"/>
            <w:tcW w:w="2695" w:type="dxa"/>
          </w:tcPr>
          <w:p w14:paraId="0F2CF4C2" w14:textId="77777777" w:rsidR="003F071D" w:rsidRPr="00364D83" w:rsidRDefault="003F071D" w:rsidP="003F071D">
            <w:pPr>
              <w:rPr>
                <w:b w:val="0"/>
                <w:bCs w:val="0"/>
                <w:sz w:val="22"/>
                <w:szCs w:val="22"/>
              </w:rPr>
            </w:pPr>
            <w:r>
              <w:rPr>
                <w:b w:val="0"/>
                <w:bCs w:val="0"/>
                <w:sz w:val="22"/>
                <w:szCs w:val="22"/>
              </w:rPr>
              <w:t xml:space="preserve">Resolution (see section </w:t>
            </w:r>
            <w:r>
              <w:rPr>
                <w:sz w:val="22"/>
                <w:szCs w:val="22"/>
              </w:rPr>
              <w:fldChar w:fldCharType="begin"/>
            </w:r>
            <w:r>
              <w:rPr>
                <w:b w:val="0"/>
                <w:bCs w:val="0"/>
                <w:sz w:val="22"/>
                <w:szCs w:val="22"/>
              </w:rPr>
              <w:instrText xml:space="preserve"> REF _Ref46481487 \w \h </w:instrText>
            </w:r>
            <w:r>
              <w:rPr>
                <w:sz w:val="22"/>
                <w:szCs w:val="22"/>
              </w:rPr>
            </w:r>
            <w:r>
              <w:rPr>
                <w:sz w:val="22"/>
                <w:szCs w:val="22"/>
              </w:rPr>
              <w:fldChar w:fldCharType="separate"/>
            </w:r>
            <w:r>
              <w:rPr>
                <w:b w:val="0"/>
                <w:bCs w:val="0"/>
                <w:sz w:val="22"/>
                <w:szCs w:val="22"/>
              </w:rPr>
              <w:t>2.1</w:t>
            </w:r>
            <w:r>
              <w:rPr>
                <w:sz w:val="22"/>
                <w:szCs w:val="22"/>
              </w:rPr>
              <w:fldChar w:fldCharType="end"/>
            </w:r>
            <w:r>
              <w:rPr>
                <w:b w:val="0"/>
                <w:bCs w:val="0"/>
                <w:sz w:val="22"/>
                <w:szCs w:val="22"/>
              </w:rPr>
              <w:t>)</w:t>
            </w:r>
          </w:p>
        </w:tc>
        <w:tc>
          <w:tcPr>
            <w:tcW w:w="900" w:type="dxa"/>
          </w:tcPr>
          <w:p w14:paraId="4AB6617C" w14:textId="77777777" w:rsidR="003F071D" w:rsidRPr="00367156"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&lt; 0.5</w:t>
            </w:r>
          </w:p>
        </w:tc>
        <w:tc>
          <w:tcPr>
            <w:tcW w:w="1170" w:type="dxa"/>
          </w:tcPr>
          <w:p w14:paraId="51C6B5ED" w14:textId="77777777" w:rsidR="003F071D" w:rsidRPr="0006366D"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m:oMathPara>
              <m:oMathParaPr>
                <m:jc m:val="left"/>
              </m:oMathParaPr>
              <m:oMath>
                <m:r>
                  <w:rPr>
                    <w:rFonts w:ascii="Cambria Math" w:hAnsi="Cambria Math"/>
                    <w:sz w:val="22"/>
                    <w:szCs w:val="22"/>
                  </w:rPr>
                  <m:t>μ</m:t>
                </m:r>
                <m:r>
                  <m:rPr>
                    <m:nor/>
                  </m:rPr>
                  <w:rPr>
                    <w:rFonts w:ascii="Cambria Math" w:hAnsi="Cambria Math"/>
                    <w:sz w:val="22"/>
                    <w:szCs w:val="22"/>
                  </w:rPr>
                  <m:t>A</m:t>
                </m:r>
                <m:r>
                  <w:rPr>
                    <w:rFonts w:ascii="Cambria Math" w:hAnsi="Cambria Math" w:cstheme="majorHAnsi"/>
                    <w:sz w:val="22"/>
                    <w:szCs w:val="22"/>
                  </w:rPr>
                  <m:t>/</m:t>
                </m:r>
                <m:rad>
                  <m:radPr>
                    <m:degHide m:val="1"/>
                    <m:ctrlPr>
                      <w:rPr>
                        <w:rFonts w:ascii="Cambria Math" w:hAnsi="Cambria Math" w:cstheme="majorHAnsi"/>
                        <w:i/>
                        <w:sz w:val="22"/>
                        <w:szCs w:val="22"/>
                      </w:rPr>
                    </m:ctrlPr>
                  </m:radPr>
                  <m:deg/>
                  <m:e>
                    <m:r>
                      <m:rPr>
                        <m:nor/>
                      </m:rPr>
                      <w:rPr>
                        <w:rFonts w:ascii="Cambria Math" w:hAnsi="Cambria Math" w:cstheme="majorHAnsi"/>
                        <w:sz w:val="22"/>
                        <w:szCs w:val="22"/>
                      </w:rPr>
                      <m:t>Hz</m:t>
                    </m:r>
                  </m:e>
                </m:rad>
              </m:oMath>
            </m:oMathPara>
          </w:p>
        </w:tc>
        <w:tc>
          <w:tcPr>
            <w:tcW w:w="4770" w:type="dxa"/>
          </w:tcPr>
          <w:p w14:paraId="4F3E23CE" w14:textId="77777777" w:rsidR="003F071D" w:rsidRPr="00367156"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High resolution model</w:t>
            </w:r>
          </w:p>
        </w:tc>
      </w:tr>
      <w:tr w:rsidR="003F071D" w14:paraId="74FBE32F" w14:textId="77777777" w:rsidTr="005129B2">
        <w:tc>
          <w:tcPr>
            <w:cnfStyle w:val="001000000000" w:firstRow="0" w:lastRow="0" w:firstColumn="1" w:lastColumn="0" w:oddVBand="0" w:evenVBand="0" w:oddHBand="0" w:evenHBand="0" w:firstRowFirstColumn="0" w:firstRowLastColumn="0" w:lastRowFirstColumn="0" w:lastRowLastColumn="0"/>
            <w:tcW w:w="2695" w:type="dxa"/>
          </w:tcPr>
          <w:p w14:paraId="2F62EA35" w14:textId="77777777" w:rsidR="003F071D" w:rsidRDefault="003F071D" w:rsidP="003F071D">
            <w:pPr>
              <w:rPr>
                <w:b w:val="0"/>
                <w:bCs w:val="0"/>
                <w:sz w:val="22"/>
                <w:szCs w:val="22"/>
              </w:rPr>
            </w:pPr>
            <w:r>
              <w:rPr>
                <w:b w:val="0"/>
                <w:bCs w:val="0"/>
                <w:sz w:val="22"/>
                <w:szCs w:val="22"/>
              </w:rPr>
              <w:t>Linearity error</w:t>
            </w:r>
          </w:p>
        </w:tc>
        <w:tc>
          <w:tcPr>
            <w:tcW w:w="900" w:type="dxa"/>
          </w:tcPr>
          <w:p w14:paraId="00BFB379" w14:textId="77777777" w:rsidR="003F071D"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&lt; 0.1</w:t>
            </w:r>
          </w:p>
        </w:tc>
        <w:tc>
          <w:tcPr>
            <w:tcW w:w="1170" w:type="dxa"/>
          </w:tcPr>
          <w:p w14:paraId="5554CF9E" w14:textId="77777777" w:rsidR="003F071D" w:rsidRDefault="003F071D" w:rsidP="003F071D">
            <w:pPr>
              <w:cnfStyle w:val="000000000000" w:firstRow="0" w:lastRow="0" w:firstColumn="0" w:lastColumn="0" w:oddVBand="0" w:evenVBand="0" w:oddHBand="0" w:evenHBand="0" w:firstRowFirstColumn="0" w:firstRowLastColumn="0" w:lastRowFirstColumn="0" w:lastRowLastColumn="0"/>
              <w:rPr>
                <w:rFonts w:ascii="Symbol" w:hAnsi="Symbol"/>
                <w:sz w:val="22"/>
                <w:szCs w:val="22"/>
              </w:rPr>
            </w:pPr>
            <w:r>
              <w:rPr>
                <w:rFonts w:ascii="Symbol" w:hAnsi="Symbol"/>
                <w:sz w:val="22"/>
                <w:szCs w:val="22"/>
              </w:rPr>
              <w:t></w:t>
            </w:r>
          </w:p>
        </w:tc>
        <w:tc>
          <w:tcPr>
            <w:tcW w:w="4770" w:type="dxa"/>
          </w:tcPr>
          <w:p w14:paraId="31ADD61D" w14:textId="77777777" w:rsidR="003F071D" w:rsidRDefault="003F071D" w:rsidP="003F071D">
            <w:pPr>
              <w:cnfStyle w:val="000000000000" w:firstRow="0" w:lastRow="0" w:firstColumn="0" w:lastColumn="0" w:oddVBand="0" w:evenVBand="0" w:oddHBand="0" w:evenHBand="0" w:firstRowFirstColumn="0" w:firstRowLastColumn="0" w:lastRowFirstColumn="0" w:lastRowLastColumn="0"/>
              <w:rPr>
                <w:sz w:val="22"/>
                <w:szCs w:val="22"/>
              </w:rPr>
            </w:pPr>
          </w:p>
        </w:tc>
      </w:tr>
    </w:tbl>
    <w:p w14:paraId="4D92899B" w14:textId="77777777" w:rsidR="003F071D" w:rsidRDefault="003F071D" w:rsidP="00EF564E"/>
    <w:p w14:paraId="34929A04" w14:textId="7F8532F0" w:rsidR="003F606D" w:rsidRDefault="00EF564E">
      <w:pPr>
        <w:rPr>
          <w:rFonts w:eastAsiaTheme="minorEastAsia"/>
        </w:rPr>
      </w:pPr>
      <w:r>
        <w:lastRenderedPageBreak/>
        <w:t xml:space="preserve">The typical currents in Booster after injection are between 70 mA to 800 mA depending on the mode of operations. </w:t>
      </w:r>
      <w:r w:rsidR="00E13A7F">
        <w:t xml:space="preserve">However, the instantaneous peak currents can be &gt; 2 A. See section </w:t>
      </w:r>
      <w:r w:rsidR="00E13A7F">
        <w:fldChar w:fldCharType="begin"/>
      </w:r>
      <w:r w:rsidR="00E13A7F">
        <w:instrText xml:space="preserve"> REF _Ref46926792 \w \h </w:instrText>
      </w:r>
      <w:r w:rsidR="00E13A7F">
        <w:fldChar w:fldCharType="separate"/>
      </w:r>
      <w:r w:rsidR="00E13A7F">
        <w:t>2.2.1</w:t>
      </w:r>
      <w:r w:rsidR="00E13A7F">
        <w:fldChar w:fldCharType="end"/>
      </w:r>
      <w:r w:rsidR="00E13A7F">
        <w:t xml:space="preserve">. </w:t>
      </w:r>
      <w:r>
        <w:t xml:space="preserve">The compatible amplifier ranges for the range are </w:t>
      </w:r>
      <m:oMath>
        <m:r>
          <w:rPr>
            <w:rFonts w:ascii="Cambria Math" w:hAnsi="Cambria Math"/>
          </w:rPr>
          <m:t>±200</m:t>
        </m:r>
      </m:oMath>
      <w:r>
        <w:t xml:space="preserve"> mA and </w:t>
      </w:r>
      <m:oMath>
        <m:r>
          <w:rPr>
            <w:rFonts w:ascii="Cambria Math" w:hAnsi="Cambria Math"/>
          </w:rPr>
          <m:t>±2</m:t>
        </m:r>
      </m:oMath>
      <w:r>
        <w:rPr>
          <w:rFonts w:eastAsiaTheme="minorEastAsia"/>
        </w:rPr>
        <w:t xml:space="preserve"> A as stated in the NPT specifications document. The</w:t>
      </w:r>
      <w:r w:rsidR="003F071D">
        <w:rPr>
          <w:rFonts w:eastAsiaTheme="minorEastAsia"/>
        </w:rPr>
        <w:t xml:space="preserve"> specifications in </w:t>
      </w:r>
      <w:r w:rsidR="003F071D">
        <w:rPr>
          <w:rFonts w:eastAsiaTheme="minorEastAsia"/>
        </w:rPr>
        <w:fldChar w:fldCharType="begin"/>
      </w:r>
      <w:r w:rsidR="003F071D">
        <w:rPr>
          <w:rFonts w:eastAsiaTheme="minorEastAsia"/>
        </w:rPr>
        <w:instrText xml:space="preserve"> REF _Ref46988867 \h </w:instrText>
      </w:r>
      <w:r w:rsidR="003F071D">
        <w:rPr>
          <w:rFonts w:eastAsiaTheme="minorEastAsia"/>
        </w:rPr>
      </w:r>
      <w:r w:rsidR="003F071D">
        <w:rPr>
          <w:rFonts w:eastAsiaTheme="minorEastAsia"/>
        </w:rPr>
        <w:fldChar w:fldCharType="separate"/>
      </w:r>
      <w:r w:rsidR="003F071D">
        <w:t xml:space="preserve">Table </w:t>
      </w:r>
      <w:r w:rsidR="003F071D">
        <w:rPr>
          <w:noProof/>
        </w:rPr>
        <w:t>2</w:t>
      </w:r>
      <w:r w:rsidR="003F071D">
        <w:rPr>
          <w:rFonts w:eastAsiaTheme="minorEastAsia"/>
        </w:rPr>
        <w:fldChar w:fldCharType="end"/>
      </w:r>
      <w:r w:rsidR="003F071D">
        <w:rPr>
          <w:rFonts w:eastAsiaTheme="minorEastAsia"/>
        </w:rPr>
        <w:t xml:space="preserve"> apply to both these ranges.</w:t>
      </w:r>
    </w:p>
    <w:p w14:paraId="612BFDAE" w14:textId="6D27D691" w:rsidR="00293DCA" w:rsidRDefault="00293DCA" w:rsidP="001C1B1C"/>
    <w:p w14:paraId="4F21753D" w14:textId="2B3ADF15" w:rsidR="00A10F85" w:rsidRDefault="00A10F85" w:rsidP="00A10F85">
      <w:pPr>
        <w:pStyle w:val="Heading2"/>
        <w:spacing w:line="180" w:lineRule="auto"/>
      </w:pPr>
      <w:r>
        <w:t>NPCT mechanical specifications</w:t>
      </w:r>
    </w:p>
    <w:p w14:paraId="284777B6" w14:textId="4806BA56" w:rsidR="00911D08" w:rsidRDefault="00911D08" w:rsidP="005129B2">
      <w:pPr>
        <w:pStyle w:val="Caption"/>
        <w:keepNext/>
      </w:pPr>
      <w:r>
        <w:t xml:space="preserve">Table </w:t>
      </w:r>
      <w:r w:rsidR="00343F14">
        <w:fldChar w:fldCharType="begin"/>
      </w:r>
      <w:r w:rsidR="00343F14">
        <w:instrText xml:space="preserve"> SEQ Table \* ARABIC </w:instrText>
      </w:r>
      <w:r w:rsidR="00343F14">
        <w:fldChar w:fldCharType="separate"/>
      </w:r>
      <w:r w:rsidR="003F071D">
        <w:rPr>
          <w:noProof/>
        </w:rPr>
        <w:t>3</w:t>
      </w:r>
      <w:r w:rsidR="00343F14">
        <w:rPr>
          <w:noProof/>
        </w:rPr>
        <w:fldChar w:fldCharType="end"/>
      </w:r>
      <w:r>
        <w:t>: Mechanical specifications</w:t>
      </w:r>
    </w:p>
    <w:tbl>
      <w:tblPr>
        <w:tblStyle w:val="GridTable1Light-Accent1"/>
        <w:tblW w:w="0" w:type="auto"/>
        <w:tblLook w:val="04A0" w:firstRow="1" w:lastRow="0" w:firstColumn="1" w:lastColumn="0" w:noHBand="0" w:noVBand="1"/>
      </w:tblPr>
      <w:tblGrid>
        <w:gridCol w:w="3726"/>
        <w:gridCol w:w="1039"/>
        <w:gridCol w:w="900"/>
        <w:gridCol w:w="3887"/>
      </w:tblGrid>
      <w:tr w:rsidR="00A10F85" w14:paraId="3600BC5B" w14:textId="77777777" w:rsidTr="00512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6" w:type="dxa"/>
          </w:tcPr>
          <w:p w14:paraId="17F05B55" w14:textId="77777777" w:rsidR="00A10F85" w:rsidRDefault="00A10F85" w:rsidP="005A5A19">
            <w:r>
              <w:t>Parameter</w:t>
            </w:r>
          </w:p>
        </w:tc>
        <w:tc>
          <w:tcPr>
            <w:tcW w:w="1039" w:type="dxa"/>
          </w:tcPr>
          <w:p w14:paraId="7AEC78AF" w14:textId="572D3B7D" w:rsidR="00A10F85" w:rsidRDefault="00A10F85" w:rsidP="005A5A19">
            <w:pPr>
              <w:cnfStyle w:val="100000000000" w:firstRow="1" w:lastRow="0" w:firstColumn="0" w:lastColumn="0" w:oddVBand="0" w:evenVBand="0" w:oddHBand="0" w:evenHBand="0" w:firstRowFirstColumn="0" w:firstRowLastColumn="0" w:lastRowFirstColumn="0" w:lastRowLastColumn="0"/>
            </w:pPr>
            <w:r>
              <w:t>Value</w:t>
            </w:r>
          </w:p>
        </w:tc>
        <w:tc>
          <w:tcPr>
            <w:tcW w:w="900" w:type="dxa"/>
          </w:tcPr>
          <w:p w14:paraId="5CDECEBE" w14:textId="77777777" w:rsidR="00A10F85" w:rsidRDefault="00A10F85" w:rsidP="005A5A19">
            <w:pPr>
              <w:cnfStyle w:val="100000000000" w:firstRow="1" w:lastRow="0" w:firstColumn="0" w:lastColumn="0" w:oddVBand="0" w:evenVBand="0" w:oddHBand="0" w:evenHBand="0" w:firstRowFirstColumn="0" w:firstRowLastColumn="0" w:lastRowFirstColumn="0" w:lastRowLastColumn="0"/>
            </w:pPr>
            <w:r>
              <w:t>Units</w:t>
            </w:r>
          </w:p>
        </w:tc>
        <w:tc>
          <w:tcPr>
            <w:tcW w:w="3887" w:type="dxa"/>
          </w:tcPr>
          <w:p w14:paraId="6AAE2650" w14:textId="77777777" w:rsidR="00A10F85" w:rsidRDefault="00A10F85" w:rsidP="005A5A19">
            <w:pPr>
              <w:cnfStyle w:val="100000000000" w:firstRow="1" w:lastRow="0" w:firstColumn="0" w:lastColumn="0" w:oddVBand="0" w:evenVBand="0" w:oddHBand="0" w:evenHBand="0" w:firstRowFirstColumn="0" w:firstRowLastColumn="0" w:lastRowFirstColumn="0" w:lastRowLastColumn="0"/>
            </w:pPr>
            <w:r>
              <w:t>Comments</w:t>
            </w:r>
          </w:p>
        </w:tc>
      </w:tr>
      <w:tr w:rsidR="00511A37" w14:paraId="6359EBFD" w14:textId="77777777" w:rsidTr="005129B2">
        <w:tc>
          <w:tcPr>
            <w:cnfStyle w:val="001000000000" w:firstRow="0" w:lastRow="0" w:firstColumn="1" w:lastColumn="0" w:oddVBand="0" w:evenVBand="0" w:oddHBand="0" w:evenHBand="0" w:firstRowFirstColumn="0" w:firstRowLastColumn="0" w:lastRowFirstColumn="0" w:lastRowLastColumn="0"/>
            <w:tcW w:w="3726" w:type="dxa"/>
          </w:tcPr>
          <w:p w14:paraId="5B52AAF1" w14:textId="340012DB" w:rsidR="00511A37" w:rsidRDefault="00194EBF" w:rsidP="005A5A19">
            <w:pPr>
              <w:rPr>
                <w:b w:val="0"/>
                <w:bCs w:val="0"/>
                <w:sz w:val="22"/>
                <w:szCs w:val="22"/>
              </w:rPr>
            </w:pPr>
            <w:r>
              <w:rPr>
                <w:b w:val="0"/>
                <w:bCs w:val="0"/>
                <w:sz w:val="22"/>
                <w:szCs w:val="22"/>
              </w:rPr>
              <w:t xml:space="preserve">Beam pipe </w:t>
            </w:r>
            <w:r w:rsidR="00EF6857">
              <w:rPr>
                <w:b w:val="0"/>
                <w:bCs w:val="0"/>
                <w:sz w:val="22"/>
                <w:szCs w:val="22"/>
              </w:rPr>
              <w:t xml:space="preserve">outer </w:t>
            </w:r>
            <w:r>
              <w:rPr>
                <w:b w:val="0"/>
                <w:bCs w:val="0"/>
                <w:sz w:val="22"/>
                <w:szCs w:val="22"/>
              </w:rPr>
              <w:t>diameter</w:t>
            </w:r>
          </w:p>
        </w:tc>
        <w:tc>
          <w:tcPr>
            <w:tcW w:w="1039" w:type="dxa"/>
          </w:tcPr>
          <w:p w14:paraId="0D74BFD6" w14:textId="11981B2D" w:rsidR="00511A37" w:rsidRDefault="00194EBF"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w:t>
            </w:r>
            <w:r w:rsidR="00EF6857">
              <w:rPr>
                <w:sz w:val="22"/>
                <w:szCs w:val="22"/>
              </w:rPr>
              <w:t>.25</w:t>
            </w:r>
          </w:p>
        </w:tc>
        <w:tc>
          <w:tcPr>
            <w:tcW w:w="900" w:type="dxa"/>
          </w:tcPr>
          <w:p w14:paraId="52F037E1" w14:textId="4655F5D3" w:rsidR="00511A37" w:rsidRPr="00367156" w:rsidRDefault="00194EBF"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inches</w:t>
            </w:r>
          </w:p>
        </w:tc>
        <w:tc>
          <w:tcPr>
            <w:tcW w:w="3887" w:type="dxa"/>
          </w:tcPr>
          <w:p w14:paraId="649C82FC" w14:textId="3ACB70C2" w:rsidR="00511A37" w:rsidRDefault="00226909"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Round beam pipe</w:t>
            </w:r>
          </w:p>
        </w:tc>
      </w:tr>
      <w:tr w:rsidR="00246F8D" w14:paraId="3B14FC33" w14:textId="77777777" w:rsidTr="00194EBF">
        <w:tc>
          <w:tcPr>
            <w:cnfStyle w:val="001000000000" w:firstRow="0" w:lastRow="0" w:firstColumn="1" w:lastColumn="0" w:oddVBand="0" w:evenVBand="0" w:oddHBand="0" w:evenHBand="0" w:firstRowFirstColumn="0" w:firstRowLastColumn="0" w:lastRowFirstColumn="0" w:lastRowLastColumn="0"/>
            <w:tcW w:w="3726" w:type="dxa"/>
          </w:tcPr>
          <w:p w14:paraId="30767507" w14:textId="72F6B173" w:rsidR="00246F8D" w:rsidRDefault="00246F8D" w:rsidP="005A5A19">
            <w:pPr>
              <w:rPr>
                <w:b w:val="0"/>
                <w:bCs w:val="0"/>
                <w:sz w:val="22"/>
                <w:szCs w:val="22"/>
              </w:rPr>
            </w:pPr>
            <w:r>
              <w:rPr>
                <w:b w:val="0"/>
                <w:bCs w:val="0"/>
                <w:sz w:val="22"/>
                <w:szCs w:val="22"/>
              </w:rPr>
              <w:t>Maximum physical length</w:t>
            </w:r>
          </w:p>
        </w:tc>
        <w:tc>
          <w:tcPr>
            <w:tcW w:w="1039" w:type="dxa"/>
          </w:tcPr>
          <w:p w14:paraId="4B74540D" w14:textId="682776C0" w:rsidR="00246F8D" w:rsidRDefault="00226909"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&lt; </w:t>
            </w:r>
            <w:r w:rsidR="00625F32">
              <w:rPr>
                <w:sz w:val="22"/>
                <w:szCs w:val="22"/>
              </w:rPr>
              <w:t>1</w:t>
            </w:r>
          </w:p>
        </w:tc>
        <w:tc>
          <w:tcPr>
            <w:tcW w:w="900" w:type="dxa"/>
          </w:tcPr>
          <w:p w14:paraId="48C94DA4" w14:textId="412B2814" w:rsidR="00246F8D" w:rsidRDefault="00625F32"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w:t>
            </w:r>
          </w:p>
        </w:tc>
        <w:tc>
          <w:tcPr>
            <w:tcW w:w="3887" w:type="dxa"/>
          </w:tcPr>
          <w:p w14:paraId="6DB45B07" w14:textId="7852358A" w:rsidR="00246F8D" w:rsidRDefault="00C425EF"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Flange to flange</w:t>
            </w:r>
          </w:p>
        </w:tc>
      </w:tr>
      <w:tr w:rsidR="00EA6AFE" w14:paraId="4B8A9236" w14:textId="77777777" w:rsidTr="00194EBF">
        <w:tc>
          <w:tcPr>
            <w:cnfStyle w:val="001000000000" w:firstRow="0" w:lastRow="0" w:firstColumn="1" w:lastColumn="0" w:oddVBand="0" w:evenVBand="0" w:oddHBand="0" w:evenHBand="0" w:firstRowFirstColumn="0" w:firstRowLastColumn="0" w:lastRowFirstColumn="0" w:lastRowLastColumn="0"/>
            <w:tcW w:w="3726" w:type="dxa"/>
          </w:tcPr>
          <w:p w14:paraId="1FBB6D3B" w14:textId="0829D00B" w:rsidR="00EA6AFE" w:rsidRDefault="00EA6AFE" w:rsidP="005A5A19">
            <w:pPr>
              <w:rPr>
                <w:b w:val="0"/>
                <w:bCs w:val="0"/>
                <w:sz w:val="22"/>
                <w:szCs w:val="22"/>
              </w:rPr>
            </w:pPr>
            <w:r>
              <w:rPr>
                <w:b w:val="0"/>
                <w:bCs w:val="0"/>
                <w:sz w:val="22"/>
                <w:szCs w:val="22"/>
              </w:rPr>
              <w:t>Vacuum</w:t>
            </w:r>
          </w:p>
        </w:tc>
        <w:tc>
          <w:tcPr>
            <w:tcW w:w="1039" w:type="dxa"/>
          </w:tcPr>
          <w:p w14:paraId="745A33DE" w14:textId="76D8EA23" w:rsidR="00EA6AFE" w:rsidRDefault="00EA6AFE"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&lt; 1e-7</w:t>
            </w:r>
          </w:p>
        </w:tc>
        <w:tc>
          <w:tcPr>
            <w:tcW w:w="900" w:type="dxa"/>
          </w:tcPr>
          <w:p w14:paraId="4384B7C5" w14:textId="74702A47" w:rsidR="00EA6AFE" w:rsidRDefault="00EA6AFE" w:rsidP="005A5A1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Torr</w:t>
            </w:r>
          </w:p>
        </w:tc>
        <w:tc>
          <w:tcPr>
            <w:tcW w:w="3887" w:type="dxa"/>
          </w:tcPr>
          <w:p w14:paraId="558ADE9A" w14:textId="77777777" w:rsidR="00EA6AFE" w:rsidRDefault="00EA6AFE" w:rsidP="005A5A19">
            <w:pPr>
              <w:cnfStyle w:val="000000000000" w:firstRow="0" w:lastRow="0" w:firstColumn="0" w:lastColumn="0" w:oddVBand="0" w:evenVBand="0" w:oddHBand="0" w:evenHBand="0" w:firstRowFirstColumn="0" w:firstRowLastColumn="0" w:lastRowFirstColumn="0" w:lastRowLastColumn="0"/>
              <w:rPr>
                <w:sz w:val="22"/>
                <w:szCs w:val="22"/>
              </w:rPr>
            </w:pPr>
          </w:p>
        </w:tc>
      </w:tr>
      <w:tr w:rsidR="00B912B8" w14:paraId="4D43E0BA" w14:textId="77777777" w:rsidTr="00194EBF">
        <w:tc>
          <w:tcPr>
            <w:cnfStyle w:val="001000000000" w:firstRow="0" w:lastRow="0" w:firstColumn="1" w:lastColumn="0" w:oddVBand="0" w:evenVBand="0" w:oddHBand="0" w:evenHBand="0" w:firstRowFirstColumn="0" w:firstRowLastColumn="0" w:lastRowFirstColumn="0" w:lastRowLastColumn="0"/>
            <w:tcW w:w="3726" w:type="dxa"/>
          </w:tcPr>
          <w:p w14:paraId="7FA159A9" w14:textId="335D758D" w:rsidR="00B912B8" w:rsidRDefault="00B912B8" w:rsidP="00B912B8">
            <w:pPr>
              <w:rPr>
                <w:b w:val="0"/>
                <w:bCs w:val="0"/>
                <w:sz w:val="22"/>
                <w:szCs w:val="22"/>
              </w:rPr>
            </w:pPr>
            <w:r>
              <w:rPr>
                <w:b w:val="0"/>
                <w:bCs w:val="0"/>
                <w:sz w:val="22"/>
                <w:szCs w:val="22"/>
              </w:rPr>
              <w:t>Connector type</w:t>
            </w:r>
          </w:p>
        </w:tc>
        <w:tc>
          <w:tcPr>
            <w:tcW w:w="1039" w:type="dxa"/>
          </w:tcPr>
          <w:p w14:paraId="6BF9B542" w14:textId="22BC9EEE" w:rsidR="00B912B8" w:rsidRDefault="000D5910" w:rsidP="00B912B8">
            <w:pPr>
              <w:cnfStyle w:val="000000000000" w:firstRow="0" w:lastRow="0" w:firstColumn="0" w:lastColumn="0" w:oddVBand="0" w:evenVBand="0" w:oddHBand="0" w:evenHBand="0" w:firstRowFirstColumn="0" w:firstRowLastColumn="0" w:lastRowFirstColumn="0" w:lastRowLastColumn="0"/>
              <w:rPr>
                <w:sz w:val="22"/>
                <w:szCs w:val="22"/>
              </w:rPr>
            </w:pPr>
            <w:r>
              <w:rPr>
                <w:rFonts w:ascii="Times New Roman" w:hAnsi="Times New Roman" w:cs="Times New Roman"/>
                <w:sz w:val="22"/>
                <w:szCs w:val="22"/>
              </w:rPr>
              <w:t>–</w:t>
            </w:r>
          </w:p>
        </w:tc>
        <w:tc>
          <w:tcPr>
            <w:tcW w:w="900" w:type="dxa"/>
          </w:tcPr>
          <w:p w14:paraId="65AB9165" w14:textId="3929D9D1" w:rsidR="00B912B8" w:rsidRDefault="000D5910" w:rsidP="00B912B8">
            <w:pPr>
              <w:cnfStyle w:val="000000000000" w:firstRow="0" w:lastRow="0" w:firstColumn="0" w:lastColumn="0" w:oddVBand="0" w:evenVBand="0" w:oddHBand="0" w:evenHBand="0" w:firstRowFirstColumn="0" w:firstRowLastColumn="0" w:lastRowFirstColumn="0" w:lastRowLastColumn="0"/>
              <w:rPr>
                <w:sz w:val="22"/>
                <w:szCs w:val="22"/>
              </w:rPr>
            </w:pPr>
            <w:r>
              <w:rPr>
                <w:rFonts w:ascii="Times New Roman" w:hAnsi="Times New Roman" w:cs="Times New Roman"/>
                <w:sz w:val="22"/>
                <w:szCs w:val="22"/>
              </w:rPr>
              <w:t>–</w:t>
            </w:r>
          </w:p>
        </w:tc>
        <w:tc>
          <w:tcPr>
            <w:tcW w:w="3887" w:type="dxa"/>
          </w:tcPr>
          <w:p w14:paraId="01F5C99B" w14:textId="63CE5DE3" w:rsidR="00B912B8" w:rsidRDefault="00B912B8" w:rsidP="00B912B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be discussed</w:t>
            </w:r>
          </w:p>
        </w:tc>
      </w:tr>
    </w:tbl>
    <w:p w14:paraId="461E606F" w14:textId="429FB794" w:rsidR="00B912B8" w:rsidRDefault="00B912B8" w:rsidP="001C1B1C"/>
    <w:p w14:paraId="53A24161" w14:textId="671271D4" w:rsidR="00B912B8" w:rsidRPr="005129B2" w:rsidRDefault="00B912B8" w:rsidP="00B912B8">
      <w:pPr>
        <w:pStyle w:val="ListParagraph"/>
        <w:numPr>
          <w:ilvl w:val="0"/>
          <w:numId w:val="24"/>
        </w:numPr>
      </w:pPr>
      <w:r w:rsidRPr="00B912B8">
        <w:rPr>
          <w:rFonts w:eastAsiaTheme="minorEastAsia"/>
        </w:rPr>
        <w:t>Rad hard sensor head (NPCT) and non-rad hard cables will be required at the installation location.</w:t>
      </w:r>
    </w:p>
    <w:p w14:paraId="49A5BD50" w14:textId="3045B38D" w:rsidR="00B912B8" w:rsidRPr="005129B2" w:rsidRDefault="00B912B8" w:rsidP="00B912B8">
      <w:pPr>
        <w:pStyle w:val="ListParagraph"/>
        <w:numPr>
          <w:ilvl w:val="0"/>
          <w:numId w:val="24"/>
        </w:numPr>
      </w:pPr>
      <w:r>
        <w:t>Other parameters to be determined depending on the location of the installation.</w:t>
      </w:r>
    </w:p>
    <w:p w14:paraId="2F54EAF9" w14:textId="386EA887" w:rsidR="00160DCF" w:rsidRDefault="00160DCF" w:rsidP="00160DCF">
      <w:pPr>
        <w:pStyle w:val="Heading1"/>
      </w:pPr>
      <w:r>
        <w:t>Background</w:t>
      </w:r>
    </w:p>
    <w:p w14:paraId="08441997" w14:textId="28DE11D4" w:rsidR="00160DCF" w:rsidRDefault="003F289A" w:rsidP="00160DCF">
      <w:r>
        <w:t>The requirements for the NPCT are stringent because the losses in the Booster have to be carefully controlled. The transfer efficiency from injection to extraction is expected to be in the 98% range during the PIPII era and so the beam current measurement accuracy will have to better than 0.1% for the entire Booster ramp.</w:t>
      </w:r>
      <w:r w:rsidR="00EE6AE5">
        <w:t xml:space="preserve"> </w:t>
      </w:r>
      <w:r w:rsidR="008748D0">
        <w:t>The following sections form the background material for the creating the specifications.</w:t>
      </w:r>
    </w:p>
    <w:p w14:paraId="26B02413" w14:textId="392F53AE" w:rsidR="00C91C5D" w:rsidRDefault="00C91C5D" w:rsidP="00C91C5D">
      <w:pPr>
        <w:pStyle w:val="Heading2"/>
      </w:pPr>
      <w:bookmarkStart w:id="3" w:name="_Ref46481487"/>
      <w:r>
        <w:t xml:space="preserve">NPCT accuracy from </w:t>
      </w:r>
      <w:proofErr w:type="spellStart"/>
      <w:r>
        <w:t>Bergoz</w:t>
      </w:r>
      <w:proofErr w:type="spellEnd"/>
      <w:r>
        <w:t xml:space="preserve"> NPCT specifications</w:t>
      </w:r>
      <w:bookmarkEnd w:id="3"/>
    </w:p>
    <w:p w14:paraId="2A50A413" w14:textId="2A8D13AB" w:rsidR="00C91C5D" w:rsidRDefault="00C91C5D" w:rsidP="00C91C5D">
      <w:r>
        <w:t xml:space="preserve">The expected accuracy of the </w:t>
      </w:r>
      <w:proofErr w:type="spellStart"/>
      <w:r>
        <w:t>Bergoz</w:t>
      </w:r>
      <w:proofErr w:type="spellEnd"/>
      <w:r>
        <w:t xml:space="preserve"> NPCT during the PIPII era is calculated here using published </w:t>
      </w:r>
      <w:r w:rsidR="00BA4383">
        <w:t>specifications</w:t>
      </w:r>
      <w:r>
        <w:t>.</w:t>
      </w:r>
    </w:p>
    <w:p w14:paraId="67AA0B82" w14:textId="01E0242B" w:rsidR="00C91C5D" w:rsidRDefault="00BA4383" w:rsidP="005C0B6B">
      <w:r>
        <w:t xml:space="preserve">We will assume that the NPCT is the “very </w:t>
      </w:r>
      <w:r w:rsidR="0068567A">
        <w:t>high-resolution</w:t>
      </w:r>
      <w:r>
        <w:t xml:space="preserve"> model” that has the following current noise spectral density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4C57B1" w14:paraId="378C90C2" w14:textId="77777777" w:rsidTr="004C57B1">
        <w:tc>
          <w:tcPr>
            <w:tcW w:w="776" w:type="dxa"/>
          </w:tcPr>
          <w:p w14:paraId="183060D8" w14:textId="77777777" w:rsidR="004C57B1" w:rsidRDefault="004C57B1" w:rsidP="005A5A19"/>
        </w:tc>
        <w:tc>
          <w:tcPr>
            <w:tcW w:w="7774" w:type="dxa"/>
          </w:tcPr>
          <w:p w14:paraId="13000DD2" w14:textId="12536623" w:rsidR="004C57B1" w:rsidRPr="00651F88" w:rsidRDefault="00343F14" w:rsidP="005A5A19">
            <m:oMathPara>
              <m:oMath>
                <m:sSub>
                  <m:sSubPr>
                    <m:ctrlPr>
                      <w:rPr>
                        <w:rFonts w:ascii="Cambria Math" w:hAnsi="Cambria Math"/>
                        <w:i/>
                      </w:rPr>
                    </m:ctrlPr>
                  </m:sSubPr>
                  <m:e>
                    <m:r>
                      <w:rPr>
                        <w:rFonts w:ascii="Cambria Math" w:hAnsi="Cambria Math"/>
                      </w:rPr>
                      <m:t>n</m:t>
                    </m:r>
                  </m:e>
                  <m:sub>
                    <m:r>
                      <w:rPr>
                        <w:rFonts w:ascii="Cambria Math" w:hAnsi="Cambria Math"/>
                      </w:rPr>
                      <m:t>σ</m:t>
                    </m:r>
                  </m:sub>
                </m:sSub>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r>
                  <m:rPr>
                    <m:nor/>
                  </m:rPr>
                  <w:rPr>
                    <w:rFonts w:ascii="Cambria Math" w:hAnsi="Cambria Math"/>
                  </w:rPr>
                  <m:t>A</m:t>
                </m:r>
                <m:r>
                  <w:rPr>
                    <w:rFonts w:ascii="Cambria Math" w:hAnsi="Cambria Math"/>
                  </w:rPr>
                  <m:t>/</m:t>
                </m:r>
                <m:rad>
                  <m:radPr>
                    <m:degHide m:val="1"/>
                    <m:ctrlPr>
                      <w:rPr>
                        <w:rFonts w:ascii="Cambria Math" w:hAnsi="Cambria Math"/>
                        <w:i/>
                      </w:rPr>
                    </m:ctrlPr>
                  </m:radPr>
                  <m:deg/>
                  <m:e>
                    <m:r>
                      <m:rPr>
                        <m:nor/>
                      </m:rPr>
                      <w:rPr>
                        <w:rFonts w:ascii="Cambria Math" w:hAnsi="Cambria Math"/>
                      </w:rPr>
                      <m:t>Hz</m:t>
                    </m:r>
                  </m:e>
                </m:rad>
                <m:r>
                  <w:rPr>
                    <w:rFonts w:ascii="Cambria Math" w:hAnsi="Cambria Math"/>
                  </w:rPr>
                  <m:t>]</m:t>
                </m:r>
              </m:oMath>
            </m:oMathPara>
          </w:p>
          <w:p w14:paraId="041EF27B" w14:textId="77777777" w:rsidR="004C57B1" w:rsidRDefault="004C57B1" w:rsidP="005A5A19"/>
        </w:tc>
        <w:tc>
          <w:tcPr>
            <w:tcW w:w="1012" w:type="dxa"/>
            <w:vAlign w:val="center"/>
          </w:tcPr>
          <w:p w14:paraId="32490D36" w14:textId="4E15CDEE" w:rsidR="004C57B1" w:rsidRDefault="004C57B1" w:rsidP="005A5A19">
            <w:pPr>
              <w:tabs>
                <w:tab w:val="left" w:pos="333"/>
                <w:tab w:val="right" w:pos="612"/>
              </w:tabs>
              <w:jc w:val="right"/>
            </w:pPr>
            <w:r>
              <w:tab/>
            </w:r>
            <w:r>
              <w:tab/>
            </w:r>
            <w:bookmarkStart w:id="4" w:name="_Ref306023470"/>
            <w:r>
              <w:t>(</w:t>
            </w:r>
            <w:r>
              <w:rPr>
                <w:noProof/>
              </w:rPr>
              <w:fldChar w:fldCharType="begin"/>
            </w:r>
            <w:r>
              <w:rPr>
                <w:noProof/>
              </w:rPr>
              <w:instrText xml:space="preserve"> SEQ Equation \* MERGEFORMAT </w:instrText>
            </w:r>
            <w:r>
              <w:rPr>
                <w:noProof/>
              </w:rPr>
              <w:fldChar w:fldCharType="separate"/>
            </w:r>
            <w:r w:rsidR="00F479E9">
              <w:rPr>
                <w:noProof/>
              </w:rPr>
              <w:t>1</w:t>
            </w:r>
            <w:r>
              <w:rPr>
                <w:noProof/>
              </w:rPr>
              <w:fldChar w:fldCharType="end"/>
            </w:r>
            <w:bookmarkStart w:id="5" w:name="_Ref335990181"/>
            <w:r>
              <w:t>)</w:t>
            </w:r>
            <w:bookmarkEnd w:id="4"/>
            <w:bookmarkEnd w:id="5"/>
          </w:p>
        </w:tc>
      </w:tr>
    </w:tbl>
    <w:p w14:paraId="1A31177E" w14:textId="1F89D822" w:rsidR="0048674B" w:rsidRDefault="001B405D" w:rsidP="00C91C5D">
      <w:r>
        <w:lastRenderedPageBreak/>
        <w:t>The NPCT</w:t>
      </w:r>
      <w:r w:rsidR="005C0B6B">
        <w:t xml:space="preserve"> bandwidth of the electronics is </w:t>
      </w:r>
      <m:oMath>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=10</m:t>
        </m:r>
      </m:oMath>
      <w:r w:rsidR="005C0B6B">
        <w:t xml:space="preserve"> kHz. Note that for PIPII, the revolution frequency is 532 kHz at injection. This means that an accurate value of the current is only available after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5C0B6B" w14:paraId="692083BF" w14:textId="77777777" w:rsidTr="005A5A19">
        <w:tc>
          <w:tcPr>
            <w:tcW w:w="776" w:type="dxa"/>
          </w:tcPr>
          <w:p w14:paraId="610A2E22" w14:textId="77777777" w:rsidR="005C0B6B" w:rsidRDefault="005C0B6B" w:rsidP="005A5A19"/>
        </w:tc>
        <w:tc>
          <w:tcPr>
            <w:tcW w:w="7774" w:type="dxa"/>
          </w:tcPr>
          <w:p w14:paraId="5E98C869" w14:textId="1A4B9670" w:rsidR="005C0B6B" w:rsidRPr="00651F88" w:rsidRDefault="005C0B6B" w:rsidP="005A5A19">
            <m:oMathPara>
              <m:oMath>
                <m:r>
                  <m:rPr>
                    <m:nor/>
                  </m:rPr>
                  <w:rPr>
                    <w:rFonts w:ascii="Cambria Math" w:hAnsi="Cambria Math"/>
                  </w:rPr>
                  <m:t xml:space="preserve"># of turns of averaging </m:t>
                </m:r>
                <m:r>
                  <w:rPr>
                    <w:rFonts w:ascii="Cambria Math" w:hAnsi="Cambria Math"/>
                  </w:rPr>
                  <m:t>=</m:t>
                </m:r>
                <m:f>
                  <m:fPr>
                    <m:ctrlPr>
                      <w:rPr>
                        <w:rFonts w:ascii="Cambria Math" w:hAnsi="Cambria Math"/>
                        <w:i/>
                      </w:rPr>
                    </m:ctrlPr>
                  </m:fPr>
                  <m:num>
                    <m:r>
                      <w:rPr>
                        <w:rFonts w:ascii="Cambria Math" w:hAnsi="Cambria Math"/>
                      </w:rPr>
                      <m:t xml:space="preserve">532 </m:t>
                    </m:r>
                    <m:r>
                      <m:rPr>
                        <m:nor/>
                      </m:rPr>
                      <w:rPr>
                        <w:rFonts w:ascii="Cambria Math" w:hAnsi="Cambria Math"/>
                      </w:rPr>
                      <m:t>kHz</m:t>
                    </m:r>
                  </m:num>
                  <m:den>
                    <m:r>
                      <w:rPr>
                        <w:rFonts w:ascii="Cambria Math" w:hAnsi="Cambria Math"/>
                      </w:rPr>
                      <m:t xml:space="preserve">10 </m:t>
                    </m:r>
                    <m:r>
                      <m:rPr>
                        <m:nor/>
                      </m:rPr>
                      <w:rPr>
                        <w:rFonts w:ascii="Cambria Math" w:hAnsi="Cambria Math"/>
                      </w:rPr>
                      <m:t>kHz</m:t>
                    </m:r>
                  </m:den>
                </m:f>
                <m:r>
                  <w:rPr>
                    <w:rFonts w:ascii="Cambria Math" w:hAnsi="Cambria Math"/>
                  </w:rPr>
                  <m:t xml:space="preserve">=53 </m:t>
                </m:r>
                <m:r>
                  <m:rPr>
                    <m:nor/>
                  </m:rPr>
                  <w:rPr>
                    <w:rFonts w:ascii="Cambria Math" w:hAnsi="Cambria Math"/>
                  </w:rPr>
                  <m:t>turns</m:t>
                </m:r>
              </m:oMath>
            </m:oMathPara>
          </w:p>
          <w:p w14:paraId="264D39DD" w14:textId="77777777" w:rsidR="005C0B6B" w:rsidRDefault="005C0B6B" w:rsidP="005A5A19"/>
        </w:tc>
        <w:tc>
          <w:tcPr>
            <w:tcW w:w="1012" w:type="dxa"/>
            <w:vAlign w:val="center"/>
          </w:tcPr>
          <w:p w14:paraId="7BB1A554" w14:textId="5193BEA4" w:rsidR="005C0B6B" w:rsidRDefault="005C0B6B" w:rsidP="005A5A19">
            <w:pPr>
              <w:tabs>
                <w:tab w:val="left" w:pos="333"/>
                <w:tab w:val="right" w:pos="612"/>
              </w:tabs>
              <w:jc w:val="right"/>
            </w:pPr>
            <w:r>
              <w:tab/>
            </w:r>
            <w:r>
              <w:tab/>
            </w:r>
            <w:bookmarkStart w:id="6" w:name="_Ref46481309"/>
            <w:r>
              <w:t>(</w:t>
            </w:r>
            <w:r>
              <w:rPr>
                <w:noProof/>
              </w:rPr>
              <w:fldChar w:fldCharType="begin"/>
            </w:r>
            <w:r>
              <w:rPr>
                <w:noProof/>
              </w:rPr>
              <w:instrText xml:space="preserve"> SEQ Equation \* MERGEFORMAT </w:instrText>
            </w:r>
            <w:r>
              <w:rPr>
                <w:noProof/>
              </w:rPr>
              <w:fldChar w:fldCharType="separate"/>
            </w:r>
            <w:r w:rsidR="00F479E9">
              <w:rPr>
                <w:noProof/>
              </w:rPr>
              <w:t>2</w:t>
            </w:r>
            <w:r>
              <w:rPr>
                <w:noProof/>
              </w:rPr>
              <w:fldChar w:fldCharType="end"/>
            </w:r>
            <w:r>
              <w:t>)</w:t>
            </w:r>
            <w:bookmarkEnd w:id="6"/>
          </w:p>
        </w:tc>
      </w:tr>
    </w:tbl>
    <w:p w14:paraId="7A45C101" w14:textId="2D3467CA" w:rsidR="005C0B6B" w:rsidRDefault="00882B26" w:rsidP="00C91C5D">
      <w:r>
        <w:t xml:space="preserve">The noise power,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t xml:space="preserve">, given both the current noise spectral density, </w:t>
      </w:r>
      <m:oMath>
        <m:sSub>
          <m:sSubPr>
            <m:ctrlPr>
              <w:rPr>
                <w:rFonts w:ascii="Cambria Math" w:hAnsi="Cambria Math"/>
                <w:i/>
              </w:rPr>
            </m:ctrlPr>
          </m:sSubPr>
          <m:e>
            <m:r>
              <w:rPr>
                <w:rFonts w:ascii="Cambria Math" w:hAnsi="Cambria Math"/>
              </w:rPr>
              <m:t>n</m:t>
            </m:r>
          </m:e>
          <m:sub>
            <m:r>
              <w:rPr>
                <w:rFonts w:ascii="Cambria Math" w:hAnsi="Cambria Math"/>
              </w:rPr>
              <m:t>σ</m:t>
            </m:r>
          </m:sub>
        </m:sSub>
      </m:oMath>
      <w:r>
        <w:t xml:space="preserve">, and bandwidth, </w:t>
      </w:r>
      <m:oMath>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eastAsiaTheme="minorEastAsia"/>
        </w:rPr>
        <w:t>,</w:t>
      </w:r>
      <w:r>
        <w:t xml:space="preserv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166DBB" w14:paraId="1725521D" w14:textId="77777777" w:rsidTr="005A5A19">
        <w:tc>
          <w:tcPr>
            <w:tcW w:w="776" w:type="dxa"/>
          </w:tcPr>
          <w:p w14:paraId="0D34CA76" w14:textId="77777777" w:rsidR="00166DBB" w:rsidRDefault="00166DBB" w:rsidP="005A5A19"/>
        </w:tc>
        <w:tc>
          <w:tcPr>
            <w:tcW w:w="7774" w:type="dxa"/>
          </w:tcPr>
          <w:p w14:paraId="3D47BEB9" w14:textId="0C0AAA7A" w:rsidR="00166DBB" w:rsidRPr="00651F88" w:rsidRDefault="00343F14" w:rsidP="005A5A19">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3</m:t>
                        </m:r>
                      </m:sup>
                    </m:sSup>
                  </m:sup>
                  <m:e>
                    <m:sSub>
                      <m:sSubPr>
                        <m:ctrlPr>
                          <w:rPr>
                            <w:rFonts w:ascii="Cambria Math" w:hAnsi="Cambria Math"/>
                            <w:i/>
                          </w:rPr>
                        </m:ctrlPr>
                      </m:sSubPr>
                      <m:e>
                        <m:r>
                          <w:rPr>
                            <w:rFonts w:ascii="Cambria Math" w:hAnsi="Cambria Math"/>
                          </w:rPr>
                          <m:t>(n</m:t>
                        </m:r>
                      </m:e>
                      <m:sub>
                        <m:r>
                          <w:rPr>
                            <w:rFonts w:ascii="Cambria Math" w:hAnsi="Cambria Math"/>
                          </w:rPr>
                          <m:t>σ</m:t>
                        </m:r>
                      </m:sub>
                    </m:sSub>
                    <m:sSup>
                      <m:sSupPr>
                        <m:ctrlPr>
                          <w:rPr>
                            <w:rFonts w:ascii="Cambria Math" w:hAnsi="Cambria Math"/>
                            <w:i/>
                          </w:rPr>
                        </m:ctrlPr>
                      </m:sSupPr>
                      <m:e>
                        <m:r>
                          <w:rPr>
                            <w:rFonts w:ascii="Cambria Math" w:hAnsi="Cambria Math"/>
                          </w:rPr>
                          <m:t>)</m:t>
                        </m:r>
                      </m:e>
                      <m:sup>
                        <m:r>
                          <w:rPr>
                            <w:rFonts w:ascii="Cambria Math" w:hAnsi="Cambria Math"/>
                          </w:rPr>
                          <m:t>2</m:t>
                        </m:r>
                      </m:sup>
                    </m:sSup>
                  </m:e>
                </m:nary>
                <m:r>
                  <w:rPr>
                    <w:rFonts w:ascii="Cambria Math" w:hAnsi="Cambria Math"/>
                  </w:rPr>
                  <m:t xml:space="preserve"> df=2.5×</m:t>
                </m:r>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m:t>
                </m:r>
                <m:sSup>
                  <m:sSupPr>
                    <m:ctrlPr>
                      <w:rPr>
                        <w:rFonts w:ascii="Cambria Math" w:hAnsi="Cambria Math"/>
                      </w:rPr>
                    </m:ctrlPr>
                  </m:sSupPr>
                  <m:e>
                    <m:r>
                      <m:rPr>
                        <m:nor/>
                      </m:rPr>
                      <w:rPr>
                        <w:rFonts w:ascii="Cambria Math" w:hAnsi="Cambria Math"/>
                      </w:rPr>
                      <m:t>A</m:t>
                    </m:r>
                  </m:e>
                  <m:sup>
                    <m:r>
                      <w:rPr>
                        <w:rFonts w:ascii="Cambria Math" w:hAnsi="Cambria Math"/>
                      </w:rPr>
                      <m:t>2</m:t>
                    </m:r>
                  </m:sup>
                </m:sSup>
                <m:r>
                  <w:rPr>
                    <w:rFonts w:ascii="Cambria Math" w:hAnsi="Cambria Math"/>
                  </w:rPr>
                  <m:t>]</m:t>
                </m:r>
              </m:oMath>
            </m:oMathPara>
          </w:p>
          <w:p w14:paraId="046C9F58" w14:textId="77777777" w:rsidR="00166DBB" w:rsidRDefault="00166DBB" w:rsidP="005A5A19"/>
        </w:tc>
        <w:tc>
          <w:tcPr>
            <w:tcW w:w="1012" w:type="dxa"/>
            <w:vAlign w:val="center"/>
          </w:tcPr>
          <w:p w14:paraId="5629A82B" w14:textId="4118C981" w:rsidR="00166DBB" w:rsidRDefault="00166DBB" w:rsidP="005A5A19">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sidR="00F479E9">
              <w:rPr>
                <w:noProof/>
              </w:rPr>
              <w:t>3</w:t>
            </w:r>
            <w:r>
              <w:rPr>
                <w:noProof/>
              </w:rPr>
              <w:fldChar w:fldCharType="end"/>
            </w:r>
            <w:r>
              <w:t>)</w:t>
            </w:r>
          </w:p>
        </w:tc>
      </w:tr>
    </w:tbl>
    <w:p w14:paraId="1B61ACF4" w14:textId="0704E2DD" w:rsidR="00166DBB" w:rsidRDefault="006C2963" w:rsidP="00C91C5D">
      <w:r>
        <w:t>The rms noise current</w:t>
      </w:r>
      <w:r w:rsidR="00FC39E1">
        <w:t xml:space="preserve">, </w:t>
      </w:r>
      <m:oMath>
        <m:sSub>
          <m:sSubPr>
            <m:ctrlPr>
              <w:rPr>
                <w:rFonts w:ascii="Cambria Math" w:hAnsi="Cambria Math"/>
                <w:i/>
              </w:rPr>
            </m:ctrlPr>
          </m:sSubPr>
          <m:e>
            <m:r>
              <w:rPr>
                <w:rFonts w:ascii="Cambria Math" w:hAnsi="Cambria Math"/>
              </w:rPr>
              <m:t>σ</m:t>
            </m:r>
          </m:e>
          <m:sub>
            <m:r>
              <w:rPr>
                <w:rFonts w:ascii="Cambria Math" w:hAnsi="Cambria Math"/>
              </w:rPr>
              <m:t>I</m:t>
            </m:r>
          </m:sub>
        </m:sSub>
      </m:oMath>
      <w:r w:rsidR="00FC39E1">
        <w:rPr>
          <w:rFonts w:eastAsiaTheme="minorEastAsia"/>
        </w:rPr>
        <w:t>,</w:t>
      </w:r>
      <w:r>
        <w:t xml:space="preserve"> is thus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FC39E1" w14:paraId="379F78E9" w14:textId="77777777" w:rsidTr="005A5A19">
        <w:tc>
          <w:tcPr>
            <w:tcW w:w="776" w:type="dxa"/>
          </w:tcPr>
          <w:p w14:paraId="47F1E463" w14:textId="77777777" w:rsidR="00FC39E1" w:rsidRDefault="00FC39E1" w:rsidP="005A5A19"/>
        </w:tc>
        <w:tc>
          <w:tcPr>
            <w:tcW w:w="7774" w:type="dxa"/>
          </w:tcPr>
          <w:p w14:paraId="25D375DE" w14:textId="047B9E65" w:rsidR="00FC39E1" w:rsidRPr="00651F88" w:rsidRDefault="00343F14" w:rsidP="005A5A19">
            <m:oMathPara>
              <m:oMath>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n</m:t>
                        </m:r>
                      </m:sub>
                    </m:sSub>
                  </m:e>
                </m:rad>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r>
                  <m:rPr>
                    <m:nor/>
                  </m:rPr>
                  <w:rPr>
                    <w:rFonts w:ascii="Cambria Math" w:hAnsi="Cambria Math"/>
                  </w:rPr>
                  <m:t>A</m:t>
                </m:r>
                <m:r>
                  <w:rPr>
                    <w:rFonts w:ascii="Cambria Math" w:hAnsi="Cambria Math"/>
                  </w:rPr>
                  <m:t>]</m:t>
                </m:r>
              </m:oMath>
            </m:oMathPara>
          </w:p>
          <w:p w14:paraId="3C5D9F90" w14:textId="77777777" w:rsidR="00FC39E1" w:rsidRDefault="00FC39E1" w:rsidP="005A5A19"/>
        </w:tc>
        <w:tc>
          <w:tcPr>
            <w:tcW w:w="1012" w:type="dxa"/>
            <w:vAlign w:val="center"/>
          </w:tcPr>
          <w:p w14:paraId="6EBF2FF3" w14:textId="1AD265B9" w:rsidR="00FC39E1" w:rsidRDefault="00FC39E1" w:rsidP="005A5A19">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sidR="00F479E9">
              <w:rPr>
                <w:noProof/>
              </w:rPr>
              <w:t>4</w:t>
            </w:r>
            <w:r>
              <w:rPr>
                <w:noProof/>
              </w:rPr>
              <w:fldChar w:fldCharType="end"/>
            </w:r>
            <w:r>
              <w:t>)</w:t>
            </w:r>
          </w:p>
        </w:tc>
      </w:tr>
    </w:tbl>
    <w:p w14:paraId="111C5A3E" w14:textId="54B853F6" w:rsidR="003D0890" w:rsidRDefault="003C075F" w:rsidP="00C91C5D">
      <w:r>
        <w:t xml:space="preserve">In PIPII, the number of protons per injection is </w:t>
      </w:r>
      <m:oMath>
        <m:sSub>
          <m:sSubPr>
            <m:ctrlPr>
              <w:rPr>
                <w:rFonts w:ascii="Cambria Math" w:hAnsi="Cambria Math"/>
                <w:i/>
              </w:rPr>
            </m:ctrlPr>
          </m:sSubPr>
          <m:e>
            <m:r>
              <w:rPr>
                <w:rFonts w:ascii="Cambria Math" w:hAnsi="Cambria Math"/>
              </w:rPr>
              <m:t>I</m:t>
            </m:r>
          </m:e>
          <m:sub>
            <m:r>
              <m:rPr>
                <m:nor/>
              </m:rPr>
              <w:rPr>
                <w:rFonts w:ascii="Cambria Math" w:hAnsi="Cambria Math"/>
              </w:rPr>
              <m:t>inj</m:t>
            </m:r>
          </m:sub>
        </m:sSub>
        <m:r>
          <w:rPr>
            <w:rFonts w:ascii="Cambria Math" w:hAnsi="Cambria Math"/>
          </w:rPr>
          <m:t>=2</m:t>
        </m:r>
      </m:oMath>
      <w:r>
        <w:t xml:space="preserve"> mA, thus the fractional error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3C075F" w14:paraId="167AF691" w14:textId="77777777" w:rsidTr="005A5A19">
        <w:tc>
          <w:tcPr>
            <w:tcW w:w="776" w:type="dxa"/>
          </w:tcPr>
          <w:p w14:paraId="75EDADCD" w14:textId="77777777" w:rsidR="003C075F" w:rsidRDefault="003C075F" w:rsidP="005A5A19"/>
        </w:tc>
        <w:tc>
          <w:tcPr>
            <w:tcW w:w="7774" w:type="dxa"/>
          </w:tcPr>
          <w:p w14:paraId="3A3176A0" w14:textId="7A6240C5" w:rsidR="003C075F" w:rsidRPr="00651F88" w:rsidRDefault="00343F14" w:rsidP="005A5A19">
            <m:oMathPara>
              <m:oMath>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m:t>
                        </m:r>
                      </m:sub>
                    </m:sSub>
                  </m:num>
                  <m:den>
                    <m:sSub>
                      <m:sSubPr>
                        <m:ctrlPr>
                          <w:rPr>
                            <w:rFonts w:ascii="Cambria Math" w:hAnsi="Cambria Math"/>
                            <w:i/>
                          </w:rPr>
                        </m:ctrlPr>
                      </m:sSubPr>
                      <m:e>
                        <m:r>
                          <w:rPr>
                            <w:rFonts w:ascii="Cambria Math" w:hAnsi="Cambria Math"/>
                          </w:rPr>
                          <m:t>I</m:t>
                        </m:r>
                      </m:e>
                      <m:sub>
                        <m:r>
                          <m:rPr>
                            <m:nor/>
                          </m:rPr>
                          <w:rPr>
                            <w:rFonts w:ascii="Cambria Math" w:hAnsi="Cambria Math"/>
                          </w:rPr>
                          <m:t>inj</m:t>
                        </m:r>
                      </m:sub>
                    </m:sSub>
                  </m:den>
                </m:f>
                <m:r>
                  <w:rPr>
                    <w:rFonts w:ascii="Cambria Math" w:hAnsi="Cambria Math"/>
                  </w:rPr>
                  <m:t>=</m:t>
                </m:r>
                <m:f>
                  <m:fPr>
                    <m:ctrlPr>
                      <w:rPr>
                        <w:rFonts w:ascii="Cambria Math" w:hAnsi="Cambria Math"/>
                        <w:i/>
                      </w:rPr>
                    </m:ctrlPr>
                  </m:fPr>
                  <m:num>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=2.5%</m:t>
                </m:r>
              </m:oMath>
            </m:oMathPara>
          </w:p>
          <w:p w14:paraId="16A0BA5C" w14:textId="77777777" w:rsidR="003C075F" w:rsidRDefault="003C075F" w:rsidP="005A5A19"/>
        </w:tc>
        <w:tc>
          <w:tcPr>
            <w:tcW w:w="1012" w:type="dxa"/>
            <w:vAlign w:val="center"/>
          </w:tcPr>
          <w:p w14:paraId="2F1A13EB" w14:textId="3977FF0A" w:rsidR="003C075F" w:rsidRDefault="003C075F" w:rsidP="005A5A19">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sidR="00F479E9">
              <w:rPr>
                <w:noProof/>
              </w:rPr>
              <w:t>5</w:t>
            </w:r>
            <w:r>
              <w:rPr>
                <w:noProof/>
              </w:rPr>
              <w:fldChar w:fldCharType="end"/>
            </w:r>
            <w:r>
              <w:t>)</w:t>
            </w:r>
          </w:p>
        </w:tc>
      </w:tr>
    </w:tbl>
    <w:p w14:paraId="5F9490B7" w14:textId="08356F6B" w:rsidR="005C0B6B" w:rsidRDefault="00FD425A" w:rsidP="00C91C5D">
      <w:r>
        <w:t>which is outside the required 0.1% accuracy.</w:t>
      </w:r>
    </w:p>
    <w:p w14:paraId="05001798" w14:textId="53BF3514" w:rsidR="00B3350A" w:rsidRPr="005C0B6B" w:rsidRDefault="00B3350A" w:rsidP="00C91C5D">
      <w:r>
        <w:t xml:space="preserve">To achieve the required 0.1% accuracy, the current will have to increase. Let </w:t>
      </w:r>
      <m:oMath>
        <m:r>
          <w:rPr>
            <w:rFonts w:ascii="Cambria Math" w:hAnsi="Cambria Math"/>
          </w:rPr>
          <m:t>N</m:t>
        </m:r>
      </m:oMath>
      <w:r>
        <w:t xml:space="preserve"> be the number of turns that in Booster that is required to achieve this accuracy, i.e.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B3350A" w14:paraId="00B35F32" w14:textId="77777777" w:rsidTr="005A5A19">
        <w:tc>
          <w:tcPr>
            <w:tcW w:w="776" w:type="dxa"/>
          </w:tcPr>
          <w:p w14:paraId="70C8439F" w14:textId="77777777" w:rsidR="00B3350A" w:rsidRDefault="00B3350A" w:rsidP="005A5A19"/>
        </w:tc>
        <w:tc>
          <w:tcPr>
            <w:tcW w:w="7774" w:type="dxa"/>
          </w:tcPr>
          <w:p w14:paraId="4FA6F95C" w14:textId="0E426BB2" w:rsidR="00B3350A" w:rsidRDefault="00B3350A" w:rsidP="005A5A19">
            <m:oMathPara>
              <m:oMath>
                <m:r>
                  <w:rPr>
                    <w:rFonts w:ascii="Cambria Math" w:hAnsi="Cambria Math"/>
                  </w:rPr>
                  <m:t>0.1%=</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m:t>
                        </m:r>
                      </m:sub>
                    </m:sSub>
                  </m:num>
                  <m:den>
                    <m:sSub>
                      <m:sSubPr>
                        <m:ctrlPr>
                          <w:rPr>
                            <w:rFonts w:ascii="Cambria Math" w:hAnsi="Cambria Math"/>
                            <w:i/>
                          </w:rPr>
                        </m:ctrlPr>
                      </m:sSubPr>
                      <m:e>
                        <m:r>
                          <w:rPr>
                            <w:rFonts w:ascii="Cambria Math" w:hAnsi="Cambria Math"/>
                          </w:rPr>
                          <m:t>NI</m:t>
                        </m:r>
                      </m:e>
                      <m:sub>
                        <m:r>
                          <m:rPr>
                            <m:nor/>
                          </m:rPr>
                          <w:rPr>
                            <w:rFonts w:ascii="Cambria Math" w:hAnsi="Cambria Math"/>
                          </w:rPr>
                          <m:t>inj</m:t>
                        </m:r>
                      </m:sub>
                    </m:sSub>
                  </m:den>
                </m:f>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m:t>
                        </m:r>
                      </m:sub>
                    </m:sSub>
                  </m:num>
                  <m:den>
                    <m:r>
                      <w:rPr>
                        <w:rFonts w:ascii="Cambria Math" w:hAnsi="Cambria Math"/>
                      </w:rPr>
                      <m:t>0.001</m:t>
                    </m:r>
                    <m:sSub>
                      <m:sSubPr>
                        <m:ctrlPr>
                          <w:rPr>
                            <w:rFonts w:ascii="Cambria Math" w:hAnsi="Cambria Math"/>
                            <w:i/>
                          </w:rPr>
                        </m:ctrlPr>
                      </m:sSubPr>
                      <m:e>
                        <m:r>
                          <w:rPr>
                            <w:rFonts w:ascii="Cambria Math" w:hAnsi="Cambria Math"/>
                          </w:rPr>
                          <m:t>I</m:t>
                        </m:r>
                      </m:e>
                      <m:sub>
                        <m:r>
                          <m:rPr>
                            <m:nor/>
                          </m:rPr>
                          <w:rPr>
                            <w:rFonts w:ascii="Cambria Math" w:hAnsi="Cambria Math"/>
                          </w:rPr>
                          <m:t>inj</m:t>
                        </m:r>
                      </m:sub>
                    </m:sSub>
                  </m:den>
                </m:f>
                <m:r>
                  <w:rPr>
                    <w:rFonts w:ascii="Cambria Math" w:hAnsi="Cambria Math"/>
                  </w:rPr>
                  <m:t>=</m:t>
                </m:r>
                <m:f>
                  <m:fPr>
                    <m:ctrlPr>
                      <w:rPr>
                        <w:rFonts w:ascii="Cambria Math" w:hAnsi="Cambria Math"/>
                        <w:i/>
                      </w:rPr>
                    </m:ctrlPr>
                  </m:fPr>
                  <m:num>
                    <m:r>
                      <w:rPr>
                        <w:rFonts w:ascii="Cambria Math" w:hAnsi="Cambria Math"/>
                      </w:rPr>
                      <m:t>0.5×</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num>
                  <m:den>
                    <m:r>
                      <w:rPr>
                        <w:rFonts w:ascii="Cambria Math" w:hAnsi="Cambria Math"/>
                      </w:rPr>
                      <m:t>0.001×</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-3</m:t>
                            </m:r>
                          </m:sup>
                        </m:sSup>
                      </m:e>
                    </m:d>
                  </m:den>
                </m:f>
                <m:r>
                  <w:rPr>
                    <w:rFonts w:ascii="Cambria Math" w:hAnsi="Cambria Math"/>
                  </w:rPr>
                  <m:t>=25</m:t>
                </m:r>
              </m:oMath>
            </m:oMathPara>
          </w:p>
        </w:tc>
        <w:tc>
          <w:tcPr>
            <w:tcW w:w="1012" w:type="dxa"/>
            <w:vAlign w:val="center"/>
          </w:tcPr>
          <w:p w14:paraId="53B92453" w14:textId="0467E947" w:rsidR="00B3350A" w:rsidRDefault="00B3350A" w:rsidP="005A5A19">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sidR="00F479E9">
              <w:rPr>
                <w:noProof/>
              </w:rPr>
              <w:t>6</w:t>
            </w:r>
            <w:r>
              <w:rPr>
                <w:noProof/>
              </w:rPr>
              <w:fldChar w:fldCharType="end"/>
            </w:r>
            <w:r>
              <w:t>)</w:t>
            </w:r>
          </w:p>
        </w:tc>
      </w:tr>
    </w:tbl>
    <w:p w14:paraId="5D752787" w14:textId="77777777" w:rsidR="00091AF7" w:rsidRDefault="00091AF7" w:rsidP="00C91C5D"/>
    <w:p w14:paraId="07F9A293" w14:textId="1821A51D" w:rsidR="00BF34FD" w:rsidRDefault="00587637" w:rsidP="00C91C5D">
      <w:r>
        <w:t>The typical number of tu</w:t>
      </w:r>
      <w:r w:rsidR="0046590C">
        <w:t>rn</w:t>
      </w:r>
      <w:r>
        <w:t xml:space="preserve">s in PIPII injection is about 260. </w:t>
      </w:r>
      <w:r w:rsidR="005427B7">
        <w:t xml:space="preserve">This means that after 25 turns </w:t>
      </w:r>
      <w:r w:rsidR="00091AF7">
        <w:t>or 10% (25 turns/260 turns) of PIPII will not meet the accuracy specifications.</w:t>
      </w:r>
      <w:r w:rsidR="00F56EC0">
        <w:t xml:space="preserve"> However, from Eq.</w:t>
      </w:r>
      <w:r w:rsidR="00DA3309">
        <w:fldChar w:fldCharType="begin"/>
      </w:r>
      <w:r w:rsidR="00DA3309">
        <w:instrText xml:space="preserve"> REF _Ref46481309 \h </w:instrText>
      </w:r>
      <w:r w:rsidR="00DA3309">
        <w:fldChar w:fldCharType="separate"/>
      </w:r>
      <w:r w:rsidR="00F479E9">
        <w:t>(</w:t>
      </w:r>
      <w:r w:rsidR="00F479E9">
        <w:rPr>
          <w:noProof/>
        </w:rPr>
        <w:t>2</w:t>
      </w:r>
      <w:r w:rsidR="00F479E9">
        <w:t>)</w:t>
      </w:r>
      <w:r w:rsidR="00DA3309">
        <w:fldChar w:fldCharType="end"/>
      </w:r>
      <w:r>
        <w:t xml:space="preserve">, due to the 10 kHz bandwidth, an accurate measurement of the beam current is only available after </w:t>
      </w:r>
      <w:r w:rsidR="00BB0FE1">
        <w:t xml:space="preserve">injecting </w:t>
      </w:r>
      <w:r>
        <w:t>53 turn</w:t>
      </w:r>
      <w:r w:rsidR="00BB0FE1">
        <w:t>s</w:t>
      </w:r>
      <w:r w:rsidR="0068567A">
        <w:t xml:space="preserve"> out of 260 turn</w:t>
      </w:r>
      <w:r w:rsidR="00C005D0">
        <w:t>s</w:t>
      </w:r>
      <w:r>
        <w:t>, or after about 20% of</w:t>
      </w:r>
      <w:r w:rsidR="00DA3309">
        <w:t xml:space="preserve"> the</w:t>
      </w:r>
      <w:r>
        <w:t xml:space="preserve"> injections.</w:t>
      </w:r>
    </w:p>
    <w:p w14:paraId="26C0BE3D" w14:textId="0F673766" w:rsidR="004C5986" w:rsidRDefault="004C5986" w:rsidP="004C5986">
      <w:pPr>
        <w:pStyle w:val="Heading2"/>
      </w:pPr>
      <w:bookmarkStart w:id="7" w:name="_Ref46481837"/>
      <w:r>
        <w:t>Booster bunch structure</w:t>
      </w:r>
      <w:bookmarkEnd w:id="7"/>
    </w:p>
    <w:p w14:paraId="1BB2185F" w14:textId="66615AD4" w:rsidR="004B2B85" w:rsidRDefault="00E576EE" w:rsidP="00496DC9">
      <w:r>
        <w:t xml:space="preserve">In the current mode of Booster </w:t>
      </w:r>
      <w:r w:rsidR="00B9548B">
        <w:t>operation</w:t>
      </w:r>
      <w:r w:rsidR="009D05D0">
        <w:t>,</w:t>
      </w:r>
      <w:r w:rsidR="00B9548B">
        <w:t xml:space="preserve"> PIP, </w:t>
      </w:r>
      <w:r>
        <w:t xml:space="preserve">the 400 MeV </w:t>
      </w:r>
      <w:r w:rsidR="0032546E">
        <w:t>L</w:t>
      </w:r>
      <w:r>
        <w:t xml:space="preserve">inac </w:t>
      </w:r>
      <w:r w:rsidR="00B9548B">
        <w:t xml:space="preserve">beam with synchronized </w:t>
      </w:r>
      <w:r w:rsidR="009D05D0">
        <w:t>notches is</w:t>
      </w:r>
      <w:r w:rsidR="00B9548B">
        <w:t xml:space="preserve"> injected up to about 17 turn</w:t>
      </w:r>
      <w:r w:rsidR="009D05D0">
        <w:t>s</w:t>
      </w:r>
      <w:r w:rsidR="00B9548B">
        <w:t xml:space="preserve"> with almost no </w:t>
      </w:r>
      <w:r w:rsidR="00496DC9">
        <w:t>RF</w:t>
      </w:r>
      <w:r w:rsidR="00B9548B">
        <w:t xml:space="preserve"> voltage turned</w:t>
      </w:r>
      <w:r w:rsidR="009D05D0">
        <w:t xml:space="preserve"> </w:t>
      </w:r>
      <w:r w:rsidR="00B9548B">
        <w:t>on</w:t>
      </w:r>
      <w:r w:rsidR="009D05D0">
        <w:t>. The</w:t>
      </w:r>
      <w:r w:rsidR="00B9548B">
        <w:t xml:space="preserve"> beam is</w:t>
      </w:r>
      <w:r w:rsidR="009D05D0">
        <w:t xml:space="preserve"> then</w:t>
      </w:r>
      <w:r w:rsidR="00B9548B">
        <w:t xml:space="preserve"> adiabatically captured in about 250 </w:t>
      </w:r>
      <w:r w:rsidR="00B9548B">
        <w:sym w:font="Symbol" w:char="F06D"/>
      </w:r>
      <w:r w:rsidR="00B9548B">
        <w:t xml:space="preserve">s. By the end of the capture of </w:t>
      </w:r>
      <w:r w:rsidR="0032546E">
        <w:t xml:space="preserve">this </w:t>
      </w:r>
      <w:r w:rsidR="00B9548B">
        <w:t>multi-turn beam</w:t>
      </w:r>
      <w:r w:rsidR="00EB6DF6">
        <w:t>,</w:t>
      </w:r>
      <w:r w:rsidR="00B9548B">
        <w:t xml:space="preserve"> a notch of about 3 Booster </w:t>
      </w:r>
      <w:r w:rsidR="0032546E">
        <w:t>RF</w:t>
      </w:r>
      <w:r w:rsidR="00B9548B">
        <w:t xml:space="preserve"> buckets </w:t>
      </w:r>
      <w:r w:rsidR="00B849FC">
        <w:t>is created</w:t>
      </w:r>
      <w:r w:rsidR="00DE1F49">
        <w:t>.</w:t>
      </w:r>
      <w:r w:rsidR="00B849FC">
        <w:t xml:space="preserve"> Booster </w:t>
      </w:r>
      <w:r w:rsidR="00DE1F49">
        <w:t xml:space="preserve">is then left </w:t>
      </w:r>
      <w:r w:rsidR="00B9548B">
        <w:t xml:space="preserve">with </w:t>
      </w:r>
      <w:r w:rsidR="0032546E">
        <w:t xml:space="preserve">an </w:t>
      </w:r>
      <w:r w:rsidR="00B9548B">
        <w:t xml:space="preserve">almost equally populated 81 </w:t>
      </w:r>
      <w:r w:rsidR="00B9548B">
        <w:lastRenderedPageBreak/>
        <w:t xml:space="preserve">bunches. </w:t>
      </w:r>
      <w:r w:rsidR="00DE5496">
        <w:fldChar w:fldCharType="begin"/>
      </w:r>
      <w:r w:rsidR="00DE5496">
        <w:instrText xml:space="preserve"> REF _Ref46919931 \h </w:instrText>
      </w:r>
      <w:r w:rsidR="00DE5496">
        <w:fldChar w:fldCharType="separate"/>
      </w:r>
      <w:r w:rsidR="00F479E9">
        <w:t xml:space="preserve">Figure </w:t>
      </w:r>
      <w:r w:rsidR="00F479E9">
        <w:rPr>
          <w:noProof/>
        </w:rPr>
        <w:t>1</w:t>
      </w:r>
      <w:r w:rsidR="00DE5496">
        <w:fldChar w:fldCharType="end"/>
      </w:r>
      <w:r w:rsidR="008E6AC4">
        <w:t>(a)</w:t>
      </w:r>
      <w:r w:rsidR="00B9548B">
        <w:t xml:space="preserve"> depicts </w:t>
      </w:r>
      <w:r w:rsidR="0032546E">
        <w:t>the measured</w:t>
      </w:r>
      <w:r w:rsidR="00B9548B">
        <w:t xml:space="preserve"> bunch pat</w:t>
      </w:r>
      <w:r w:rsidR="00CB63D3">
        <w:t>t</w:t>
      </w:r>
      <w:r w:rsidR="00B9548B">
        <w:t>ern for seven bunches at the end of capture</w:t>
      </w:r>
      <w:r w:rsidR="00966EFF">
        <w:t xml:space="preserve"> </w:t>
      </w:r>
      <w:r w:rsidR="00F736A2">
        <w:t xml:space="preserve">for </w:t>
      </w:r>
      <w:r w:rsidR="00F736A2" w:rsidRPr="005129B2">
        <w:rPr>
          <w:rFonts w:ascii="Times New Roman" w:hAnsi="Times New Roman" w:cs="Times New Roman"/>
        </w:rPr>
        <w:t xml:space="preserve">5.7e12 </w:t>
      </w:r>
      <w:r w:rsidR="0032546E">
        <w:t>protons.</w:t>
      </w:r>
      <w:r w:rsidR="00966EFF">
        <w:t xml:space="preserve"> </w:t>
      </w:r>
    </w:p>
    <w:p w14:paraId="6BBC44B0" w14:textId="6C4F2C79" w:rsidR="008E6AC4" w:rsidRDefault="00E576EE" w:rsidP="00496DC9">
      <w:r>
        <w:t xml:space="preserve">During </w:t>
      </w:r>
      <w:r w:rsidR="002A72AC">
        <w:t xml:space="preserve">the </w:t>
      </w:r>
      <w:r>
        <w:t>PIPII era</w:t>
      </w:r>
      <w:r w:rsidR="0032546E">
        <w:t xml:space="preserve">, </w:t>
      </w:r>
      <w:r w:rsidR="00686ACB">
        <w:t xml:space="preserve">the injected beam </w:t>
      </w:r>
      <w:r w:rsidR="0032546E">
        <w:t>will not be adiabatic capture. Instead, t</w:t>
      </w:r>
      <w:r>
        <w:t xml:space="preserve">he beam </w:t>
      </w:r>
      <w:r w:rsidR="0043638B">
        <w:t>will be</w:t>
      </w:r>
      <w:r>
        <w:t xml:space="preserve"> injected either on-</w:t>
      </w:r>
      <w:r w:rsidR="002A72AC">
        <w:t>energy</w:t>
      </w:r>
      <w:r>
        <w:t xml:space="preserve"> or off-</w:t>
      </w:r>
      <w:r w:rsidR="002A72AC">
        <w:t>energy</w:t>
      </w:r>
      <w:r>
        <w:t xml:space="preserve"> inside </w:t>
      </w:r>
      <w:r w:rsidR="0043638B">
        <w:t xml:space="preserve">pre-opened </w:t>
      </w:r>
      <w:r>
        <w:t xml:space="preserve">Booster </w:t>
      </w:r>
      <w:r w:rsidR="002A72AC">
        <w:t>RF</w:t>
      </w:r>
      <w:r>
        <w:t xml:space="preserve"> bucket</w:t>
      </w:r>
      <w:r w:rsidR="008E6AC4">
        <w:t>s</w:t>
      </w:r>
      <w:r>
        <w:t xml:space="preserve"> with a peak voltage of ~0.2 MV</w:t>
      </w:r>
      <w:r w:rsidR="0043638B">
        <w:t xml:space="preserve"> and 81 consecutive bunches</w:t>
      </w:r>
      <w:r w:rsidR="004B2B85">
        <w:t xml:space="preserve">. Three buckets are left unfilled to form </w:t>
      </w:r>
      <w:r w:rsidR="00686ACB">
        <w:t xml:space="preserve">a </w:t>
      </w:r>
      <w:r w:rsidR="008E6AC4">
        <w:t>notch</w:t>
      </w:r>
      <w:r w:rsidR="0043638B">
        <w:t xml:space="preserve">. </w:t>
      </w:r>
      <w:r w:rsidR="004B2B85">
        <w:t>Each bunch profile will have a local minimum at the center of the bunch in its distribution. Its purpose is to minimize</w:t>
      </w:r>
      <w:r w:rsidR="00686ACB">
        <w:t xml:space="preserve"> the</w:t>
      </w:r>
      <w:r w:rsidR="004B2B85">
        <w:t xml:space="preserve"> longitudinal space charge effects at injection.</w:t>
      </w:r>
      <w:r w:rsidR="00686ACB">
        <w:t xml:space="preserve"> </w:t>
      </w:r>
      <w:r>
        <w:t>Therefore, the</w:t>
      </w:r>
      <w:r w:rsidR="0043638B">
        <w:t xml:space="preserve"> </w:t>
      </w:r>
      <w:r w:rsidR="002A72AC">
        <w:t xml:space="preserve">expected </w:t>
      </w:r>
      <w:r>
        <w:t xml:space="preserve">bunch structure </w:t>
      </w:r>
      <w:r w:rsidR="002A72AC">
        <w:t>will</w:t>
      </w:r>
      <w:r w:rsidR="005A5A19">
        <w:t xml:space="preserve"> </w:t>
      </w:r>
      <w:r w:rsidR="0043638B">
        <w:t xml:space="preserve">be </w:t>
      </w:r>
      <w:r>
        <w:t xml:space="preserve">quite different from </w:t>
      </w:r>
      <w:r w:rsidR="002A72AC">
        <w:t>PIP operations</w:t>
      </w:r>
      <w:r w:rsidR="0043638B">
        <w:t xml:space="preserve">. </w:t>
      </w:r>
      <w:r w:rsidR="002A72AC">
        <w:fldChar w:fldCharType="begin"/>
      </w:r>
      <w:r w:rsidR="002A72AC">
        <w:instrText xml:space="preserve"> REF _Ref46919931 \h </w:instrText>
      </w:r>
      <w:r w:rsidR="002A72AC">
        <w:fldChar w:fldCharType="separate"/>
      </w:r>
      <w:r w:rsidR="00F479E9">
        <w:t xml:space="preserve">Figure </w:t>
      </w:r>
      <w:r w:rsidR="00F479E9">
        <w:rPr>
          <w:noProof/>
        </w:rPr>
        <w:t>1</w:t>
      </w:r>
      <w:r w:rsidR="002A72AC">
        <w:fldChar w:fldCharType="end"/>
      </w:r>
      <w:r w:rsidR="008E6AC4">
        <w:t xml:space="preserve">(b) shows </w:t>
      </w:r>
      <w:r w:rsidR="002A72AC">
        <w:t xml:space="preserve">the </w:t>
      </w:r>
      <w:r w:rsidR="008E6AC4">
        <w:t>predicted bunch pattern at the end of injection</w:t>
      </w:r>
      <w:r w:rsidR="005A5A19">
        <w:t xml:space="preserve"> during </w:t>
      </w:r>
      <w:r w:rsidR="00686ACB">
        <w:t xml:space="preserve">the </w:t>
      </w:r>
      <w:r w:rsidR="005A5A19">
        <w:t>PIPII era</w:t>
      </w:r>
      <w:r w:rsidR="008E6AC4">
        <w:t>.</w:t>
      </w:r>
    </w:p>
    <w:p w14:paraId="19E1ED0D" w14:textId="77777777" w:rsidR="00EB6DF6" w:rsidRDefault="005A5A19" w:rsidP="005129B2">
      <w:pPr>
        <w:keepNext/>
      </w:pPr>
      <w:r w:rsidRPr="005A5A19">
        <w:rPr>
          <w:noProof/>
        </w:rPr>
        <w:drawing>
          <wp:inline distT="0" distB="0" distL="0" distR="0" wp14:anchorId="7C934D9C" wp14:editId="6BC5A173">
            <wp:extent cx="6071870" cy="2394585"/>
            <wp:effectExtent l="0" t="0" r="5080" b="0"/>
            <wp:docPr id="23" name="Picture 22">
              <a:extLst xmlns:a="http://schemas.openxmlformats.org/drawingml/2006/main">
                <a:ext uri="{FF2B5EF4-FFF2-40B4-BE49-F238E27FC236}">
                  <a16:creationId xmlns:a16="http://schemas.microsoft.com/office/drawing/2014/main" id="{161F7ECD-61E2-47E7-A3BE-CD4D9C8C62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161F7ECD-61E2-47E7-A3BE-CD4D9C8C6286}"/>
                        </a:ext>
                      </a:extLst>
                    </pic:cNvPr>
                    <pic:cNvPicPr>
                      <a:picLocks noChangeAspect="1"/>
                    </pic:cNvPicPr>
                  </pic:nvPicPr>
                  <pic:blipFill>
                    <a:blip r:embed="rId8"/>
                    <a:stretch>
                      <a:fillRect/>
                    </a:stretch>
                  </pic:blipFill>
                  <pic:spPr>
                    <a:xfrm>
                      <a:off x="0" y="0"/>
                      <a:ext cx="6071870" cy="2394585"/>
                    </a:xfrm>
                    <a:prstGeom prst="rect">
                      <a:avLst/>
                    </a:prstGeom>
                  </pic:spPr>
                </pic:pic>
              </a:graphicData>
            </a:graphic>
          </wp:inline>
        </w:drawing>
      </w:r>
    </w:p>
    <w:p w14:paraId="0A172C88" w14:textId="44F1A9CB" w:rsidR="008E6AC4" w:rsidRDefault="00EB6DF6" w:rsidP="005129B2">
      <w:pPr>
        <w:pStyle w:val="Caption"/>
      </w:pPr>
      <w:bookmarkStart w:id="8" w:name="_Ref46919931"/>
      <w:r>
        <w:t xml:space="preserve">Figure </w:t>
      </w:r>
      <w:r w:rsidR="00343F14">
        <w:fldChar w:fldCharType="begin"/>
      </w:r>
      <w:r w:rsidR="00343F14">
        <w:instrText xml:space="preserve"> SEQ Figure \* ARABIC </w:instrText>
      </w:r>
      <w:r w:rsidR="00343F14">
        <w:fldChar w:fldCharType="separate"/>
      </w:r>
      <w:r w:rsidR="00F479E9">
        <w:rPr>
          <w:noProof/>
        </w:rPr>
        <w:t>1</w:t>
      </w:r>
      <w:r w:rsidR="00343F14">
        <w:rPr>
          <w:noProof/>
        </w:rPr>
        <w:fldChar w:fldCharType="end"/>
      </w:r>
      <w:bookmarkEnd w:id="8"/>
      <w:r>
        <w:t>: Booster bunch structures for PIP and PIPII at 400 MeV and 800 MeV respectively. In the case of PIP, the shown bunches are after beam capture and it is measu</w:t>
      </w:r>
      <w:r w:rsidR="00F778C1">
        <w:t>red</w:t>
      </w:r>
      <w:r>
        <w:t xml:space="preserve"> data. For PIPII, they are at the end of beam injection and it is ESME simulated data.</w:t>
      </w:r>
    </w:p>
    <w:p w14:paraId="79A57643" w14:textId="132E998A" w:rsidR="005A0A59" w:rsidRDefault="005F7BCF" w:rsidP="005129B2">
      <w:pPr>
        <w:pStyle w:val="Heading3"/>
      </w:pPr>
      <w:bookmarkStart w:id="9" w:name="_Ref46926792"/>
      <w:r>
        <w:t>Beam c</w:t>
      </w:r>
      <w:r w:rsidR="005A0A59">
        <w:t>urrents</w:t>
      </w:r>
      <w:bookmarkEnd w:id="9"/>
    </w:p>
    <w:p w14:paraId="04220C77" w14:textId="48F2B5F7" w:rsidR="008E6AC4" w:rsidRDefault="005A0A59" w:rsidP="005129B2">
      <w:r>
        <w:t xml:space="preserve">The peak current depends inversely on the bunch length. In the process of beam acceleration from injection energy to extraction energy of 8 GeV in the Booster, beam goes through transition at 5.16 GeV where the bunch length reaches its minimum just after this energy. Consequently, the peak current reaches its maximum here. </w:t>
      </w:r>
      <w:r>
        <w:fldChar w:fldCharType="begin"/>
      </w:r>
      <w:r>
        <w:instrText xml:space="preserve"> REF _Ref46920256 \h </w:instrText>
      </w:r>
      <w:r>
        <w:fldChar w:fldCharType="separate"/>
      </w:r>
      <w:r>
        <w:t xml:space="preserve">Figure </w:t>
      </w:r>
      <w:r>
        <w:rPr>
          <w:noProof/>
        </w:rPr>
        <w:t>2</w:t>
      </w:r>
      <w:r>
        <w:fldChar w:fldCharType="end"/>
      </w:r>
      <w:r>
        <w:t xml:space="preserve"> shows the measured bunch structures while the bunch length is at its minimum. For bunches with a Gaussian profile, the peak current, </w:t>
      </w:r>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oMath>
      <w:r>
        <w:t xml:space="preserve">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E84F73" w14:paraId="3721E739" w14:textId="77777777" w:rsidTr="003D5FB0">
        <w:tc>
          <w:tcPr>
            <w:tcW w:w="776" w:type="dxa"/>
          </w:tcPr>
          <w:p w14:paraId="4DBE3D0F" w14:textId="77777777" w:rsidR="00E84F73" w:rsidRDefault="00E84F73" w:rsidP="003D5FB0"/>
        </w:tc>
        <w:tc>
          <w:tcPr>
            <w:tcW w:w="7774" w:type="dxa"/>
          </w:tcPr>
          <w:p w14:paraId="163939E6" w14:textId="50A34584" w:rsidR="00E84F73" w:rsidRDefault="00343F14" w:rsidP="003D5FB0">
            <m:oMathPara>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N</m:t>
                        </m:r>
                      </m:e>
                      <m:sub>
                        <m:r>
                          <w:rPr>
                            <w:rFonts w:ascii="Cambria Math" w:hAnsi="Cambria Math"/>
                          </w:rPr>
                          <m:t>b</m:t>
                        </m:r>
                      </m:sub>
                    </m:sSub>
                  </m:num>
                  <m:den>
                    <m:rad>
                      <m:radPr>
                        <m:degHide m:val="1"/>
                        <m:ctrlPr>
                          <w:rPr>
                            <w:rFonts w:ascii="Cambria Math" w:hAnsi="Cambria Math"/>
                            <w:i/>
                          </w:rPr>
                        </m:ctrlPr>
                      </m:radPr>
                      <m:deg/>
                      <m:e>
                        <m:r>
                          <w:rPr>
                            <w:rFonts w:ascii="Cambria Math" w:hAnsi="Cambria Math"/>
                          </w:rPr>
                          <m:t>2π</m:t>
                        </m:r>
                      </m:e>
                    </m:rad>
                    <m:sSub>
                      <m:sSubPr>
                        <m:ctrlPr>
                          <w:rPr>
                            <w:rFonts w:ascii="Cambria Math" w:hAnsi="Cambria Math"/>
                            <w:i/>
                          </w:rPr>
                        </m:ctrlPr>
                      </m:sSubPr>
                      <m:e>
                        <m:r>
                          <w:rPr>
                            <w:rFonts w:ascii="Cambria Math" w:hAnsi="Cambria Math"/>
                          </w:rPr>
                          <m:t>σ</m:t>
                        </m:r>
                      </m:e>
                      <m:sub>
                        <m:r>
                          <w:rPr>
                            <w:rFonts w:ascii="Cambria Math" w:hAnsi="Cambria Math"/>
                          </w:rPr>
                          <m:t>τ</m:t>
                        </m:r>
                      </m:sub>
                    </m:sSub>
                  </m:den>
                </m:f>
                <m:r>
                  <w:rPr>
                    <w:rFonts w:ascii="Cambria Math" w:hAnsi="Cambria Math"/>
                  </w:rPr>
                  <m:t xml:space="preserve">  [</m:t>
                </m:r>
                <m:r>
                  <m:rPr>
                    <m:sty m:val="p"/>
                  </m:rPr>
                  <w:rPr>
                    <w:rFonts w:ascii="Cambria Math" w:hAnsi="Cambria Math"/>
                  </w:rPr>
                  <m:t>A</m:t>
                </m:r>
                <m:r>
                  <w:rPr>
                    <w:rFonts w:ascii="Cambria Math" w:hAnsi="Cambria Math"/>
                  </w:rPr>
                  <m:t xml:space="preserve">] </m:t>
                </m:r>
              </m:oMath>
            </m:oMathPara>
          </w:p>
        </w:tc>
        <w:tc>
          <w:tcPr>
            <w:tcW w:w="1012" w:type="dxa"/>
            <w:vAlign w:val="center"/>
          </w:tcPr>
          <w:p w14:paraId="2C6EF10A" w14:textId="5A952F81" w:rsidR="00E84F73" w:rsidRDefault="00E84F73" w:rsidP="003D5FB0">
            <w:pPr>
              <w:tabs>
                <w:tab w:val="left" w:pos="333"/>
                <w:tab w:val="right" w:pos="612"/>
              </w:tabs>
              <w:jc w:val="right"/>
            </w:pPr>
            <w:r>
              <w:tab/>
            </w:r>
            <w:r>
              <w:tab/>
              <w:t>(</w:t>
            </w:r>
            <w:r>
              <w:rPr>
                <w:noProof/>
              </w:rPr>
              <w:fldChar w:fldCharType="begin"/>
            </w:r>
            <w:r>
              <w:rPr>
                <w:noProof/>
              </w:rPr>
              <w:instrText xml:space="preserve"> SEQ Equation \* MERGEFORMAT </w:instrText>
            </w:r>
            <w:r>
              <w:rPr>
                <w:noProof/>
              </w:rPr>
              <w:fldChar w:fldCharType="separate"/>
            </w:r>
            <w:r w:rsidR="00F479E9">
              <w:rPr>
                <w:noProof/>
              </w:rPr>
              <w:t>7</w:t>
            </w:r>
            <w:r>
              <w:rPr>
                <w:noProof/>
              </w:rPr>
              <w:fldChar w:fldCharType="end"/>
            </w:r>
            <w:r>
              <w:t>)</w:t>
            </w:r>
          </w:p>
        </w:tc>
      </w:tr>
    </w:tbl>
    <w:p w14:paraId="112A2F7B" w14:textId="12D5E3D7" w:rsidR="00F01932" w:rsidRDefault="00B83E9F" w:rsidP="00F01932">
      <w:r>
        <w:t xml:space="preserve">where </w:t>
      </w:r>
      <m:oMath>
        <m:sSub>
          <m:sSubPr>
            <m:ctrlPr>
              <w:rPr>
                <w:rFonts w:ascii="Cambria Math" w:hAnsi="Cambria Math"/>
                <w:i/>
              </w:rPr>
            </m:ctrlPr>
          </m:sSubPr>
          <m:e>
            <m:r>
              <w:rPr>
                <w:rFonts w:ascii="Cambria Math" w:hAnsi="Cambria Math"/>
              </w:rPr>
              <m:t>σ</m:t>
            </m:r>
          </m:e>
          <m:sub>
            <m:r>
              <w:rPr>
                <w:rFonts w:ascii="Cambria Math" w:hAnsi="Cambria Math"/>
              </w:rPr>
              <m:t>τ</m:t>
            </m:r>
          </m:sub>
        </m:sSub>
        <m:r>
          <w:rPr>
            <w:rFonts w:ascii="Cambria Math" w:hAnsi="Cambria Math"/>
          </w:rPr>
          <m:t xml:space="preserve"> </m:t>
        </m:r>
      </m:oMath>
      <w:r w:rsidR="00672ADF">
        <w:t>is the</w:t>
      </w:r>
      <w:r>
        <w:t xml:space="preserve"> RMS bunch length</w:t>
      </w:r>
      <w:r w:rsidR="004357D4">
        <w:t xml:space="preserve"> in </w:t>
      </w:r>
      <w:proofErr w:type="gramStart"/>
      <w:r w:rsidR="004357D4">
        <w:t>seconds</w:t>
      </w:r>
      <w:r>
        <w:t>.</w:t>
      </w:r>
      <w:proofErr w:type="gramEnd"/>
      <w:r>
        <w:t xml:space="preserve"> </w:t>
      </w:r>
      <w:r w:rsidR="00D73F9B">
        <w:t>E</w:t>
      </w:r>
      <w:r w:rsidR="0015140B">
        <w:t>stimation</w:t>
      </w:r>
      <w:r w:rsidR="00D73F9B">
        <w:t>s</w:t>
      </w:r>
      <w:r w:rsidR="0015140B">
        <w:t xml:space="preserve"> of </w:t>
      </w:r>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oMath>
      <w:r w:rsidR="0015140B">
        <w:t xml:space="preserve"> are listed in </w:t>
      </w:r>
      <w:r w:rsidR="00D73F9B">
        <w:fldChar w:fldCharType="begin"/>
      </w:r>
      <w:r w:rsidR="00D73F9B">
        <w:instrText xml:space="preserve"> REF _Ref46920472 \h </w:instrText>
      </w:r>
      <w:r w:rsidR="00D73F9B">
        <w:fldChar w:fldCharType="separate"/>
      </w:r>
      <w:r w:rsidR="00F479E9">
        <w:t xml:space="preserve">Table </w:t>
      </w:r>
      <w:r w:rsidR="00F479E9">
        <w:rPr>
          <w:noProof/>
        </w:rPr>
        <w:t>4</w:t>
      </w:r>
      <w:r w:rsidR="00D73F9B">
        <w:fldChar w:fldCharType="end"/>
      </w:r>
      <w:r w:rsidR="0015140B">
        <w:t xml:space="preserve"> at injection and transition energies along with </w:t>
      </w:r>
      <w:r w:rsidR="00672ADF">
        <w:t xml:space="preserve">the </w:t>
      </w:r>
      <w:r w:rsidR="005A5A19">
        <w:t xml:space="preserve">measured and simulated </w:t>
      </w:r>
      <w:r w:rsidR="0015140B">
        <w:t xml:space="preserve">parameters. Since the bunches at </w:t>
      </w:r>
      <w:r w:rsidR="0015140B">
        <w:lastRenderedPageBreak/>
        <w:t>injection do not resemble Gaussian bunch profiles</w:t>
      </w:r>
      <w:r w:rsidR="00F01932">
        <w:t xml:space="preserve"> for </w:t>
      </w:r>
      <w:r w:rsidR="00672ADF">
        <w:t xml:space="preserve">the </w:t>
      </w:r>
      <w:r w:rsidR="00F01932">
        <w:t xml:space="preserve">PIPII scenario, </w:t>
      </w:r>
      <w:r w:rsidR="00672ADF">
        <w:t>the following formula is used</w:t>
      </w:r>
      <w:r w:rsidR="0015140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774"/>
        <w:gridCol w:w="1012"/>
      </w:tblGrid>
      <w:tr w:rsidR="00D73F9B" w14:paraId="2343550D" w14:textId="77777777" w:rsidTr="003D5FB0">
        <w:tc>
          <w:tcPr>
            <w:tcW w:w="776" w:type="dxa"/>
          </w:tcPr>
          <w:p w14:paraId="67042D04" w14:textId="77777777" w:rsidR="00D73F9B" w:rsidRDefault="00D73F9B" w:rsidP="003D5FB0"/>
        </w:tc>
        <w:tc>
          <w:tcPr>
            <w:tcW w:w="7774" w:type="dxa"/>
          </w:tcPr>
          <w:p w14:paraId="263FD86F" w14:textId="4569EB2C" w:rsidR="00D73F9B" w:rsidRDefault="00343F14" w:rsidP="003D5FB0">
            <m:oMathPara>
              <m:oMath>
                <m:sSub>
                  <m:sSubPr>
                    <m:ctrlPr>
                      <w:rPr>
                        <w:rFonts w:ascii="Cambria Math" w:hAnsi="Cambria Math"/>
                        <w:i/>
                      </w:rPr>
                    </m:ctrlPr>
                  </m:sSubPr>
                  <m:e>
                    <m:r>
                      <w:rPr>
                        <w:rFonts w:ascii="Cambria Math" w:hAnsi="Cambria Math"/>
                      </w:rPr>
                      <m:t>I</m:t>
                    </m:r>
                  </m:e>
                  <m:sub>
                    <m:r>
                      <m:rPr>
                        <m:nor/>
                      </m:rPr>
                      <w:rPr>
                        <w:rFonts w:ascii="Cambria Math" w:hAnsi="Cambria Math"/>
                      </w:rPr>
                      <m:t>peak</m:t>
                    </m:r>
                  </m:sub>
                </m:sSub>
                <m:r>
                  <w:rPr>
                    <w:rFonts w:ascii="Cambria Math" w:hAnsi="Cambria Math"/>
                  </w:rPr>
                  <m:t>=</m:t>
                </m:r>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N</m:t>
                        </m:r>
                      </m:e>
                      <m:sub>
                        <m:r>
                          <w:rPr>
                            <w:rFonts w:ascii="Cambria Math" w:hAnsi="Cambria Math"/>
                          </w:rPr>
                          <m:t>b</m:t>
                        </m:r>
                      </m:sub>
                    </m:sSub>
                    <m:ctrlPr>
                      <w:rPr>
                        <w:rFonts w:ascii="Cambria Math" w:hAnsi="Cambria Math"/>
                        <w:iCs/>
                      </w:rPr>
                    </m:ctrlPr>
                  </m:num>
                  <m:den>
                    <m:r>
                      <m:rPr>
                        <m:sty m:val="p"/>
                      </m:rPr>
                      <w:rPr>
                        <w:rFonts w:ascii="Cambria Math" w:hAnsi="Cambria Math"/>
                      </w:rPr>
                      <m:t>FWHM</m:t>
                    </m:r>
                  </m:den>
                </m:f>
                <m:r>
                  <w:rPr>
                    <w:rFonts w:ascii="Cambria Math" w:hAnsi="Cambria Math"/>
                  </w:rPr>
                  <m:t xml:space="preserve">  [</m:t>
                </m:r>
                <m:r>
                  <m:rPr>
                    <m:sty m:val="p"/>
                  </m:rPr>
                  <w:rPr>
                    <w:rFonts w:ascii="Cambria Math" w:hAnsi="Cambria Math"/>
                  </w:rPr>
                  <m:t>A</m:t>
                </m:r>
                <m:r>
                  <w:rPr>
                    <w:rFonts w:ascii="Cambria Math" w:hAnsi="Cambria Math"/>
                  </w:rPr>
                  <m:t xml:space="preserve">] </m:t>
                </m:r>
              </m:oMath>
            </m:oMathPara>
          </w:p>
        </w:tc>
        <w:tc>
          <w:tcPr>
            <w:tcW w:w="1012" w:type="dxa"/>
            <w:vAlign w:val="center"/>
          </w:tcPr>
          <w:p w14:paraId="7A5ED5F7" w14:textId="09BBC79A" w:rsidR="00D73F9B" w:rsidRDefault="00D73F9B" w:rsidP="003D5FB0">
            <w:pPr>
              <w:tabs>
                <w:tab w:val="left" w:pos="333"/>
                <w:tab w:val="right" w:pos="612"/>
              </w:tabs>
              <w:jc w:val="right"/>
            </w:pPr>
            <w:r>
              <w:tab/>
            </w:r>
            <w:r>
              <w:tab/>
            </w:r>
            <w:bookmarkStart w:id="10" w:name="_Ref46925230"/>
            <w:r>
              <w:t>(</w:t>
            </w:r>
            <w:r>
              <w:rPr>
                <w:noProof/>
              </w:rPr>
              <w:fldChar w:fldCharType="begin"/>
            </w:r>
            <w:r>
              <w:rPr>
                <w:noProof/>
              </w:rPr>
              <w:instrText xml:space="preserve"> SEQ Equation \* MERGEFORMAT </w:instrText>
            </w:r>
            <w:r>
              <w:rPr>
                <w:noProof/>
              </w:rPr>
              <w:fldChar w:fldCharType="separate"/>
            </w:r>
            <w:r w:rsidR="00F479E9">
              <w:rPr>
                <w:noProof/>
              </w:rPr>
              <w:t>8</w:t>
            </w:r>
            <w:r>
              <w:rPr>
                <w:noProof/>
              </w:rPr>
              <w:fldChar w:fldCharType="end"/>
            </w:r>
            <w:bookmarkStart w:id="11" w:name="_Ref46925236"/>
            <w:bookmarkEnd w:id="10"/>
            <w:r>
              <w:t>)</w:t>
            </w:r>
            <w:bookmarkEnd w:id="11"/>
          </w:p>
        </w:tc>
      </w:tr>
    </w:tbl>
    <w:p w14:paraId="7E498F1C" w14:textId="77777777" w:rsidR="00D73F9B" w:rsidRDefault="00D73F9B" w:rsidP="00F01932"/>
    <w:p w14:paraId="1324D32F" w14:textId="68E833E8" w:rsidR="00D73F9B" w:rsidRDefault="00D73F9B" w:rsidP="00F01932">
      <w:r>
        <w:t>The simulations for PIPII show</w:t>
      </w:r>
      <w:r w:rsidR="005D4672">
        <w:t xml:space="preserve">s </w:t>
      </w:r>
      <w:r>
        <w:t>that as the beam is accelerated</w:t>
      </w:r>
      <w:r w:rsidR="005D4672">
        <w:t>,</w:t>
      </w:r>
      <w:r>
        <w:t xml:space="preserve"> the bunch profiles change and can be approximated as a Gaussian near transition energy.</w:t>
      </w:r>
    </w:p>
    <w:p w14:paraId="160CAC79" w14:textId="2F98A88F" w:rsidR="00EB0DE4" w:rsidRDefault="00EB0DE4" w:rsidP="005129B2">
      <w:pPr>
        <w:pStyle w:val="Caption"/>
        <w:keepNext/>
      </w:pPr>
      <w:bookmarkStart w:id="12" w:name="_Ref46920472"/>
      <w:r>
        <w:t xml:space="preserve">Table </w:t>
      </w:r>
      <w:r w:rsidR="00343F14">
        <w:fldChar w:fldCharType="begin"/>
      </w:r>
      <w:r w:rsidR="00343F14">
        <w:instrText xml:space="preserve"> SEQ Table \* ARABIC </w:instrText>
      </w:r>
      <w:r w:rsidR="00343F14">
        <w:fldChar w:fldCharType="separate"/>
      </w:r>
      <w:r w:rsidR="003F071D">
        <w:rPr>
          <w:noProof/>
        </w:rPr>
        <w:t>4</w:t>
      </w:r>
      <w:r w:rsidR="00343F14">
        <w:rPr>
          <w:noProof/>
        </w:rPr>
        <w:fldChar w:fldCharType="end"/>
      </w:r>
      <w:bookmarkEnd w:id="12"/>
      <w:r>
        <w:t>: Comparison between PIP and PIPII beam parameters</w:t>
      </w:r>
    </w:p>
    <w:tbl>
      <w:tblPr>
        <w:tblStyle w:val="GridTable1Light-Accent1"/>
        <w:tblpPr w:leftFromText="180" w:rightFromText="180" w:vertAnchor="text" w:horzAnchor="margin" w:tblpY="7"/>
        <w:tblW w:w="0" w:type="auto"/>
        <w:tblLook w:val="04A0" w:firstRow="1" w:lastRow="0" w:firstColumn="1" w:lastColumn="0" w:noHBand="0" w:noVBand="1"/>
      </w:tblPr>
      <w:tblGrid>
        <w:gridCol w:w="2529"/>
        <w:gridCol w:w="1246"/>
        <w:gridCol w:w="1406"/>
        <w:gridCol w:w="1204"/>
        <w:gridCol w:w="1659"/>
        <w:gridCol w:w="1508"/>
      </w:tblGrid>
      <w:tr w:rsidR="00B74E36" w14:paraId="13681243" w14:textId="77777777" w:rsidTr="005129B2">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dxa"/>
            <w:gridSpan w:val="6"/>
          </w:tcPr>
          <w:p w14:paraId="48AC41E0" w14:textId="7C18DF56" w:rsidR="00B74E36" w:rsidRPr="005129B2" w:rsidRDefault="00B74E36" w:rsidP="00B74E36">
            <w:pPr>
              <w:rPr>
                <w:rFonts w:ascii="Times New Roman" w:hAnsi="Times New Roman" w:cs="Times New Roman"/>
                <w:sz w:val="22"/>
                <w:szCs w:val="22"/>
              </w:rPr>
            </w:pPr>
            <w:r w:rsidRPr="005129B2">
              <w:rPr>
                <w:rFonts w:ascii="Times New Roman" w:hAnsi="Times New Roman" w:cs="Times New Roman"/>
                <w:sz w:val="22"/>
                <w:szCs w:val="22"/>
              </w:rPr>
              <w:t>PIP</w:t>
            </w:r>
            <w:r w:rsidR="00C80E86" w:rsidRPr="005129B2">
              <w:rPr>
                <w:rFonts w:ascii="Times New Roman" w:hAnsi="Times New Roman" w:cs="Times New Roman"/>
                <w:sz w:val="22"/>
                <w:szCs w:val="22"/>
              </w:rPr>
              <w:t xml:space="preserve">: measured Booster cycle beam data </w:t>
            </w:r>
            <w:r w:rsidR="007C72A5">
              <w:rPr>
                <w:rFonts w:ascii="Times New Roman" w:hAnsi="Times New Roman" w:cs="Times New Roman"/>
                <w:sz w:val="22"/>
                <w:szCs w:val="22"/>
              </w:rPr>
              <w:t>for 5.7e12 prot</w:t>
            </w:r>
            <w:r w:rsidR="00C80E86" w:rsidRPr="005129B2">
              <w:rPr>
                <w:rFonts w:ascii="Times New Roman" w:hAnsi="Times New Roman" w:cs="Times New Roman"/>
                <w:sz w:val="22"/>
                <w:szCs w:val="22"/>
              </w:rPr>
              <w:t>ons</w:t>
            </w:r>
          </w:p>
        </w:tc>
      </w:tr>
      <w:tr w:rsidR="00544F54" w:rsidRPr="008621BC" w14:paraId="31F1FF64" w14:textId="77777777" w:rsidTr="005129B2">
        <w:tc>
          <w:tcPr>
            <w:cnfStyle w:val="001000000000" w:firstRow="0" w:lastRow="0" w:firstColumn="1" w:lastColumn="0" w:oddVBand="0" w:evenVBand="0" w:oddHBand="0" w:evenHBand="0" w:firstRowFirstColumn="0" w:firstRowLastColumn="0" w:lastRowFirstColumn="0" w:lastRowLastColumn="0"/>
            <w:tcW w:w="2529" w:type="dxa"/>
          </w:tcPr>
          <w:p w14:paraId="1A913D54" w14:textId="77777777" w:rsidR="00B74E36" w:rsidRPr="005129B2" w:rsidRDefault="00B74E36" w:rsidP="00B74E36">
            <w:pPr>
              <w:rPr>
                <w:rFonts w:ascii="Times New Roman" w:hAnsi="Times New Roman" w:cs="Times New Roman"/>
                <w:sz w:val="20"/>
                <w:szCs w:val="20"/>
              </w:rPr>
            </w:pPr>
          </w:p>
        </w:tc>
        <w:tc>
          <w:tcPr>
            <w:tcW w:w="1246" w:type="dxa"/>
          </w:tcPr>
          <w:p w14:paraId="4F585447" w14:textId="267B54AC" w:rsidR="00B74E36" w:rsidRPr="005129B2" w:rsidRDefault="00544F54"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29B2">
              <w:rPr>
                <w:rFonts w:ascii="Times New Roman" w:hAnsi="Times New Roman" w:cs="Times New Roman"/>
                <w:color w:val="auto"/>
                <w:kern w:val="24"/>
                <w:sz w:val="20"/>
                <w:szCs w:val="20"/>
              </w:rPr>
              <w:t>Revolution period (</w:t>
            </w:r>
            <w:r w:rsidR="00B74E36" w:rsidRPr="005129B2">
              <w:rPr>
                <w:rFonts w:ascii="Times New Roman" w:hAnsi="Times New Roman" w:cs="Times New Roman"/>
                <w:color w:val="auto"/>
                <w:kern w:val="24"/>
                <w:sz w:val="20"/>
                <w:szCs w:val="20"/>
              </w:rPr>
              <w:sym w:font="Symbol" w:char="F06D"/>
            </w:r>
            <w:r w:rsidR="00B74E36" w:rsidRPr="005129B2">
              <w:rPr>
                <w:rFonts w:ascii="Times New Roman" w:hAnsi="Times New Roman" w:cs="Times New Roman"/>
                <w:color w:val="auto"/>
                <w:kern w:val="24"/>
                <w:sz w:val="20"/>
                <w:szCs w:val="20"/>
              </w:rPr>
              <w:t>s</w:t>
            </w:r>
            <w:r w:rsidR="00B74E36" w:rsidRPr="005129B2">
              <w:rPr>
                <w:rFonts w:ascii="Times New Roman" w:hAnsi="Times New Roman" w:cs="Times New Roman"/>
                <w:b/>
                <w:bCs/>
                <w:color w:val="auto"/>
                <w:kern w:val="24"/>
                <w:sz w:val="20"/>
                <w:szCs w:val="20"/>
              </w:rPr>
              <w:t>)</w:t>
            </w:r>
          </w:p>
        </w:tc>
        <w:tc>
          <w:tcPr>
            <w:tcW w:w="1406" w:type="dxa"/>
          </w:tcPr>
          <w:p w14:paraId="0AA60E4C" w14:textId="646C0EBE"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29B2">
              <w:rPr>
                <w:rFonts w:ascii="Times New Roman" w:hAnsi="Times New Roman" w:cs="Times New Roman"/>
                <w:color w:val="auto"/>
                <w:kern w:val="24"/>
                <w:sz w:val="20"/>
                <w:szCs w:val="20"/>
              </w:rPr>
              <w:t xml:space="preserve">RMS </w:t>
            </w:r>
            <w:r w:rsidR="00544F54" w:rsidRPr="005129B2">
              <w:rPr>
                <w:rFonts w:ascii="Times New Roman" w:hAnsi="Times New Roman" w:cs="Times New Roman"/>
                <w:color w:val="auto"/>
                <w:kern w:val="24"/>
                <w:sz w:val="20"/>
                <w:szCs w:val="20"/>
              </w:rPr>
              <w:t>bunch length</w:t>
            </w:r>
            <w:r w:rsidRPr="005129B2">
              <w:rPr>
                <w:rFonts w:ascii="Times New Roman" w:hAnsi="Times New Roman" w:cs="Times New Roman"/>
                <w:color w:val="auto"/>
                <w:kern w:val="24"/>
                <w:sz w:val="20"/>
                <w:szCs w:val="20"/>
              </w:rPr>
              <w:t xml:space="preserve"> (</w:t>
            </w:r>
            <w:proofErr w:type="spellStart"/>
            <w:r w:rsidRPr="005129B2">
              <w:rPr>
                <w:rFonts w:ascii="Times New Roman" w:hAnsi="Times New Roman" w:cs="Times New Roman"/>
                <w:color w:val="auto"/>
                <w:kern w:val="24"/>
                <w:sz w:val="20"/>
                <w:szCs w:val="20"/>
              </w:rPr>
              <w:t>nsec</w:t>
            </w:r>
            <w:proofErr w:type="spellEnd"/>
            <w:r w:rsidRPr="005129B2">
              <w:rPr>
                <w:rFonts w:ascii="Times New Roman" w:hAnsi="Times New Roman" w:cs="Times New Roman"/>
                <w:color w:val="auto"/>
                <w:kern w:val="24"/>
                <w:sz w:val="20"/>
                <w:szCs w:val="20"/>
              </w:rPr>
              <w:t>)</w:t>
            </w:r>
          </w:p>
        </w:tc>
        <w:tc>
          <w:tcPr>
            <w:tcW w:w="1204" w:type="dxa"/>
          </w:tcPr>
          <w:p w14:paraId="1F7F3FAB" w14:textId="207E7B13" w:rsidR="00B74E36" w:rsidRPr="005129B2" w:rsidRDefault="00544F54"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29B2">
              <w:rPr>
                <w:rFonts w:ascii="Times New Roman" w:hAnsi="Times New Roman" w:cs="Times New Roman"/>
                <w:color w:val="auto"/>
                <w:kern w:val="24"/>
                <w:sz w:val="20"/>
                <w:szCs w:val="20"/>
              </w:rPr>
              <w:t xml:space="preserve"> Full bunch length </w:t>
            </w:r>
            <w:r w:rsidR="00B74E36" w:rsidRPr="005129B2">
              <w:rPr>
                <w:rFonts w:ascii="Times New Roman" w:hAnsi="Times New Roman" w:cs="Times New Roman"/>
                <w:color w:val="auto"/>
                <w:kern w:val="24"/>
                <w:sz w:val="20"/>
                <w:szCs w:val="20"/>
              </w:rPr>
              <w:t>(</w:t>
            </w:r>
            <w:proofErr w:type="spellStart"/>
            <w:r w:rsidR="00B74E36" w:rsidRPr="005129B2">
              <w:rPr>
                <w:rFonts w:ascii="Times New Roman" w:hAnsi="Times New Roman" w:cs="Times New Roman"/>
                <w:color w:val="auto"/>
                <w:kern w:val="24"/>
                <w:sz w:val="20"/>
                <w:szCs w:val="20"/>
              </w:rPr>
              <w:t>nsec</w:t>
            </w:r>
            <w:proofErr w:type="spellEnd"/>
            <w:r w:rsidR="00B74E36" w:rsidRPr="005129B2">
              <w:rPr>
                <w:rFonts w:ascii="Times New Roman" w:hAnsi="Times New Roman" w:cs="Times New Roman"/>
                <w:color w:val="auto"/>
                <w:kern w:val="24"/>
                <w:sz w:val="20"/>
                <w:szCs w:val="20"/>
              </w:rPr>
              <w:t>)</w:t>
            </w:r>
          </w:p>
        </w:tc>
        <w:tc>
          <w:tcPr>
            <w:tcW w:w="1659" w:type="dxa"/>
          </w:tcPr>
          <w:p w14:paraId="6FBA5697" w14:textId="108544CB" w:rsidR="00B74E36" w:rsidRPr="005129B2" w:rsidRDefault="00544F54"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29B2">
              <w:rPr>
                <w:rFonts w:ascii="Times New Roman" w:hAnsi="Times New Roman" w:cs="Times New Roman"/>
                <w:color w:val="auto"/>
                <w:kern w:val="24"/>
                <w:sz w:val="20"/>
                <w:szCs w:val="20"/>
              </w:rPr>
              <w:t xml:space="preserve">Number of protons per bunch </w:t>
            </w:r>
            <w:r w:rsidR="00B74E36" w:rsidRPr="005129B2">
              <w:rPr>
                <w:rFonts w:ascii="Times New Roman" w:hAnsi="Times New Roman" w:cs="Times New Roman"/>
                <w:color w:val="auto"/>
                <w:kern w:val="24"/>
                <w:sz w:val="20"/>
                <w:szCs w:val="20"/>
              </w:rPr>
              <w:t xml:space="preserve"> </w:t>
            </w:r>
          </w:p>
        </w:tc>
        <w:tc>
          <w:tcPr>
            <w:tcW w:w="1508" w:type="dxa"/>
          </w:tcPr>
          <w:p w14:paraId="6339785A" w14:textId="63ACD7DE" w:rsidR="00544F54" w:rsidRPr="005129B2" w:rsidRDefault="00343F14"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24"/>
                <w:sz w:val="20"/>
                <w:szCs w:val="20"/>
              </w:rPr>
            </w:pPr>
            <m:oMath>
              <m:sSub>
                <m:sSubPr>
                  <m:ctrlPr>
                    <w:rPr>
                      <w:rFonts w:ascii="Cambria Math" w:hAnsi="Cambria Math"/>
                      <w:i/>
                      <w:sz w:val="20"/>
                      <w:szCs w:val="20"/>
                    </w:rPr>
                  </m:ctrlPr>
                </m:sSubPr>
                <m:e>
                  <m:r>
                    <w:rPr>
                      <w:rFonts w:ascii="Cambria Math" w:hAnsi="Cambria Math"/>
                      <w:sz w:val="20"/>
                      <w:szCs w:val="20"/>
                    </w:rPr>
                    <m:t>I</m:t>
                  </m:r>
                </m:e>
                <m:sub>
                  <m:r>
                    <m:rPr>
                      <m:nor/>
                    </m:rPr>
                    <w:rPr>
                      <w:rFonts w:ascii="Cambria Math" w:hAnsi="Cambria Math"/>
                      <w:sz w:val="20"/>
                      <w:szCs w:val="20"/>
                    </w:rPr>
                    <m:t>peak</m:t>
                  </m:r>
                </m:sub>
              </m:sSub>
            </m:oMath>
            <w:r w:rsidR="00B74E36" w:rsidRPr="005129B2">
              <w:rPr>
                <w:rFonts w:ascii="Times New Roman" w:hAnsi="Times New Roman" w:cs="Times New Roman"/>
                <w:color w:val="auto"/>
                <w:kern w:val="24"/>
                <w:sz w:val="20"/>
                <w:szCs w:val="20"/>
              </w:rPr>
              <w:t xml:space="preserve"> </w:t>
            </w:r>
          </w:p>
          <w:p w14:paraId="5A98C608" w14:textId="4E41D2AA"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29B2">
              <w:rPr>
                <w:rFonts w:ascii="Times New Roman" w:hAnsi="Times New Roman" w:cs="Times New Roman"/>
                <w:color w:val="auto"/>
                <w:kern w:val="24"/>
                <w:sz w:val="20"/>
                <w:szCs w:val="20"/>
              </w:rPr>
              <w:t>(</w:t>
            </w:r>
            <w:r w:rsidR="00544F54" w:rsidRPr="005129B2">
              <w:rPr>
                <w:rFonts w:ascii="Times New Roman" w:hAnsi="Times New Roman" w:cs="Times New Roman"/>
                <w:color w:val="auto"/>
                <w:kern w:val="24"/>
                <w:sz w:val="20"/>
                <w:szCs w:val="20"/>
              </w:rPr>
              <w:t>A</w:t>
            </w:r>
            <m:oMath>
              <m:r>
                <m:rPr>
                  <m:sty m:val="p"/>
                </m:rPr>
                <w:rPr>
                  <w:rFonts w:ascii="Cambria Math" w:hAnsi="Cambria Math" w:cs="Times New Roman"/>
                  <w:color w:val="auto"/>
                  <w:kern w:val="24"/>
                  <w:sz w:val="20"/>
                  <w:szCs w:val="20"/>
                </w:rPr>
                <m:t>)</m:t>
              </m:r>
            </m:oMath>
          </w:p>
        </w:tc>
      </w:tr>
      <w:tr w:rsidR="00544F54" w14:paraId="4376914E" w14:textId="77777777" w:rsidTr="005129B2">
        <w:tc>
          <w:tcPr>
            <w:cnfStyle w:val="001000000000" w:firstRow="0" w:lastRow="0" w:firstColumn="1" w:lastColumn="0" w:oddVBand="0" w:evenVBand="0" w:oddHBand="0" w:evenHBand="0" w:firstRowFirstColumn="0" w:firstRowLastColumn="0" w:lastRowFirstColumn="0" w:lastRowLastColumn="0"/>
            <w:tcW w:w="2529" w:type="dxa"/>
            <w:tcBorders>
              <w:bottom w:val="single" w:sz="4" w:space="0" w:color="B6CBCD" w:themeColor="accent1" w:themeTint="66"/>
            </w:tcBorders>
          </w:tcPr>
          <w:p w14:paraId="2BDF7B0B" w14:textId="4E3BB08E" w:rsidR="00B74E36" w:rsidRPr="005129B2" w:rsidRDefault="00B74E36" w:rsidP="00B74E36">
            <w:pPr>
              <w:rPr>
                <w:rFonts w:ascii="Times New Roman" w:hAnsi="Times New Roman" w:cs="Times New Roman"/>
                <w:b w:val="0"/>
                <w:bCs w:val="0"/>
                <w:sz w:val="22"/>
                <w:szCs w:val="22"/>
              </w:rPr>
            </w:pPr>
            <w:r w:rsidRPr="005129B2">
              <w:rPr>
                <w:rFonts w:ascii="Times New Roman" w:hAnsi="Times New Roman" w:cs="Times New Roman"/>
                <w:color w:val="000000" w:themeColor="dark1"/>
                <w:kern w:val="24"/>
                <w:sz w:val="22"/>
                <w:szCs w:val="22"/>
              </w:rPr>
              <w:t>Injection (</w:t>
            </w:r>
            <w:r w:rsidR="00E721FD">
              <w:rPr>
                <w:rFonts w:ascii="Times New Roman" w:hAnsi="Times New Roman" w:cs="Times New Roman"/>
                <w:b w:val="0"/>
                <w:bCs w:val="0"/>
                <w:color w:val="000000" w:themeColor="dark1"/>
                <w:kern w:val="24"/>
                <w:sz w:val="22"/>
                <w:szCs w:val="22"/>
              </w:rPr>
              <w:t>400 MeV</w:t>
            </w:r>
            <w:r w:rsidRPr="005129B2">
              <w:rPr>
                <w:rFonts w:ascii="Times New Roman" w:hAnsi="Times New Roman" w:cs="Times New Roman"/>
                <w:color w:val="000000" w:themeColor="dark1"/>
                <w:kern w:val="24"/>
                <w:sz w:val="22"/>
                <w:szCs w:val="22"/>
              </w:rPr>
              <w:t>)</w:t>
            </w:r>
          </w:p>
        </w:tc>
        <w:tc>
          <w:tcPr>
            <w:tcW w:w="1246" w:type="dxa"/>
            <w:tcBorders>
              <w:bottom w:val="single" w:sz="4" w:space="0" w:color="B6CBCD" w:themeColor="accent1" w:themeTint="66"/>
            </w:tcBorders>
          </w:tcPr>
          <w:p w14:paraId="37801510"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kern w:val="24"/>
                <w:sz w:val="22"/>
                <w:szCs w:val="22"/>
              </w:rPr>
              <w:t>2.217</w:t>
            </w:r>
          </w:p>
        </w:tc>
        <w:tc>
          <w:tcPr>
            <w:tcW w:w="1406" w:type="dxa"/>
            <w:tcBorders>
              <w:bottom w:val="single" w:sz="4" w:space="0" w:color="B6CBCD" w:themeColor="accent1" w:themeTint="66"/>
            </w:tcBorders>
          </w:tcPr>
          <w:p w14:paraId="47B4C5E7"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4.73</w:t>
            </w:r>
          </w:p>
        </w:tc>
        <w:tc>
          <w:tcPr>
            <w:tcW w:w="1204" w:type="dxa"/>
            <w:tcBorders>
              <w:bottom w:val="single" w:sz="4" w:space="0" w:color="B6CBCD" w:themeColor="accent1" w:themeTint="66"/>
            </w:tcBorders>
          </w:tcPr>
          <w:p w14:paraId="7D190681"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20.2</w:t>
            </w:r>
          </w:p>
        </w:tc>
        <w:tc>
          <w:tcPr>
            <w:tcW w:w="1659" w:type="dxa"/>
            <w:tcBorders>
              <w:bottom w:val="single" w:sz="4" w:space="0" w:color="B6CBCD" w:themeColor="accent1" w:themeTint="66"/>
            </w:tcBorders>
          </w:tcPr>
          <w:p w14:paraId="441B9007" w14:textId="62F10788" w:rsidR="00B74E36" w:rsidRPr="005129B2" w:rsidRDefault="00F736A2"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eastAsiaTheme="minorEastAsia" w:hAnsi="Times New Roman" w:cs="Times New Roman"/>
                <w:color w:val="auto"/>
                <w:sz w:val="22"/>
                <w:szCs w:val="22"/>
              </w:rPr>
              <w:t>7e10</w:t>
            </w:r>
          </w:p>
        </w:tc>
        <w:tc>
          <w:tcPr>
            <w:tcW w:w="1508" w:type="dxa"/>
            <w:tcBorders>
              <w:bottom w:val="single" w:sz="4" w:space="0" w:color="B6CBCD" w:themeColor="accent1" w:themeTint="66"/>
            </w:tcBorders>
          </w:tcPr>
          <w:p w14:paraId="70713E79"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0.95</w:t>
            </w:r>
          </w:p>
        </w:tc>
      </w:tr>
      <w:tr w:rsidR="00544F54" w14:paraId="2E8D1AAF" w14:textId="77777777" w:rsidTr="005129B2">
        <w:trPr>
          <w:trHeight w:val="316"/>
        </w:trPr>
        <w:tc>
          <w:tcPr>
            <w:cnfStyle w:val="001000000000" w:firstRow="0" w:lastRow="0" w:firstColumn="1" w:lastColumn="0" w:oddVBand="0" w:evenVBand="0" w:oddHBand="0" w:evenHBand="0" w:firstRowFirstColumn="0" w:firstRowLastColumn="0" w:lastRowFirstColumn="0" w:lastRowLastColumn="0"/>
            <w:tcW w:w="2529" w:type="dxa"/>
            <w:tcBorders>
              <w:bottom w:val="double" w:sz="4" w:space="0" w:color="B6CBCD" w:themeColor="accent1" w:themeTint="66"/>
            </w:tcBorders>
          </w:tcPr>
          <w:p w14:paraId="36B14629" w14:textId="77777777" w:rsidR="00B74E36" w:rsidRPr="005129B2" w:rsidRDefault="00B74E36" w:rsidP="00B74E36">
            <w:pPr>
              <w:rPr>
                <w:rFonts w:ascii="Times New Roman" w:hAnsi="Times New Roman" w:cs="Times New Roman"/>
                <w:b w:val="0"/>
                <w:bCs w:val="0"/>
                <w:sz w:val="22"/>
                <w:szCs w:val="22"/>
              </w:rPr>
            </w:pPr>
            <w:r w:rsidRPr="005129B2">
              <w:rPr>
                <w:rFonts w:ascii="Times New Roman" w:hAnsi="Times New Roman" w:cs="Times New Roman"/>
                <w:color w:val="000000" w:themeColor="dark1"/>
                <w:kern w:val="24"/>
                <w:sz w:val="22"/>
                <w:szCs w:val="22"/>
              </w:rPr>
              <w:t>Transition (5.16 GeV)</w:t>
            </w:r>
          </w:p>
        </w:tc>
        <w:tc>
          <w:tcPr>
            <w:tcW w:w="1246" w:type="dxa"/>
            <w:tcBorders>
              <w:bottom w:val="double" w:sz="4" w:space="0" w:color="B6CBCD" w:themeColor="accent1" w:themeTint="66"/>
            </w:tcBorders>
          </w:tcPr>
          <w:p w14:paraId="49DD7127"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kern w:val="24"/>
                <w:sz w:val="22"/>
                <w:szCs w:val="22"/>
              </w:rPr>
              <w:t>1.608</w:t>
            </w:r>
          </w:p>
        </w:tc>
        <w:tc>
          <w:tcPr>
            <w:tcW w:w="1406" w:type="dxa"/>
            <w:tcBorders>
              <w:bottom w:val="double" w:sz="4" w:space="0" w:color="B6CBCD" w:themeColor="accent1" w:themeTint="66"/>
            </w:tcBorders>
          </w:tcPr>
          <w:p w14:paraId="4F4AD256"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kern w:val="24"/>
                <w:sz w:val="22"/>
                <w:szCs w:val="22"/>
              </w:rPr>
              <w:t>0.56</w:t>
            </w:r>
          </w:p>
        </w:tc>
        <w:tc>
          <w:tcPr>
            <w:tcW w:w="1204" w:type="dxa"/>
            <w:tcBorders>
              <w:bottom w:val="double" w:sz="4" w:space="0" w:color="B6CBCD" w:themeColor="accent1" w:themeTint="66"/>
            </w:tcBorders>
          </w:tcPr>
          <w:p w14:paraId="04742009"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3.2</w:t>
            </w:r>
          </w:p>
        </w:tc>
        <w:tc>
          <w:tcPr>
            <w:tcW w:w="1659" w:type="dxa"/>
            <w:tcBorders>
              <w:bottom w:val="double" w:sz="4" w:space="0" w:color="B6CBCD" w:themeColor="accent1" w:themeTint="66"/>
            </w:tcBorders>
          </w:tcPr>
          <w:p w14:paraId="75FDB73B" w14:textId="53BAE557" w:rsidR="00B74E36" w:rsidRPr="005129B2" w:rsidRDefault="00F736A2"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eastAsiaTheme="minorEastAsia" w:hAnsi="Times New Roman" w:cs="Times New Roman"/>
                <w:color w:val="auto"/>
                <w:sz w:val="22"/>
                <w:szCs w:val="22"/>
              </w:rPr>
              <w:t>7e10</w:t>
            </w:r>
          </w:p>
        </w:tc>
        <w:tc>
          <w:tcPr>
            <w:tcW w:w="1508" w:type="dxa"/>
            <w:tcBorders>
              <w:bottom w:val="double" w:sz="4" w:space="0" w:color="B6CBCD" w:themeColor="accent1" w:themeTint="66"/>
            </w:tcBorders>
          </w:tcPr>
          <w:p w14:paraId="216B5AF5"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8</w:t>
            </w:r>
          </w:p>
        </w:tc>
      </w:tr>
      <w:tr w:rsidR="00B74E36" w14:paraId="60D1CB12" w14:textId="77777777" w:rsidTr="005129B2">
        <w:trPr>
          <w:trHeight w:val="478"/>
        </w:trPr>
        <w:tc>
          <w:tcPr>
            <w:cnfStyle w:val="001000000000" w:firstRow="0" w:lastRow="0" w:firstColumn="1" w:lastColumn="0" w:oddVBand="0" w:evenVBand="0" w:oddHBand="0" w:evenHBand="0" w:firstRowFirstColumn="0" w:firstRowLastColumn="0" w:lastRowFirstColumn="0" w:lastRowLastColumn="0"/>
            <w:tcW w:w="0" w:type="dxa"/>
            <w:gridSpan w:val="6"/>
            <w:tcBorders>
              <w:top w:val="double" w:sz="4" w:space="0" w:color="B6CBCD" w:themeColor="accent1" w:themeTint="66"/>
              <w:bottom w:val="single" w:sz="12" w:space="0" w:color="B6CBCD" w:themeColor="accent1" w:themeTint="66"/>
            </w:tcBorders>
          </w:tcPr>
          <w:p w14:paraId="76456F75" w14:textId="165756FB" w:rsidR="00B74E36" w:rsidRPr="005129B2" w:rsidRDefault="00B74E36" w:rsidP="00B74E36">
            <w:pPr>
              <w:rPr>
                <w:rFonts w:ascii="Times New Roman" w:hAnsi="Times New Roman" w:cs="Times New Roman"/>
                <w:bCs w:val="0"/>
                <w:color w:val="auto"/>
                <w:sz w:val="22"/>
                <w:szCs w:val="22"/>
              </w:rPr>
            </w:pPr>
            <w:r w:rsidRPr="005129B2">
              <w:rPr>
                <w:rFonts w:ascii="Times New Roman" w:hAnsi="Times New Roman" w:cs="Times New Roman"/>
                <w:color w:val="auto"/>
                <w:sz w:val="22"/>
                <w:szCs w:val="22"/>
              </w:rPr>
              <w:t>PIPII</w:t>
            </w:r>
            <w:r w:rsidR="000D7A82" w:rsidRPr="005129B2">
              <w:rPr>
                <w:rFonts w:ascii="Times New Roman" w:hAnsi="Times New Roman" w:cs="Times New Roman"/>
                <w:color w:val="auto"/>
                <w:sz w:val="22"/>
                <w:szCs w:val="22"/>
              </w:rPr>
              <w:t xml:space="preserve">: simulated Booster beam data </w:t>
            </w:r>
            <w:r w:rsidR="007C72A5">
              <w:rPr>
                <w:rFonts w:ascii="Times New Roman" w:hAnsi="Times New Roman" w:cs="Times New Roman"/>
                <w:bCs w:val="0"/>
                <w:color w:val="auto"/>
                <w:sz w:val="22"/>
                <w:szCs w:val="22"/>
              </w:rPr>
              <w:t xml:space="preserve">for </w:t>
            </w:r>
            <w:r w:rsidR="007C72A5">
              <w:rPr>
                <w:rFonts w:ascii="Times New Roman" w:hAnsi="Times New Roman" w:cs="Times New Roman"/>
                <w:color w:val="auto"/>
                <w:sz w:val="22"/>
                <w:szCs w:val="22"/>
              </w:rPr>
              <w:t>6</w:t>
            </w:r>
            <w:r w:rsidR="007C72A5">
              <w:rPr>
                <w:rFonts w:ascii="Times New Roman" w:hAnsi="Times New Roman" w:cs="Times New Roman"/>
                <w:sz w:val="22"/>
                <w:szCs w:val="22"/>
              </w:rPr>
              <w:t>.7e12 prot</w:t>
            </w:r>
            <w:r w:rsidR="007C72A5" w:rsidRPr="00272135">
              <w:rPr>
                <w:rFonts w:ascii="Times New Roman" w:hAnsi="Times New Roman" w:cs="Times New Roman"/>
                <w:sz w:val="22"/>
                <w:szCs w:val="22"/>
              </w:rPr>
              <w:t>ons</w:t>
            </w:r>
            <w:r w:rsidR="007C72A5" w:rsidRPr="00835443" w:rsidDel="000D7A82">
              <w:rPr>
                <w:rFonts w:ascii="Times New Roman" w:hAnsi="Times New Roman" w:cs="Times New Roman"/>
                <w:color w:val="auto"/>
                <w:sz w:val="22"/>
                <w:szCs w:val="22"/>
              </w:rPr>
              <w:t xml:space="preserve"> </w:t>
            </w:r>
          </w:p>
        </w:tc>
      </w:tr>
      <w:tr w:rsidR="00544F54" w14:paraId="48F0D97B" w14:textId="77777777" w:rsidTr="005129B2">
        <w:tc>
          <w:tcPr>
            <w:cnfStyle w:val="001000000000" w:firstRow="0" w:lastRow="0" w:firstColumn="1" w:lastColumn="0" w:oddVBand="0" w:evenVBand="0" w:oddHBand="0" w:evenHBand="0" w:firstRowFirstColumn="0" w:firstRowLastColumn="0" w:lastRowFirstColumn="0" w:lastRowLastColumn="0"/>
            <w:tcW w:w="2529" w:type="dxa"/>
            <w:tcBorders>
              <w:top w:val="single" w:sz="12" w:space="0" w:color="B6CBCD" w:themeColor="accent1" w:themeTint="66"/>
            </w:tcBorders>
          </w:tcPr>
          <w:p w14:paraId="6B685D35" w14:textId="2FB0A344" w:rsidR="00B74E36" w:rsidRPr="005129B2" w:rsidRDefault="00B74E36" w:rsidP="00B74E36">
            <w:pPr>
              <w:rPr>
                <w:rFonts w:ascii="Times New Roman" w:hAnsi="Times New Roman" w:cs="Times New Roman"/>
                <w:b w:val="0"/>
                <w:bCs w:val="0"/>
                <w:sz w:val="22"/>
                <w:szCs w:val="22"/>
              </w:rPr>
            </w:pPr>
            <w:r w:rsidRPr="005129B2">
              <w:rPr>
                <w:rFonts w:ascii="Times New Roman" w:hAnsi="Times New Roman" w:cs="Times New Roman"/>
                <w:color w:val="000000" w:themeColor="dark1"/>
                <w:kern w:val="24"/>
                <w:sz w:val="22"/>
                <w:szCs w:val="22"/>
              </w:rPr>
              <w:t>Injection (</w:t>
            </w:r>
            <w:r w:rsidR="00E721FD">
              <w:rPr>
                <w:rFonts w:ascii="Times New Roman" w:hAnsi="Times New Roman" w:cs="Times New Roman"/>
                <w:b w:val="0"/>
                <w:bCs w:val="0"/>
                <w:color w:val="000000" w:themeColor="dark1"/>
                <w:kern w:val="24"/>
                <w:sz w:val="22"/>
                <w:szCs w:val="22"/>
              </w:rPr>
              <w:t>800 MeV</w:t>
            </w:r>
            <w:r w:rsidRPr="005129B2">
              <w:rPr>
                <w:rFonts w:ascii="Times New Roman" w:hAnsi="Times New Roman" w:cs="Times New Roman"/>
                <w:color w:val="000000" w:themeColor="dark1"/>
                <w:kern w:val="24"/>
                <w:sz w:val="22"/>
                <w:szCs w:val="22"/>
              </w:rPr>
              <w:t>)</w:t>
            </w:r>
          </w:p>
        </w:tc>
        <w:tc>
          <w:tcPr>
            <w:tcW w:w="1246" w:type="dxa"/>
            <w:tcBorders>
              <w:top w:val="single" w:sz="12" w:space="0" w:color="B6CBCD" w:themeColor="accent1" w:themeTint="66"/>
            </w:tcBorders>
          </w:tcPr>
          <w:p w14:paraId="1DCCBB22"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1.879</w:t>
            </w:r>
          </w:p>
        </w:tc>
        <w:tc>
          <w:tcPr>
            <w:tcW w:w="1406" w:type="dxa"/>
            <w:tcBorders>
              <w:top w:val="single" w:sz="12" w:space="0" w:color="B6CBCD" w:themeColor="accent1" w:themeTint="66"/>
            </w:tcBorders>
          </w:tcPr>
          <w:p w14:paraId="5233CB03"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kern w:val="24"/>
                <w:sz w:val="22"/>
                <w:szCs w:val="22"/>
              </w:rPr>
              <w:t>3.3</w:t>
            </w:r>
          </w:p>
        </w:tc>
        <w:tc>
          <w:tcPr>
            <w:tcW w:w="1204" w:type="dxa"/>
            <w:tcBorders>
              <w:top w:val="single" w:sz="12" w:space="0" w:color="B6CBCD" w:themeColor="accent1" w:themeTint="66"/>
            </w:tcBorders>
          </w:tcPr>
          <w:p w14:paraId="28000CC1"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kern w:val="24"/>
                <w:sz w:val="22"/>
                <w:szCs w:val="22"/>
              </w:rPr>
              <w:t>16</w:t>
            </w:r>
          </w:p>
        </w:tc>
        <w:tc>
          <w:tcPr>
            <w:tcW w:w="1659" w:type="dxa"/>
            <w:tcBorders>
              <w:top w:val="single" w:sz="12" w:space="0" w:color="B6CBCD" w:themeColor="accent1" w:themeTint="66"/>
            </w:tcBorders>
          </w:tcPr>
          <w:p w14:paraId="24F619B6" w14:textId="7AC15A63"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8.27</w:t>
            </w:r>
            <w:r w:rsidR="00F736A2">
              <w:rPr>
                <w:rFonts w:ascii="Times New Roman" w:hAnsi="Times New Roman" w:cs="Times New Roman"/>
                <w:color w:val="auto"/>
                <w:sz w:val="22"/>
                <w:szCs w:val="22"/>
              </w:rPr>
              <w:t>e10</w:t>
            </w:r>
          </w:p>
        </w:tc>
        <w:tc>
          <w:tcPr>
            <w:tcW w:w="1508" w:type="dxa"/>
            <w:tcBorders>
              <w:top w:val="single" w:sz="12" w:space="0" w:color="B6CBCD" w:themeColor="accent1" w:themeTint="66"/>
            </w:tcBorders>
          </w:tcPr>
          <w:p w14:paraId="10452D8B"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2.5*</w:t>
            </w:r>
          </w:p>
        </w:tc>
      </w:tr>
      <w:tr w:rsidR="00544F54" w14:paraId="3685AC43" w14:textId="77777777" w:rsidTr="005129B2">
        <w:tc>
          <w:tcPr>
            <w:cnfStyle w:val="001000000000" w:firstRow="0" w:lastRow="0" w:firstColumn="1" w:lastColumn="0" w:oddVBand="0" w:evenVBand="0" w:oddHBand="0" w:evenHBand="0" w:firstRowFirstColumn="0" w:firstRowLastColumn="0" w:lastRowFirstColumn="0" w:lastRowLastColumn="0"/>
            <w:tcW w:w="2529" w:type="dxa"/>
          </w:tcPr>
          <w:p w14:paraId="5AD40F0F" w14:textId="77777777" w:rsidR="00B74E36" w:rsidRPr="005129B2" w:rsidRDefault="00B74E36" w:rsidP="00B74E36">
            <w:pPr>
              <w:rPr>
                <w:rFonts w:ascii="Times New Roman" w:hAnsi="Times New Roman" w:cs="Times New Roman"/>
                <w:b w:val="0"/>
                <w:bCs w:val="0"/>
                <w:sz w:val="22"/>
                <w:szCs w:val="22"/>
              </w:rPr>
            </w:pPr>
            <w:r w:rsidRPr="005129B2">
              <w:rPr>
                <w:rFonts w:ascii="Times New Roman" w:hAnsi="Times New Roman" w:cs="Times New Roman"/>
                <w:color w:val="000000" w:themeColor="dark1"/>
                <w:kern w:val="24"/>
                <w:sz w:val="22"/>
                <w:szCs w:val="22"/>
              </w:rPr>
              <w:t>Transition (5.16 GeV)</w:t>
            </w:r>
          </w:p>
        </w:tc>
        <w:tc>
          <w:tcPr>
            <w:tcW w:w="1246" w:type="dxa"/>
          </w:tcPr>
          <w:p w14:paraId="1452A850"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kern w:val="24"/>
                <w:sz w:val="22"/>
                <w:szCs w:val="22"/>
              </w:rPr>
              <w:t>1.608</w:t>
            </w:r>
          </w:p>
        </w:tc>
        <w:tc>
          <w:tcPr>
            <w:tcW w:w="1406" w:type="dxa"/>
          </w:tcPr>
          <w:p w14:paraId="420FD430"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kern w:val="24"/>
                <w:sz w:val="22"/>
                <w:szCs w:val="22"/>
              </w:rPr>
              <w:t>0.3-0.6</w:t>
            </w:r>
          </w:p>
        </w:tc>
        <w:tc>
          <w:tcPr>
            <w:tcW w:w="1204" w:type="dxa"/>
          </w:tcPr>
          <w:p w14:paraId="744C0815"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2.2-3.2</w:t>
            </w:r>
          </w:p>
        </w:tc>
        <w:tc>
          <w:tcPr>
            <w:tcW w:w="1659" w:type="dxa"/>
          </w:tcPr>
          <w:p w14:paraId="23DEF4E2" w14:textId="38078C39"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8.27</w:t>
            </w:r>
            <w:r w:rsidR="00F736A2">
              <w:rPr>
                <w:rFonts w:ascii="Times New Roman" w:hAnsi="Times New Roman" w:cs="Times New Roman"/>
                <w:color w:val="auto"/>
                <w:sz w:val="22"/>
                <w:szCs w:val="22"/>
              </w:rPr>
              <w:t>e10</w:t>
            </w:r>
          </w:p>
        </w:tc>
        <w:tc>
          <w:tcPr>
            <w:tcW w:w="1508" w:type="dxa"/>
          </w:tcPr>
          <w:p w14:paraId="3B654144" w14:textId="77777777" w:rsidR="00B74E36" w:rsidRPr="005129B2" w:rsidRDefault="00B74E36" w:rsidP="00B74E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129B2">
              <w:rPr>
                <w:rFonts w:ascii="Times New Roman" w:hAnsi="Times New Roman" w:cs="Times New Roman"/>
                <w:color w:val="auto"/>
                <w:sz w:val="22"/>
                <w:szCs w:val="22"/>
              </w:rPr>
              <w:t>18.9</w:t>
            </w:r>
          </w:p>
        </w:tc>
      </w:tr>
    </w:tbl>
    <w:p w14:paraId="3646D207" w14:textId="39462025" w:rsidR="00B74E36" w:rsidRPr="005129B2" w:rsidRDefault="00B74E36" w:rsidP="00B74E36">
      <w:pPr>
        <w:rPr>
          <w:sz w:val="21"/>
          <w:szCs w:val="21"/>
        </w:rPr>
      </w:pPr>
      <w:r w:rsidRPr="005129B2">
        <w:rPr>
          <w:sz w:val="21"/>
          <w:szCs w:val="21"/>
        </w:rPr>
        <w:t xml:space="preserve">* </w:t>
      </w:r>
      <w:r w:rsidR="00F479E9" w:rsidRPr="005129B2">
        <w:rPr>
          <w:sz w:val="21"/>
          <w:szCs w:val="21"/>
        </w:rPr>
        <w:t xml:space="preserve">Eq. </w:t>
      </w:r>
      <w:r w:rsidR="00F479E9" w:rsidRPr="005129B2">
        <w:rPr>
          <w:sz w:val="21"/>
          <w:szCs w:val="21"/>
        </w:rPr>
        <w:fldChar w:fldCharType="begin"/>
      </w:r>
      <w:r w:rsidR="00F479E9" w:rsidRPr="005129B2">
        <w:rPr>
          <w:sz w:val="21"/>
          <w:szCs w:val="21"/>
        </w:rPr>
        <w:instrText xml:space="preserve"> REF _Ref46925230 \h </w:instrText>
      </w:r>
      <w:r w:rsidR="009E5A12" w:rsidRPr="005129B2">
        <w:rPr>
          <w:sz w:val="21"/>
          <w:szCs w:val="21"/>
        </w:rPr>
        <w:instrText xml:space="preserve"> \* MERGEFORMAT </w:instrText>
      </w:r>
      <w:r w:rsidR="00F479E9" w:rsidRPr="005129B2">
        <w:rPr>
          <w:sz w:val="21"/>
          <w:szCs w:val="21"/>
        </w:rPr>
      </w:r>
      <w:r w:rsidR="00F479E9" w:rsidRPr="005129B2">
        <w:rPr>
          <w:sz w:val="21"/>
          <w:szCs w:val="21"/>
        </w:rPr>
        <w:fldChar w:fldCharType="separate"/>
      </w:r>
      <w:r w:rsidR="00F479E9" w:rsidRPr="005129B2">
        <w:rPr>
          <w:sz w:val="21"/>
          <w:szCs w:val="21"/>
        </w:rPr>
        <w:t>(</w:t>
      </w:r>
      <w:r w:rsidR="00F479E9" w:rsidRPr="005129B2">
        <w:rPr>
          <w:noProof/>
          <w:sz w:val="21"/>
          <w:szCs w:val="21"/>
        </w:rPr>
        <w:t>8</w:t>
      </w:r>
      <w:r w:rsidR="00F479E9" w:rsidRPr="005129B2">
        <w:rPr>
          <w:sz w:val="21"/>
          <w:szCs w:val="21"/>
        </w:rPr>
        <w:fldChar w:fldCharType="end"/>
      </w:r>
      <w:r w:rsidR="00F479E9" w:rsidRPr="005129B2">
        <w:rPr>
          <w:sz w:val="21"/>
          <w:szCs w:val="21"/>
        </w:rPr>
        <w:fldChar w:fldCharType="begin"/>
      </w:r>
      <w:r w:rsidR="00F479E9" w:rsidRPr="005129B2">
        <w:rPr>
          <w:sz w:val="21"/>
          <w:szCs w:val="21"/>
        </w:rPr>
        <w:instrText xml:space="preserve"> REF _Ref46925236 \h </w:instrText>
      </w:r>
      <w:r w:rsidR="009E5A12" w:rsidRPr="005129B2">
        <w:rPr>
          <w:sz w:val="21"/>
          <w:szCs w:val="21"/>
        </w:rPr>
        <w:instrText xml:space="preserve"> \* MERGEFORMAT </w:instrText>
      </w:r>
      <w:r w:rsidR="00F479E9" w:rsidRPr="005129B2">
        <w:rPr>
          <w:sz w:val="21"/>
          <w:szCs w:val="21"/>
        </w:rPr>
      </w:r>
      <w:r w:rsidR="00F479E9" w:rsidRPr="005129B2">
        <w:rPr>
          <w:sz w:val="21"/>
          <w:szCs w:val="21"/>
        </w:rPr>
        <w:fldChar w:fldCharType="separate"/>
      </w:r>
      <w:r w:rsidR="00F479E9" w:rsidRPr="005129B2">
        <w:rPr>
          <w:sz w:val="21"/>
          <w:szCs w:val="21"/>
        </w:rPr>
        <w:t>)</w:t>
      </w:r>
      <w:r w:rsidR="00F479E9" w:rsidRPr="005129B2">
        <w:rPr>
          <w:sz w:val="21"/>
          <w:szCs w:val="21"/>
        </w:rPr>
        <w:fldChar w:fldCharType="end"/>
      </w:r>
      <w:r w:rsidR="00285B6F" w:rsidRPr="005129B2">
        <w:rPr>
          <w:sz w:val="21"/>
          <w:szCs w:val="21"/>
        </w:rPr>
        <w:t xml:space="preserve"> is used here.</w:t>
      </w:r>
    </w:p>
    <w:p w14:paraId="6679B1D8" w14:textId="77777777" w:rsidR="00BB5F4F" w:rsidRDefault="00086841" w:rsidP="00F135C7">
      <w:pPr>
        <w:keepNext/>
        <w:jc w:val="center"/>
      </w:pPr>
      <w:r w:rsidRPr="00086841">
        <w:rPr>
          <w:noProof/>
        </w:rPr>
        <w:drawing>
          <wp:inline distT="0" distB="0" distL="0" distR="0" wp14:anchorId="59E3124B" wp14:editId="40EE93A0">
            <wp:extent cx="5217459" cy="3214941"/>
            <wp:effectExtent l="0" t="0" r="2540" b="0"/>
            <wp:docPr id="18" name="Picture 17">
              <a:extLst xmlns:a="http://schemas.openxmlformats.org/drawingml/2006/main">
                <a:ext uri="{FF2B5EF4-FFF2-40B4-BE49-F238E27FC236}">
                  <a16:creationId xmlns:a16="http://schemas.microsoft.com/office/drawing/2014/main" id="{284A0283-2624-4E32-BE9F-F5BCE2B62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284A0283-2624-4E32-BE9F-F5BCE2B62CC2}"/>
                        </a:ext>
                      </a:extLst>
                    </pic:cNvPr>
                    <pic:cNvPicPr>
                      <a:picLocks noChangeAspect="1"/>
                    </pic:cNvPicPr>
                  </pic:nvPicPr>
                  <pic:blipFill>
                    <a:blip r:embed="rId9"/>
                    <a:stretch>
                      <a:fillRect/>
                    </a:stretch>
                  </pic:blipFill>
                  <pic:spPr>
                    <a:xfrm>
                      <a:off x="0" y="0"/>
                      <a:ext cx="5288015" cy="3258417"/>
                    </a:xfrm>
                    <a:prstGeom prst="rect">
                      <a:avLst/>
                    </a:prstGeom>
                  </pic:spPr>
                </pic:pic>
              </a:graphicData>
            </a:graphic>
          </wp:inline>
        </w:drawing>
      </w:r>
    </w:p>
    <w:p w14:paraId="65A88C80" w14:textId="4AF78B04" w:rsidR="00BB5F4F" w:rsidRDefault="00BB5F4F" w:rsidP="00BB5F4F">
      <w:pPr>
        <w:pStyle w:val="Caption"/>
      </w:pPr>
      <w:bookmarkStart w:id="13" w:name="_Ref46920256"/>
      <w:r>
        <w:t xml:space="preserve">Figure </w:t>
      </w:r>
      <w:r w:rsidR="00343F14">
        <w:fldChar w:fldCharType="begin"/>
      </w:r>
      <w:r w:rsidR="00343F14">
        <w:instrText xml:space="preserve"> SEQ Figure \* ARABIC </w:instrText>
      </w:r>
      <w:r w:rsidR="00343F14">
        <w:fldChar w:fldCharType="separate"/>
      </w:r>
      <w:r w:rsidR="00F479E9">
        <w:rPr>
          <w:noProof/>
        </w:rPr>
        <w:t>2</w:t>
      </w:r>
      <w:r w:rsidR="00343F14">
        <w:rPr>
          <w:noProof/>
        </w:rPr>
        <w:fldChar w:fldCharType="end"/>
      </w:r>
      <w:bookmarkEnd w:id="13"/>
      <w:r>
        <w:t xml:space="preserve">: </w:t>
      </w:r>
      <w:r w:rsidRPr="00BB5F4F">
        <w:t>Booster bunch structures for PIP conditions from measurement data at about 5.16 GeV where the bunch length is minimum.</w:t>
      </w:r>
    </w:p>
    <w:p w14:paraId="7F9B9D1B" w14:textId="77777777" w:rsidR="00160DCF" w:rsidRPr="001C1B1C" w:rsidRDefault="00160DCF" w:rsidP="001C1B1C"/>
    <w:sectPr w:rsidR="00160DCF" w:rsidRPr="001C1B1C">
      <w:footerReference w:type="default" r:id="rId10"/>
      <w:pgSz w:w="12240" w:h="15840"/>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6255" w14:textId="77777777" w:rsidR="00423D39" w:rsidRDefault="00423D39">
      <w:pPr>
        <w:spacing w:after="0" w:line="240" w:lineRule="auto"/>
      </w:pPr>
      <w:r>
        <w:separator/>
      </w:r>
    </w:p>
    <w:p w14:paraId="3796FD3E" w14:textId="77777777" w:rsidR="00423D39" w:rsidRDefault="00423D39"/>
    <w:p w14:paraId="367E0D5D" w14:textId="77777777" w:rsidR="00423D39" w:rsidRDefault="00423D39"/>
  </w:endnote>
  <w:endnote w:type="continuationSeparator" w:id="0">
    <w:p w14:paraId="780DB3E4" w14:textId="77777777" w:rsidR="00423D39" w:rsidRDefault="00423D39">
      <w:pPr>
        <w:spacing w:after="0" w:line="240" w:lineRule="auto"/>
      </w:pPr>
      <w:r>
        <w:continuationSeparator/>
      </w:r>
    </w:p>
    <w:p w14:paraId="40BB266B" w14:textId="77777777" w:rsidR="00423D39" w:rsidRDefault="00423D39"/>
    <w:p w14:paraId="66BDA29F" w14:textId="77777777" w:rsidR="00423D39" w:rsidRDefault="0042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635894"/>
      <w:docPartObj>
        <w:docPartGallery w:val="Page Numbers (Bottom of Page)"/>
        <w:docPartUnique/>
      </w:docPartObj>
    </w:sdtPr>
    <w:sdtEndPr>
      <w:rPr>
        <w:noProof/>
      </w:rPr>
    </w:sdtEndPr>
    <w:sdtContent>
      <w:p w14:paraId="21F8223C" w14:textId="77777777" w:rsidR="00661E0E" w:rsidRDefault="00661E0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90D3E" w14:textId="77777777" w:rsidR="00423D39" w:rsidRDefault="00423D39">
      <w:pPr>
        <w:spacing w:after="0" w:line="240" w:lineRule="auto"/>
      </w:pPr>
      <w:r>
        <w:separator/>
      </w:r>
    </w:p>
    <w:p w14:paraId="0C1DE755" w14:textId="77777777" w:rsidR="00423D39" w:rsidRDefault="00423D39"/>
    <w:p w14:paraId="72405941" w14:textId="77777777" w:rsidR="00423D39" w:rsidRDefault="00423D39"/>
  </w:footnote>
  <w:footnote w:type="continuationSeparator" w:id="0">
    <w:p w14:paraId="6DFFE188" w14:textId="77777777" w:rsidR="00423D39" w:rsidRDefault="00423D39">
      <w:pPr>
        <w:spacing w:after="0" w:line="240" w:lineRule="auto"/>
      </w:pPr>
      <w:r>
        <w:continuationSeparator/>
      </w:r>
    </w:p>
    <w:p w14:paraId="0C7C1672" w14:textId="77777777" w:rsidR="00423D39" w:rsidRDefault="00423D39"/>
    <w:p w14:paraId="0F75C698" w14:textId="77777777" w:rsidR="00423D39" w:rsidRDefault="00423D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16DB"/>
    <w:multiLevelType w:val="hybridMultilevel"/>
    <w:tmpl w:val="9724C618"/>
    <w:lvl w:ilvl="0" w:tplc="E45ADDCC">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D2546"/>
    <w:multiLevelType w:val="hybridMultilevel"/>
    <w:tmpl w:val="6C00A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0041"/>
    <w:multiLevelType w:val="hybridMultilevel"/>
    <w:tmpl w:val="C8BA4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C3BF3"/>
    <w:multiLevelType w:val="hybridMultilevel"/>
    <w:tmpl w:val="16844760"/>
    <w:lvl w:ilvl="0" w:tplc="425E5DC0">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B0DF6"/>
    <w:multiLevelType w:val="hybridMultilevel"/>
    <w:tmpl w:val="B060EBF2"/>
    <w:lvl w:ilvl="0" w:tplc="B42C83FA">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161C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56DC6"/>
    <w:multiLevelType w:val="hybridMultilevel"/>
    <w:tmpl w:val="2BA84614"/>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2" w15:restartNumberingAfterBreak="0">
    <w:nsid w:val="64D206BD"/>
    <w:multiLevelType w:val="hybridMultilevel"/>
    <w:tmpl w:val="6E7CE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20"/>
  </w:num>
  <w:num w:numId="4">
    <w:abstractNumId w:val="17"/>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3"/>
  </w:num>
  <w:num w:numId="17">
    <w:abstractNumId w:val="19"/>
  </w:num>
  <w:num w:numId="18">
    <w:abstractNumId w:val="22"/>
  </w:num>
  <w:num w:numId="19">
    <w:abstractNumId w:val="21"/>
  </w:num>
  <w:num w:numId="20">
    <w:abstractNumId w:val="11"/>
  </w:num>
  <w:num w:numId="21">
    <w:abstractNumId w:val="10"/>
  </w:num>
  <w:num w:numId="22">
    <w:abstractNumId w:val="15"/>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40"/>
    <w:rsid w:val="00002418"/>
    <w:rsid w:val="00007C64"/>
    <w:rsid w:val="0002704D"/>
    <w:rsid w:val="00071564"/>
    <w:rsid w:val="00073BA2"/>
    <w:rsid w:val="000845FC"/>
    <w:rsid w:val="00086841"/>
    <w:rsid w:val="00091AF7"/>
    <w:rsid w:val="000930D0"/>
    <w:rsid w:val="00094FD5"/>
    <w:rsid w:val="000A3128"/>
    <w:rsid w:val="000A5B40"/>
    <w:rsid w:val="000B646C"/>
    <w:rsid w:val="000C2E32"/>
    <w:rsid w:val="000C5A47"/>
    <w:rsid w:val="000C663B"/>
    <w:rsid w:val="000D5154"/>
    <w:rsid w:val="000D5910"/>
    <w:rsid w:val="000D7A82"/>
    <w:rsid w:val="000E1E3B"/>
    <w:rsid w:val="000F7A92"/>
    <w:rsid w:val="00116852"/>
    <w:rsid w:val="00117AC1"/>
    <w:rsid w:val="00123CDA"/>
    <w:rsid w:val="001254C6"/>
    <w:rsid w:val="00126061"/>
    <w:rsid w:val="001301CA"/>
    <w:rsid w:val="0015140B"/>
    <w:rsid w:val="00151B20"/>
    <w:rsid w:val="00154125"/>
    <w:rsid w:val="00160DCF"/>
    <w:rsid w:val="00166DBB"/>
    <w:rsid w:val="00177598"/>
    <w:rsid w:val="00194EBF"/>
    <w:rsid w:val="001B405D"/>
    <w:rsid w:val="001B4833"/>
    <w:rsid w:val="001B48D0"/>
    <w:rsid w:val="001B584B"/>
    <w:rsid w:val="001C1B1C"/>
    <w:rsid w:val="001C6BE2"/>
    <w:rsid w:val="001E36BA"/>
    <w:rsid w:val="001F1425"/>
    <w:rsid w:val="0020467F"/>
    <w:rsid w:val="00226909"/>
    <w:rsid w:val="002334FA"/>
    <w:rsid w:val="00243A84"/>
    <w:rsid w:val="00244A8C"/>
    <w:rsid w:val="00246F8D"/>
    <w:rsid w:val="00253382"/>
    <w:rsid w:val="0026418E"/>
    <w:rsid w:val="00267BE6"/>
    <w:rsid w:val="00280D1A"/>
    <w:rsid w:val="002815D0"/>
    <w:rsid w:val="002852F2"/>
    <w:rsid w:val="00285B6F"/>
    <w:rsid w:val="002879CE"/>
    <w:rsid w:val="00293DCA"/>
    <w:rsid w:val="002A72AC"/>
    <w:rsid w:val="002D68C9"/>
    <w:rsid w:val="002F29B2"/>
    <w:rsid w:val="002F4AF0"/>
    <w:rsid w:val="002F66A8"/>
    <w:rsid w:val="003032C9"/>
    <w:rsid w:val="0031118F"/>
    <w:rsid w:val="00320A08"/>
    <w:rsid w:val="00320BF5"/>
    <w:rsid w:val="0032506F"/>
    <w:rsid w:val="0032546E"/>
    <w:rsid w:val="00333705"/>
    <w:rsid w:val="00333AE1"/>
    <w:rsid w:val="003344F1"/>
    <w:rsid w:val="0033696B"/>
    <w:rsid w:val="003414E7"/>
    <w:rsid w:val="00343F14"/>
    <w:rsid w:val="00344BCB"/>
    <w:rsid w:val="00364D83"/>
    <w:rsid w:val="00367156"/>
    <w:rsid w:val="0037663C"/>
    <w:rsid w:val="00385245"/>
    <w:rsid w:val="00391872"/>
    <w:rsid w:val="003944E3"/>
    <w:rsid w:val="00395A28"/>
    <w:rsid w:val="003A2583"/>
    <w:rsid w:val="003B3090"/>
    <w:rsid w:val="003B34CE"/>
    <w:rsid w:val="003C075F"/>
    <w:rsid w:val="003C0ED0"/>
    <w:rsid w:val="003C7491"/>
    <w:rsid w:val="003D0890"/>
    <w:rsid w:val="003D5FB0"/>
    <w:rsid w:val="003E0202"/>
    <w:rsid w:val="003E75AB"/>
    <w:rsid w:val="003F071D"/>
    <w:rsid w:val="003F1325"/>
    <w:rsid w:val="003F289A"/>
    <w:rsid w:val="003F606D"/>
    <w:rsid w:val="00406422"/>
    <w:rsid w:val="0040656A"/>
    <w:rsid w:val="004109E0"/>
    <w:rsid w:val="00411AC1"/>
    <w:rsid w:val="0041260C"/>
    <w:rsid w:val="00423D39"/>
    <w:rsid w:val="00424AFB"/>
    <w:rsid w:val="004315C2"/>
    <w:rsid w:val="004357D4"/>
    <w:rsid w:val="0043638B"/>
    <w:rsid w:val="0045791C"/>
    <w:rsid w:val="00460AFA"/>
    <w:rsid w:val="004646BE"/>
    <w:rsid w:val="0046590C"/>
    <w:rsid w:val="00466157"/>
    <w:rsid w:val="00482C8B"/>
    <w:rsid w:val="0048674B"/>
    <w:rsid w:val="0049651E"/>
    <w:rsid w:val="00496DC9"/>
    <w:rsid w:val="0049736B"/>
    <w:rsid w:val="004A0B35"/>
    <w:rsid w:val="004A4C75"/>
    <w:rsid w:val="004A585A"/>
    <w:rsid w:val="004B2B85"/>
    <w:rsid w:val="004B725D"/>
    <w:rsid w:val="004C062F"/>
    <w:rsid w:val="004C57B1"/>
    <w:rsid w:val="004C5986"/>
    <w:rsid w:val="004D1E3B"/>
    <w:rsid w:val="004E1092"/>
    <w:rsid w:val="004F48D1"/>
    <w:rsid w:val="004F7739"/>
    <w:rsid w:val="00501DA7"/>
    <w:rsid w:val="00510F10"/>
    <w:rsid w:val="00511A37"/>
    <w:rsid w:val="00512164"/>
    <w:rsid w:val="005129B2"/>
    <w:rsid w:val="00540E34"/>
    <w:rsid w:val="005427B7"/>
    <w:rsid w:val="00544F54"/>
    <w:rsid w:val="005629CB"/>
    <w:rsid w:val="00570219"/>
    <w:rsid w:val="00570CA9"/>
    <w:rsid w:val="00583038"/>
    <w:rsid w:val="00587637"/>
    <w:rsid w:val="00595A12"/>
    <w:rsid w:val="005A0A59"/>
    <w:rsid w:val="005A58C4"/>
    <w:rsid w:val="005A5A19"/>
    <w:rsid w:val="005A647B"/>
    <w:rsid w:val="005B08DC"/>
    <w:rsid w:val="005B0B8B"/>
    <w:rsid w:val="005B599A"/>
    <w:rsid w:val="005C0B6B"/>
    <w:rsid w:val="005C0E0B"/>
    <w:rsid w:val="005D4672"/>
    <w:rsid w:val="005E2463"/>
    <w:rsid w:val="005F0CB6"/>
    <w:rsid w:val="005F2D75"/>
    <w:rsid w:val="005F7BCF"/>
    <w:rsid w:val="00603271"/>
    <w:rsid w:val="006072A8"/>
    <w:rsid w:val="0062156E"/>
    <w:rsid w:val="00625F32"/>
    <w:rsid w:val="00633EF1"/>
    <w:rsid w:val="00643F97"/>
    <w:rsid w:val="00646C47"/>
    <w:rsid w:val="00654E6F"/>
    <w:rsid w:val="00661E0E"/>
    <w:rsid w:val="006641AC"/>
    <w:rsid w:val="006657EB"/>
    <w:rsid w:val="00672ADF"/>
    <w:rsid w:val="00675961"/>
    <w:rsid w:val="0068567A"/>
    <w:rsid w:val="00686ACB"/>
    <w:rsid w:val="006901F2"/>
    <w:rsid w:val="006A10D3"/>
    <w:rsid w:val="006B3E6A"/>
    <w:rsid w:val="006B64FA"/>
    <w:rsid w:val="006C2963"/>
    <w:rsid w:val="006C2A08"/>
    <w:rsid w:val="006C7C90"/>
    <w:rsid w:val="006E4671"/>
    <w:rsid w:val="006E5B1F"/>
    <w:rsid w:val="006F3164"/>
    <w:rsid w:val="006F63C1"/>
    <w:rsid w:val="00705B24"/>
    <w:rsid w:val="0072292A"/>
    <w:rsid w:val="00733BF7"/>
    <w:rsid w:val="00735341"/>
    <w:rsid w:val="00745818"/>
    <w:rsid w:val="007622FC"/>
    <w:rsid w:val="00774C6B"/>
    <w:rsid w:val="00781DC4"/>
    <w:rsid w:val="007952B2"/>
    <w:rsid w:val="00796AE3"/>
    <w:rsid w:val="007A1E2B"/>
    <w:rsid w:val="007A2ECF"/>
    <w:rsid w:val="007A79A6"/>
    <w:rsid w:val="007C6E71"/>
    <w:rsid w:val="007C72A5"/>
    <w:rsid w:val="007F1823"/>
    <w:rsid w:val="00802C8D"/>
    <w:rsid w:val="008129E9"/>
    <w:rsid w:val="008152E1"/>
    <w:rsid w:val="00823B69"/>
    <w:rsid w:val="00835443"/>
    <w:rsid w:val="00836F30"/>
    <w:rsid w:val="00841362"/>
    <w:rsid w:val="00844013"/>
    <w:rsid w:val="008748D0"/>
    <w:rsid w:val="00882B26"/>
    <w:rsid w:val="00890A3A"/>
    <w:rsid w:val="008A195A"/>
    <w:rsid w:val="008B1137"/>
    <w:rsid w:val="008D17D0"/>
    <w:rsid w:val="008D3941"/>
    <w:rsid w:val="008D4507"/>
    <w:rsid w:val="008D4C36"/>
    <w:rsid w:val="008E3CDD"/>
    <w:rsid w:val="008E59F0"/>
    <w:rsid w:val="008E6AC4"/>
    <w:rsid w:val="00903C45"/>
    <w:rsid w:val="0090428A"/>
    <w:rsid w:val="00911D08"/>
    <w:rsid w:val="009150C7"/>
    <w:rsid w:val="009151D0"/>
    <w:rsid w:val="00917D82"/>
    <w:rsid w:val="00945A0E"/>
    <w:rsid w:val="00954851"/>
    <w:rsid w:val="00966CB6"/>
    <w:rsid w:val="00966EFF"/>
    <w:rsid w:val="00974B8F"/>
    <w:rsid w:val="00976F0D"/>
    <w:rsid w:val="00984DE7"/>
    <w:rsid w:val="00986BA2"/>
    <w:rsid w:val="009A2E48"/>
    <w:rsid w:val="009B05CF"/>
    <w:rsid w:val="009B139C"/>
    <w:rsid w:val="009B24A3"/>
    <w:rsid w:val="009B4193"/>
    <w:rsid w:val="009C6683"/>
    <w:rsid w:val="009D05D0"/>
    <w:rsid w:val="009D0876"/>
    <w:rsid w:val="009E3DE5"/>
    <w:rsid w:val="009E5A12"/>
    <w:rsid w:val="009F0D90"/>
    <w:rsid w:val="009F1A34"/>
    <w:rsid w:val="009F3295"/>
    <w:rsid w:val="009F5E18"/>
    <w:rsid w:val="00A02558"/>
    <w:rsid w:val="00A10F85"/>
    <w:rsid w:val="00A17791"/>
    <w:rsid w:val="00A2054E"/>
    <w:rsid w:val="00A20D79"/>
    <w:rsid w:val="00A3165E"/>
    <w:rsid w:val="00A43BCA"/>
    <w:rsid w:val="00A4511E"/>
    <w:rsid w:val="00A47F16"/>
    <w:rsid w:val="00A526C0"/>
    <w:rsid w:val="00A615F8"/>
    <w:rsid w:val="00A71506"/>
    <w:rsid w:val="00A80DF5"/>
    <w:rsid w:val="00A866A0"/>
    <w:rsid w:val="00A96CB6"/>
    <w:rsid w:val="00AB05EC"/>
    <w:rsid w:val="00AC78AD"/>
    <w:rsid w:val="00AD212D"/>
    <w:rsid w:val="00AD7804"/>
    <w:rsid w:val="00AF086F"/>
    <w:rsid w:val="00AF569C"/>
    <w:rsid w:val="00B05C1C"/>
    <w:rsid w:val="00B068F8"/>
    <w:rsid w:val="00B1305D"/>
    <w:rsid w:val="00B144E9"/>
    <w:rsid w:val="00B274E0"/>
    <w:rsid w:val="00B3350A"/>
    <w:rsid w:val="00B74E36"/>
    <w:rsid w:val="00B75A97"/>
    <w:rsid w:val="00B83E9F"/>
    <w:rsid w:val="00B849FC"/>
    <w:rsid w:val="00B91130"/>
    <w:rsid w:val="00B912B8"/>
    <w:rsid w:val="00B9548B"/>
    <w:rsid w:val="00BA1B50"/>
    <w:rsid w:val="00BA4383"/>
    <w:rsid w:val="00BB0FE1"/>
    <w:rsid w:val="00BB2CAB"/>
    <w:rsid w:val="00BB5CED"/>
    <w:rsid w:val="00BB5F4F"/>
    <w:rsid w:val="00BC27B1"/>
    <w:rsid w:val="00BF34FD"/>
    <w:rsid w:val="00BF60E4"/>
    <w:rsid w:val="00C00342"/>
    <w:rsid w:val="00C005D0"/>
    <w:rsid w:val="00C006DE"/>
    <w:rsid w:val="00C04FCB"/>
    <w:rsid w:val="00C2575F"/>
    <w:rsid w:val="00C425EF"/>
    <w:rsid w:val="00C53C9B"/>
    <w:rsid w:val="00C80E86"/>
    <w:rsid w:val="00C840B6"/>
    <w:rsid w:val="00C9164B"/>
    <w:rsid w:val="00C91C5D"/>
    <w:rsid w:val="00CB1D83"/>
    <w:rsid w:val="00CB63D3"/>
    <w:rsid w:val="00CB7B9A"/>
    <w:rsid w:val="00CC0600"/>
    <w:rsid w:val="00CC787F"/>
    <w:rsid w:val="00CE1C50"/>
    <w:rsid w:val="00CE7CEC"/>
    <w:rsid w:val="00D014EA"/>
    <w:rsid w:val="00D15422"/>
    <w:rsid w:val="00D15E49"/>
    <w:rsid w:val="00D51F92"/>
    <w:rsid w:val="00D63B19"/>
    <w:rsid w:val="00D65D01"/>
    <w:rsid w:val="00D73F9B"/>
    <w:rsid w:val="00D74F35"/>
    <w:rsid w:val="00D81575"/>
    <w:rsid w:val="00D942CF"/>
    <w:rsid w:val="00D95A16"/>
    <w:rsid w:val="00DA2EDB"/>
    <w:rsid w:val="00DA3309"/>
    <w:rsid w:val="00DA3FF8"/>
    <w:rsid w:val="00DA5880"/>
    <w:rsid w:val="00DA6213"/>
    <w:rsid w:val="00DC6DDB"/>
    <w:rsid w:val="00DD4F22"/>
    <w:rsid w:val="00DD5CF4"/>
    <w:rsid w:val="00DE1F49"/>
    <w:rsid w:val="00DE5496"/>
    <w:rsid w:val="00DE5AD7"/>
    <w:rsid w:val="00DF0687"/>
    <w:rsid w:val="00DF5B54"/>
    <w:rsid w:val="00E0145D"/>
    <w:rsid w:val="00E0674A"/>
    <w:rsid w:val="00E10E68"/>
    <w:rsid w:val="00E113DB"/>
    <w:rsid w:val="00E13A7F"/>
    <w:rsid w:val="00E21E7A"/>
    <w:rsid w:val="00E22DA9"/>
    <w:rsid w:val="00E27883"/>
    <w:rsid w:val="00E35066"/>
    <w:rsid w:val="00E3572E"/>
    <w:rsid w:val="00E56266"/>
    <w:rsid w:val="00E576EE"/>
    <w:rsid w:val="00E609F6"/>
    <w:rsid w:val="00E63250"/>
    <w:rsid w:val="00E640C7"/>
    <w:rsid w:val="00E65B95"/>
    <w:rsid w:val="00E7209B"/>
    <w:rsid w:val="00E721FD"/>
    <w:rsid w:val="00E84F73"/>
    <w:rsid w:val="00E853C6"/>
    <w:rsid w:val="00E87004"/>
    <w:rsid w:val="00E9037E"/>
    <w:rsid w:val="00EA0192"/>
    <w:rsid w:val="00EA1CCF"/>
    <w:rsid w:val="00EA6AFE"/>
    <w:rsid w:val="00EB0DE4"/>
    <w:rsid w:val="00EB3137"/>
    <w:rsid w:val="00EB44C8"/>
    <w:rsid w:val="00EB6DF6"/>
    <w:rsid w:val="00EC2314"/>
    <w:rsid w:val="00ED2A34"/>
    <w:rsid w:val="00ED3AD6"/>
    <w:rsid w:val="00ED505C"/>
    <w:rsid w:val="00ED51E1"/>
    <w:rsid w:val="00EE15E8"/>
    <w:rsid w:val="00EE6AE5"/>
    <w:rsid w:val="00EE73A8"/>
    <w:rsid w:val="00EF1AD5"/>
    <w:rsid w:val="00EF564E"/>
    <w:rsid w:val="00EF5C1C"/>
    <w:rsid w:val="00EF6857"/>
    <w:rsid w:val="00F01932"/>
    <w:rsid w:val="00F067ED"/>
    <w:rsid w:val="00F135C7"/>
    <w:rsid w:val="00F355D8"/>
    <w:rsid w:val="00F479E9"/>
    <w:rsid w:val="00F55F26"/>
    <w:rsid w:val="00F56EC0"/>
    <w:rsid w:val="00F736A2"/>
    <w:rsid w:val="00F73CF0"/>
    <w:rsid w:val="00F778C1"/>
    <w:rsid w:val="00F851B4"/>
    <w:rsid w:val="00FA11AB"/>
    <w:rsid w:val="00FC39E1"/>
    <w:rsid w:val="00FC55F4"/>
    <w:rsid w:val="00FD3AA9"/>
    <w:rsid w:val="00FD425A"/>
    <w:rsid w:val="00FD6308"/>
    <w:rsid w:val="00FD7B62"/>
    <w:rsid w:val="00FE509D"/>
    <w:rsid w:val="00FE6677"/>
    <w:rsid w:val="00FF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8AC15"/>
  <w15:chartTrackingRefBased/>
  <w15:docId w15:val="{EB703F33-AA1A-0C4C-8D8E-6254D091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7"/>
      </w:numPr>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numPr>
        <w:ilvl w:val="1"/>
        <w:numId w:val="17"/>
      </w:numPr>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unhideWhenUsed/>
    <w:qFormat/>
    <w:pPr>
      <w:keepNext/>
      <w:keepLines/>
      <w:numPr>
        <w:ilvl w:val="2"/>
        <w:numId w:val="17"/>
      </w:numPr>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unhideWhenUsed/>
    <w:qFormat/>
    <w:pPr>
      <w:keepNext/>
      <w:keepLines/>
      <w:numPr>
        <w:ilvl w:val="3"/>
        <w:numId w:val="17"/>
      </w:numPr>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numPr>
        <w:ilvl w:val="4"/>
        <w:numId w:val="17"/>
      </w:numPr>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numPr>
        <w:ilvl w:val="5"/>
        <w:numId w:val="17"/>
      </w:numPr>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numPr>
        <w:ilvl w:val="6"/>
        <w:numId w:val="17"/>
      </w:numPr>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numPr>
        <w:ilvl w:val="7"/>
        <w:numId w:val="17"/>
      </w:numPr>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30"/>
    </w:rPr>
  </w:style>
  <w:style w:type="character" w:styleId="Hyperlink">
    <w:name w:val="Hyperlink"/>
    <w:basedOn w:val="DefaultParagraphFont"/>
    <w:uiPriority w:val="99"/>
    <w:unhideWhenUsed/>
    <w:rsid w:val="00841362"/>
    <w:rPr>
      <w:color w:val="5E9EA1" w:themeColor="hyperlink"/>
      <w:u w:val="single"/>
    </w:rPr>
  </w:style>
  <w:style w:type="character" w:styleId="UnresolvedMention">
    <w:name w:val="Unresolved Mention"/>
    <w:basedOn w:val="DefaultParagraphFont"/>
    <w:uiPriority w:val="99"/>
    <w:semiHidden/>
    <w:unhideWhenUsed/>
    <w:rsid w:val="00841362"/>
    <w:rPr>
      <w:color w:val="605E5C"/>
      <w:shd w:val="clear" w:color="auto" w:fill="E1DFDD"/>
    </w:rPr>
  </w:style>
  <w:style w:type="paragraph" w:styleId="Bibliography">
    <w:name w:val="Bibliography"/>
    <w:basedOn w:val="Normal"/>
    <w:next w:val="Normal"/>
    <w:uiPriority w:val="37"/>
    <w:unhideWhenUsed/>
    <w:rsid w:val="00512164"/>
  </w:style>
  <w:style w:type="paragraph" w:styleId="ListParagraph">
    <w:name w:val="List Paragraph"/>
    <w:basedOn w:val="Normal"/>
    <w:uiPriority w:val="34"/>
    <w:unhideWhenUsed/>
    <w:qFormat/>
    <w:rsid w:val="002879CE"/>
    <w:pPr>
      <w:ind w:left="720"/>
      <w:contextualSpacing/>
    </w:pPr>
  </w:style>
  <w:style w:type="paragraph" w:styleId="BalloonText">
    <w:name w:val="Balloon Text"/>
    <w:basedOn w:val="Normal"/>
    <w:link w:val="BalloonTextChar"/>
    <w:uiPriority w:val="99"/>
    <w:semiHidden/>
    <w:unhideWhenUsed/>
    <w:rsid w:val="009B05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5CF"/>
    <w:rPr>
      <w:rFonts w:ascii="Times New Roman" w:hAnsi="Times New Roman" w:cs="Times New Roman"/>
      <w:sz w:val="18"/>
      <w:szCs w:val="18"/>
    </w:rPr>
  </w:style>
  <w:style w:type="table" w:styleId="GridTable1Light-Accent1">
    <w:name w:val="Grid Table 1 Light Accent 1"/>
    <w:basedOn w:val="TableNormal"/>
    <w:uiPriority w:val="46"/>
    <w:rsid w:val="009C6683"/>
    <w:pPr>
      <w:spacing w:after="0" w:line="240" w:lineRule="auto"/>
    </w:pPr>
    <w:tblPr>
      <w:tblStyleRowBandSize w:val="1"/>
      <w:tblStyleColBandSize w:val="1"/>
      <w:tblBorders>
        <w:top w:val="single" w:sz="4" w:space="0" w:color="B6CBCD" w:themeColor="accent1" w:themeTint="66"/>
        <w:left w:val="single" w:sz="4" w:space="0" w:color="B6CBCD" w:themeColor="accent1" w:themeTint="66"/>
        <w:bottom w:val="single" w:sz="4" w:space="0" w:color="B6CBCD" w:themeColor="accent1" w:themeTint="66"/>
        <w:right w:val="single" w:sz="4" w:space="0" w:color="B6CBCD" w:themeColor="accent1" w:themeTint="66"/>
        <w:insideH w:val="single" w:sz="4" w:space="0" w:color="B6CBCD" w:themeColor="accent1" w:themeTint="66"/>
        <w:insideV w:val="single" w:sz="4" w:space="0" w:color="B6CBCD" w:themeColor="accent1" w:themeTint="66"/>
      </w:tblBorders>
    </w:tblPr>
    <w:tblStylePr w:type="firstRow">
      <w:rPr>
        <w:b/>
        <w:bCs/>
      </w:rPr>
      <w:tblPr/>
      <w:tcPr>
        <w:tcBorders>
          <w:bottom w:val="single" w:sz="12" w:space="0" w:color="92B2B5" w:themeColor="accent1" w:themeTint="99"/>
        </w:tcBorders>
      </w:tcPr>
    </w:tblStylePr>
    <w:tblStylePr w:type="lastRow">
      <w:rPr>
        <w:b/>
        <w:bCs/>
      </w:rPr>
      <w:tblPr/>
      <w:tcPr>
        <w:tcBorders>
          <w:top w:val="double" w:sz="2" w:space="0" w:color="92B2B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F60E4"/>
    <w:rPr>
      <w:sz w:val="16"/>
      <w:szCs w:val="16"/>
    </w:rPr>
  </w:style>
  <w:style w:type="paragraph" w:styleId="CommentText">
    <w:name w:val="annotation text"/>
    <w:basedOn w:val="Normal"/>
    <w:link w:val="CommentTextChar"/>
    <w:uiPriority w:val="99"/>
    <w:semiHidden/>
    <w:unhideWhenUsed/>
    <w:rsid w:val="00BF60E4"/>
    <w:pPr>
      <w:spacing w:line="240" w:lineRule="auto"/>
    </w:pPr>
    <w:rPr>
      <w:sz w:val="20"/>
      <w:szCs w:val="20"/>
    </w:rPr>
  </w:style>
  <w:style w:type="character" w:customStyle="1" w:styleId="CommentTextChar">
    <w:name w:val="Comment Text Char"/>
    <w:basedOn w:val="DefaultParagraphFont"/>
    <w:link w:val="CommentText"/>
    <w:uiPriority w:val="99"/>
    <w:semiHidden/>
    <w:rsid w:val="00BF60E4"/>
    <w:rPr>
      <w:sz w:val="20"/>
      <w:szCs w:val="20"/>
    </w:rPr>
  </w:style>
  <w:style w:type="paragraph" w:styleId="CommentSubject">
    <w:name w:val="annotation subject"/>
    <w:basedOn w:val="CommentText"/>
    <w:next w:val="CommentText"/>
    <w:link w:val="CommentSubjectChar"/>
    <w:uiPriority w:val="99"/>
    <w:semiHidden/>
    <w:unhideWhenUsed/>
    <w:rsid w:val="00BF60E4"/>
    <w:rPr>
      <w:b/>
      <w:bCs/>
    </w:rPr>
  </w:style>
  <w:style w:type="character" w:customStyle="1" w:styleId="CommentSubjectChar">
    <w:name w:val="Comment Subject Char"/>
    <w:basedOn w:val="CommentTextChar"/>
    <w:link w:val="CommentSubject"/>
    <w:uiPriority w:val="99"/>
    <w:semiHidden/>
    <w:rsid w:val="00BF60E4"/>
    <w:rPr>
      <w:b/>
      <w:bCs/>
      <w:sz w:val="20"/>
      <w:szCs w:val="20"/>
    </w:rPr>
  </w:style>
  <w:style w:type="paragraph" w:styleId="Revision">
    <w:name w:val="Revision"/>
    <w:hidden/>
    <w:uiPriority w:val="99"/>
    <w:semiHidden/>
    <w:rsid w:val="00285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4194">
      <w:bodyDiv w:val="1"/>
      <w:marLeft w:val="0"/>
      <w:marRight w:val="0"/>
      <w:marTop w:val="0"/>
      <w:marBottom w:val="0"/>
      <w:divBdr>
        <w:top w:val="none" w:sz="0" w:space="0" w:color="auto"/>
        <w:left w:val="none" w:sz="0" w:space="0" w:color="auto"/>
        <w:bottom w:val="none" w:sz="0" w:space="0" w:color="auto"/>
        <w:right w:val="none" w:sz="0" w:space="0" w:color="auto"/>
      </w:divBdr>
    </w:div>
    <w:div w:id="129324525">
      <w:bodyDiv w:val="1"/>
      <w:marLeft w:val="0"/>
      <w:marRight w:val="0"/>
      <w:marTop w:val="0"/>
      <w:marBottom w:val="0"/>
      <w:divBdr>
        <w:top w:val="none" w:sz="0" w:space="0" w:color="auto"/>
        <w:left w:val="none" w:sz="0" w:space="0" w:color="auto"/>
        <w:bottom w:val="none" w:sz="0" w:space="0" w:color="auto"/>
        <w:right w:val="none" w:sz="0" w:space="0" w:color="auto"/>
      </w:divBdr>
    </w:div>
    <w:div w:id="390076963">
      <w:bodyDiv w:val="1"/>
      <w:marLeft w:val="0"/>
      <w:marRight w:val="0"/>
      <w:marTop w:val="0"/>
      <w:marBottom w:val="0"/>
      <w:divBdr>
        <w:top w:val="none" w:sz="0" w:space="0" w:color="auto"/>
        <w:left w:val="none" w:sz="0" w:space="0" w:color="auto"/>
        <w:bottom w:val="none" w:sz="0" w:space="0" w:color="auto"/>
        <w:right w:val="none" w:sz="0" w:space="0" w:color="auto"/>
      </w:divBdr>
    </w:div>
    <w:div w:id="473913678">
      <w:bodyDiv w:val="1"/>
      <w:marLeft w:val="0"/>
      <w:marRight w:val="0"/>
      <w:marTop w:val="0"/>
      <w:marBottom w:val="0"/>
      <w:divBdr>
        <w:top w:val="none" w:sz="0" w:space="0" w:color="auto"/>
        <w:left w:val="none" w:sz="0" w:space="0" w:color="auto"/>
        <w:bottom w:val="none" w:sz="0" w:space="0" w:color="auto"/>
        <w:right w:val="none" w:sz="0" w:space="0" w:color="auto"/>
      </w:divBdr>
    </w:div>
    <w:div w:id="560292600">
      <w:bodyDiv w:val="1"/>
      <w:marLeft w:val="0"/>
      <w:marRight w:val="0"/>
      <w:marTop w:val="0"/>
      <w:marBottom w:val="0"/>
      <w:divBdr>
        <w:top w:val="none" w:sz="0" w:space="0" w:color="auto"/>
        <w:left w:val="none" w:sz="0" w:space="0" w:color="auto"/>
        <w:bottom w:val="none" w:sz="0" w:space="0" w:color="auto"/>
        <w:right w:val="none" w:sz="0" w:space="0" w:color="auto"/>
      </w:divBdr>
    </w:div>
    <w:div w:id="597300147">
      <w:bodyDiv w:val="1"/>
      <w:marLeft w:val="0"/>
      <w:marRight w:val="0"/>
      <w:marTop w:val="0"/>
      <w:marBottom w:val="0"/>
      <w:divBdr>
        <w:top w:val="none" w:sz="0" w:space="0" w:color="auto"/>
        <w:left w:val="none" w:sz="0" w:space="0" w:color="auto"/>
        <w:bottom w:val="none" w:sz="0" w:space="0" w:color="auto"/>
        <w:right w:val="none" w:sz="0" w:space="0" w:color="auto"/>
      </w:divBdr>
    </w:div>
    <w:div w:id="665862412">
      <w:bodyDiv w:val="1"/>
      <w:marLeft w:val="0"/>
      <w:marRight w:val="0"/>
      <w:marTop w:val="0"/>
      <w:marBottom w:val="0"/>
      <w:divBdr>
        <w:top w:val="none" w:sz="0" w:space="0" w:color="auto"/>
        <w:left w:val="none" w:sz="0" w:space="0" w:color="auto"/>
        <w:bottom w:val="none" w:sz="0" w:space="0" w:color="auto"/>
        <w:right w:val="none" w:sz="0" w:space="0" w:color="auto"/>
      </w:divBdr>
    </w:div>
    <w:div w:id="702093084">
      <w:bodyDiv w:val="1"/>
      <w:marLeft w:val="0"/>
      <w:marRight w:val="0"/>
      <w:marTop w:val="0"/>
      <w:marBottom w:val="0"/>
      <w:divBdr>
        <w:top w:val="none" w:sz="0" w:space="0" w:color="auto"/>
        <w:left w:val="none" w:sz="0" w:space="0" w:color="auto"/>
        <w:bottom w:val="none" w:sz="0" w:space="0" w:color="auto"/>
        <w:right w:val="none" w:sz="0" w:space="0" w:color="auto"/>
      </w:divBdr>
    </w:div>
    <w:div w:id="837501080">
      <w:bodyDiv w:val="1"/>
      <w:marLeft w:val="0"/>
      <w:marRight w:val="0"/>
      <w:marTop w:val="0"/>
      <w:marBottom w:val="0"/>
      <w:divBdr>
        <w:top w:val="none" w:sz="0" w:space="0" w:color="auto"/>
        <w:left w:val="none" w:sz="0" w:space="0" w:color="auto"/>
        <w:bottom w:val="none" w:sz="0" w:space="0" w:color="auto"/>
        <w:right w:val="none" w:sz="0" w:space="0" w:color="auto"/>
      </w:divBdr>
    </w:div>
    <w:div w:id="899245262">
      <w:bodyDiv w:val="1"/>
      <w:marLeft w:val="0"/>
      <w:marRight w:val="0"/>
      <w:marTop w:val="0"/>
      <w:marBottom w:val="0"/>
      <w:divBdr>
        <w:top w:val="none" w:sz="0" w:space="0" w:color="auto"/>
        <w:left w:val="none" w:sz="0" w:space="0" w:color="auto"/>
        <w:bottom w:val="none" w:sz="0" w:space="0" w:color="auto"/>
        <w:right w:val="none" w:sz="0" w:space="0" w:color="auto"/>
      </w:divBdr>
    </w:div>
    <w:div w:id="996567300">
      <w:bodyDiv w:val="1"/>
      <w:marLeft w:val="0"/>
      <w:marRight w:val="0"/>
      <w:marTop w:val="0"/>
      <w:marBottom w:val="0"/>
      <w:divBdr>
        <w:top w:val="none" w:sz="0" w:space="0" w:color="auto"/>
        <w:left w:val="none" w:sz="0" w:space="0" w:color="auto"/>
        <w:bottom w:val="none" w:sz="0" w:space="0" w:color="auto"/>
        <w:right w:val="none" w:sz="0" w:space="0" w:color="auto"/>
      </w:divBdr>
    </w:div>
    <w:div w:id="1061294142">
      <w:bodyDiv w:val="1"/>
      <w:marLeft w:val="0"/>
      <w:marRight w:val="0"/>
      <w:marTop w:val="0"/>
      <w:marBottom w:val="0"/>
      <w:divBdr>
        <w:top w:val="none" w:sz="0" w:space="0" w:color="auto"/>
        <w:left w:val="none" w:sz="0" w:space="0" w:color="auto"/>
        <w:bottom w:val="none" w:sz="0" w:space="0" w:color="auto"/>
        <w:right w:val="none" w:sz="0" w:space="0" w:color="auto"/>
      </w:divBdr>
    </w:div>
    <w:div w:id="1097484689">
      <w:bodyDiv w:val="1"/>
      <w:marLeft w:val="0"/>
      <w:marRight w:val="0"/>
      <w:marTop w:val="0"/>
      <w:marBottom w:val="0"/>
      <w:divBdr>
        <w:top w:val="none" w:sz="0" w:space="0" w:color="auto"/>
        <w:left w:val="none" w:sz="0" w:space="0" w:color="auto"/>
        <w:bottom w:val="none" w:sz="0" w:space="0" w:color="auto"/>
        <w:right w:val="none" w:sz="0" w:space="0" w:color="auto"/>
      </w:divBdr>
    </w:div>
    <w:div w:id="1111707809">
      <w:bodyDiv w:val="1"/>
      <w:marLeft w:val="0"/>
      <w:marRight w:val="0"/>
      <w:marTop w:val="0"/>
      <w:marBottom w:val="0"/>
      <w:divBdr>
        <w:top w:val="none" w:sz="0" w:space="0" w:color="auto"/>
        <w:left w:val="none" w:sz="0" w:space="0" w:color="auto"/>
        <w:bottom w:val="none" w:sz="0" w:space="0" w:color="auto"/>
        <w:right w:val="none" w:sz="0" w:space="0" w:color="auto"/>
      </w:divBdr>
    </w:div>
    <w:div w:id="1115750621">
      <w:bodyDiv w:val="1"/>
      <w:marLeft w:val="0"/>
      <w:marRight w:val="0"/>
      <w:marTop w:val="0"/>
      <w:marBottom w:val="0"/>
      <w:divBdr>
        <w:top w:val="none" w:sz="0" w:space="0" w:color="auto"/>
        <w:left w:val="none" w:sz="0" w:space="0" w:color="auto"/>
        <w:bottom w:val="none" w:sz="0" w:space="0" w:color="auto"/>
        <w:right w:val="none" w:sz="0" w:space="0" w:color="auto"/>
      </w:divBdr>
    </w:div>
    <w:div w:id="1239100054">
      <w:bodyDiv w:val="1"/>
      <w:marLeft w:val="0"/>
      <w:marRight w:val="0"/>
      <w:marTop w:val="0"/>
      <w:marBottom w:val="0"/>
      <w:divBdr>
        <w:top w:val="none" w:sz="0" w:space="0" w:color="auto"/>
        <w:left w:val="none" w:sz="0" w:space="0" w:color="auto"/>
        <w:bottom w:val="none" w:sz="0" w:space="0" w:color="auto"/>
        <w:right w:val="none" w:sz="0" w:space="0" w:color="auto"/>
      </w:divBdr>
    </w:div>
    <w:div w:id="1398478167">
      <w:bodyDiv w:val="1"/>
      <w:marLeft w:val="0"/>
      <w:marRight w:val="0"/>
      <w:marTop w:val="0"/>
      <w:marBottom w:val="0"/>
      <w:divBdr>
        <w:top w:val="none" w:sz="0" w:space="0" w:color="auto"/>
        <w:left w:val="none" w:sz="0" w:space="0" w:color="auto"/>
        <w:bottom w:val="none" w:sz="0" w:space="0" w:color="auto"/>
        <w:right w:val="none" w:sz="0" w:space="0" w:color="auto"/>
      </w:divBdr>
    </w:div>
    <w:div w:id="1539850785">
      <w:bodyDiv w:val="1"/>
      <w:marLeft w:val="0"/>
      <w:marRight w:val="0"/>
      <w:marTop w:val="0"/>
      <w:marBottom w:val="0"/>
      <w:divBdr>
        <w:top w:val="none" w:sz="0" w:space="0" w:color="auto"/>
        <w:left w:val="none" w:sz="0" w:space="0" w:color="auto"/>
        <w:bottom w:val="none" w:sz="0" w:space="0" w:color="auto"/>
        <w:right w:val="none" w:sz="0" w:space="0" w:color="auto"/>
      </w:divBdr>
    </w:div>
    <w:div w:id="1691684117">
      <w:bodyDiv w:val="1"/>
      <w:marLeft w:val="0"/>
      <w:marRight w:val="0"/>
      <w:marTop w:val="0"/>
      <w:marBottom w:val="0"/>
      <w:divBdr>
        <w:top w:val="none" w:sz="0" w:space="0" w:color="auto"/>
        <w:left w:val="none" w:sz="0" w:space="0" w:color="auto"/>
        <w:bottom w:val="none" w:sz="0" w:space="0" w:color="auto"/>
        <w:right w:val="none" w:sz="0" w:space="0" w:color="auto"/>
      </w:divBdr>
    </w:div>
    <w:div w:id="1778595078">
      <w:bodyDiv w:val="1"/>
      <w:marLeft w:val="0"/>
      <w:marRight w:val="0"/>
      <w:marTop w:val="0"/>
      <w:marBottom w:val="0"/>
      <w:divBdr>
        <w:top w:val="none" w:sz="0" w:space="0" w:color="auto"/>
        <w:left w:val="none" w:sz="0" w:space="0" w:color="auto"/>
        <w:bottom w:val="none" w:sz="0" w:space="0" w:color="auto"/>
        <w:right w:val="none" w:sz="0" w:space="0" w:color="auto"/>
      </w:divBdr>
    </w:div>
    <w:div w:id="1788115416">
      <w:bodyDiv w:val="1"/>
      <w:marLeft w:val="0"/>
      <w:marRight w:val="0"/>
      <w:marTop w:val="0"/>
      <w:marBottom w:val="0"/>
      <w:divBdr>
        <w:top w:val="none" w:sz="0" w:space="0" w:color="auto"/>
        <w:left w:val="none" w:sz="0" w:space="0" w:color="auto"/>
        <w:bottom w:val="none" w:sz="0" w:space="0" w:color="auto"/>
        <w:right w:val="none" w:sz="0" w:space="0" w:color="auto"/>
      </w:divBdr>
    </w:div>
    <w:div w:id="1857765373">
      <w:bodyDiv w:val="1"/>
      <w:marLeft w:val="0"/>
      <w:marRight w:val="0"/>
      <w:marTop w:val="0"/>
      <w:marBottom w:val="0"/>
      <w:divBdr>
        <w:top w:val="none" w:sz="0" w:space="0" w:color="auto"/>
        <w:left w:val="none" w:sz="0" w:space="0" w:color="auto"/>
        <w:bottom w:val="none" w:sz="0" w:space="0" w:color="auto"/>
        <w:right w:val="none" w:sz="0" w:space="0" w:color="auto"/>
      </w:divBdr>
    </w:div>
    <w:div w:id="1901792629">
      <w:bodyDiv w:val="1"/>
      <w:marLeft w:val="0"/>
      <w:marRight w:val="0"/>
      <w:marTop w:val="0"/>
      <w:marBottom w:val="0"/>
      <w:divBdr>
        <w:top w:val="none" w:sz="0" w:space="0" w:color="auto"/>
        <w:left w:val="none" w:sz="0" w:space="0" w:color="auto"/>
        <w:bottom w:val="none" w:sz="0" w:space="0" w:color="auto"/>
        <w:right w:val="none" w:sz="0" w:space="0" w:color="auto"/>
      </w:divBdr>
    </w:div>
    <w:div w:id="1921519716">
      <w:bodyDiv w:val="1"/>
      <w:marLeft w:val="0"/>
      <w:marRight w:val="0"/>
      <w:marTop w:val="0"/>
      <w:marBottom w:val="0"/>
      <w:divBdr>
        <w:top w:val="none" w:sz="0" w:space="0" w:color="auto"/>
        <w:left w:val="none" w:sz="0" w:space="0" w:color="auto"/>
        <w:bottom w:val="none" w:sz="0" w:space="0" w:color="auto"/>
        <w:right w:val="none" w:sz="0" w:space="0" w:color="auto"/>
      </w:divBdr>
    </w:div>
    <w:div w:id="20581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Grz19</b:Tag>
    <b:SourceType>InternetSite</b:SourceType>
    <b:Guid>{5EE76484-AAB4-A441-B008-0D0EAF628EBA}</b:Guid>
    <b:Title>Booster RF 20 Hz testing &amp; results</b:Title>
    <b:Year>2019</b:Year>
    <b:Author>
      <b:Author>
        <b:NameList>
          <b:Person>
            <b:Last>Grzelak</b:Last>
            <b:First>Victor</b:First>
          </b:Person>
        </b:NameList>
      </b:Author>
    </b:Author>
    <b:URL>http://beamdocs.fnal.gov/AD/DocDB/0077/007781/001/20Hz%20Test%20results%2010%2023%202019.pptx</b:URL>
    <b:ProductionCompany>Fermilab</b:ProductionCompany>
    <b:Month>October</b:Month>
    <b:Day>24</b:Day>
    <b:RefOrder>4</b:RefOrder>
  </b:Source>
  <b:Source>
    <b:Tag>Grz191</b:Tag>
    <b:SourceType>InternetSite</b:SourceType>
    <b:Guid>{87557AB2-8338-3740-85D5-C8A6584158E4}</b:Guid>
    <b:Author>
      <b:Author>
        <b:NameList>
          <b:Person>
            <b:Last>Grzelak</b:Last>
            <b:First>Victor</b:First>
          </b:Person>
        </b:NameList>
      </b:Author>
    </b:Author>
    <b:Title>Booster RF 20 Hz Testing &amp; Results (Part 2)</b:Title>
    <b:URL>http://beamdocs.fnal.gov/AD/DocDB/0078/007839/003/Booster%20RF%2020Hz%20preliminary%20testing%2011%2020%202019%20%28Part%202%29.pptx</b:URL>
    <b:Year>2019</b:Year>
    <b:Month>November</b:Month>
    <b:Day>20</b:Day>
    <b:RefOrder>5</b:RefOrder>
  </b:Source>
  <b:Source>
    <b:Tag>Dey19</b:Tag>
    <b:SourceType>InternetSite</b:SourceType>
    <b:Guid>{36016EB8-DFE0-8341-AC0A-3735539C3701}</b:Guid>
    <b:Author>
      <b:Author>
        <b:NameList>
          <b:Person>
            <b:Last>Dey</b:Last>
            <b:First>Joseph</b:First>
          </b:Person>
        </b:NameList>
      </b:Author>
    </b:Author>
    <b:Title>PIP-II Booster RF</b:Title>
    <b:URL>http://beamdocs.fnal.gov/AD/DocDB/0078/007839/003/Booster_RF.pptx</b:URL>
    <b:Year>2019</b:Year>
    <b:Month>November</b:Month>
    <b:Day>21</b:Day>
    <b:RefOrder>1</b:RefOrder>
  </b:Source>
  <b:Source>
    <b:Tag>Tan20</b:Tag>
    <b:SourceType>DocumentFromInternetSite</b:SourceType>
    <b:Guid>{24723694-86DF-2D45-854B-7940EA75492A}</b:Guid>
    <b:Title>The required number of wide bore cavities for PIPII</b:Title>
    <b:URL>http://beamdocs.fnal.gov/AD-public/DocDB/ShowDocument?docid=7879</b:URL>
    <b:Year>2020</b:Year>
    <b:Month>January</b:Month>
    <b:Day>2</b:Day>
    <b:Author>
      <b:Author>
        <b:NameList>
          <b:Person>
            <b:Last>Tan</b:Last>
            <b:First>Cheng-Yang</b:First>
          </b:Person>
          <b:Person>
            <b:Last>Bhat</b:Last>
            <b:First>Chandrashekhara</b:First>
          </b:Person>
          <b:Person>
            <b:Last>Pellico</b:Last>
            <b:First>William</b:First>
          </b:Person>
        </b:NameList>
      </b:Author>
    </b:Author>
    <b:RefOrder>2</b:RefOrder>
  </b:Source>
  <b:Source>
    <b:Tag>Cap20</b:Tag>
    <b:SourceType>InternetSite</b:SourceType>
    <b:Guid>{57AD1C43-7B1E-B444-9094-E65D414A3E89}</b:Guid>
    <b:Title>AD PIP II task Force: 20Hz</b:Title>
    <b:Year>2019</b:Year>
    <b:Author>
      <b:Author>
        <b:NameList>
          <b:Person>
            <b:Last>Capista</b:Last>
            <b:First>David</b:First>
          </b:Person>
        </b:NameList>
      </b:Author>
    </b:Author>
    <b:URL>https://beamdocs.fnal.gov/AD-private/DocDB/ShowDocument?docid=7691</b:URL>
    <b:ProductionCompany>Fermilab</b:ProductionCompany>
    <b:Month>September</b:Month>
    <b:Day>30</b:Day>
    <b:RefOrder>3</b:RefOrder>
  </b:Source>
</b:Sources>
</file>

<file path=customXml/itemProps1.xml><?xml version="1.0" encoding="utf-8"?>
<ds:datastoreItem xmlns:ds="http://schemas.openxmlformats.org/officeDocument/2006/customXml" ds:itemID="{36DB55FB-27C6-4B9D-A56F-2E1B173C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1240</Words>
  <Characters>7070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Cheng-Yang Tan</dc:creator>
  <cp:keywords/>
  <dc:description/>
  <cp:lastModifiedBy>David E Johnson</cp:lastModifiedBy>
  <cp:revision>2</cp:revision>
  <dcterms:created xsi:type="dcterms:W3CDTF">2020-09-15T20:08:00Z</dcterms:created>
  <dcterms:modified xsi:type="dcterms:W3CDTF">2020-09-15T20:08:00Z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