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F18C0" w14:textId="77777777" w:rsidR="002543A4" w:rsidRDefault="002543A4" w:rsidP="00B36B36">
      <w:pPr>
        <w:jc w:val="center"/>
        <w:rPr>
          <w:sz w:val="24"/>
        </w:rPr>
      </w:pPr>
    </w:p>
    <w:p w14:paraId="3DD54EAC" w14:textId="77777777" w:rsidR="00F06049" w:rsidRDefault="00F06049">
      <w:pPr>
        <w:rPr>
          <w:sz w:val="24"/>
        </w:rPr>
      </w:pPr>
    </w:p>
    <w:p w14:paraId="3B37FCEB" w14:textId="77777777" w:rsidR="002543A4" w:rsidRDefault="002543A4">
      <w:pPr>
        <w:jc w:val="center"/>
        <w:rPr>
          <w:b/>
          <w:sz w:val="40"/>
          <w:szCs w:val="40"/>
        </w:rPr>
      </w:pPr>
    </w:p>
    <w:p w14:paraId="6DEE9471" w14:textId="77777777" w:rsidR="000C3FAF" w:rsidRDefault="000C3FAF">
      <w:pPr>
        <w:jc w:val="center"/>
        <w:rPr>
          <w:b/>
          <w:sz w:val="40"/>
          <w:szCs w:val="40"/>
        </w:rPr>
      </w:pPr>
      <w:r w:rsidRPr="000C3FAF">
        <w:rPr>
          <w:b/>
          <w:noProof/>
          <w:sz w:val="40"/>
          <w:szCs w:val="40"/>
        </w:rPr>
        <w:drawing>
          <wp:inline distT="0" distB="0" distL="0" distR="0" wp14:anchorId="16D431BF" wp14:editId="65853930">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74C1A16B" w14:textId="77777777" w:rsidR="00835972" w:rsidRDefault="00835972" w:rsidP="00E36696">
      <w:pPr>
        <w:tabs>
          <w:tab w:val="left" w:pos="2820"/>
        </w:tabs>
        <w:jc w:val="center"/>
        <w:rPr>
          <w:b/>
          <w:sz w:val="40"/>
          <w:szCs w:val="40"/>
        </w:rPr>
      </w:pPr>
    </w:p>
    <w:p w14:paraId="435A7524" w14:textId="77777777" w:rsidR="00E36696" w:rsidRDefault="00E36696" w:rsidP="00E36696">
      <w:pPr>
        <w:tabs>
          <w:tab w:val="left" w:pos="2820"/>
        </w:tabs>
        <w:jc w:val="center"/>
        <w:rPr>
          <w:b/>
          <w:sz w:val="40"/>
          <w:szCs w:val="40"/>
        </w:rPr>
      </w:pPr>
    </w:p>
    <w:p w14:paraId="004CB5E2" w14:textId="77777777"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19EA3D60" w14:textId="77777777" w:rsidR="00F06049" w:rsidRPr="001445A8" w:rsidRDefault="00F06049">
      <w:pPr>
        <w:pStyle w:val="Header"/>
        <w:tabs>
          <w:tab w:val="clear" w:pos="4320"/>
          <w:tab w:val="clear" w:pos="8640"/>
        </w:tabs>
        <w:rPr>
          <w:rFonts w:ascii="Arial" w:hAnsi="Arial" w:cs="Arial"/>
          <w:sz w:val="24"/>
        </w:rPr>
      </w:pPr>
    </w:p>
    <w:p w14:paraId="4A414E0A" w14:textId="77777777" w:rsidR="00F06049" w:rsidRPr="001445A8" w:rsidRDefault="00F06049">
      <w:pPr>
        <w:pStyle w:val="Header"/>
        <w:tabs>
          <w:tab w:val="clear" w:pos="4320"/>
          <w:tab w:val="clear" w:pos="8640"/>
        </w:tabs>
        <w:rPr>
          <w:rFonts w:ascii="Arial" w:hAnsi="Arial" w:cs="Arial"/>
          <w:sz w:val="24"/>
        </w:rPr>
      </w:pPr>
    </w:p>
    <w:p w14:paraId="465BA663" w14:textId="77777777" w:rsidR="00755AB7" w:rsidRDefault="004B2DDF">
      <w:pPr>
        <w:pStyle w:val="Header"/>
        <w:tabs>
          <w:tab w:val="clear" w:pos="8640"/>
          <w:tab w:val="right" w:pos="9963"/>
        </w:tabs>
        <w:spacing w:before="120"/>
        <w:ind w:right="-115"/>
        <w:jc w:val="center"/>
        <w:rPr>
          <w:rFonts w:ascii="Arial" w:hAnsi="Arial" w:cs="Arial"/>
          <w:b/>
          <w:sz w:val="32"/>
        </w:rPr>
      </w:pPr>
      <w:r w:rsidRPr="004B2DDF">
        <w:rPr>
          <w:rFonts w:ascii="Arial" w:hAnsi="Arial" w:cs="Arial"/>
          <w:b/>
          <w:sz w:val="32"/>
        </w:rPr>
        <w:t>MQXFA07 Inspection Plan</w:t>
      </w:r>
    </w:p>
    <w:p w14:paraId="450AFE54" w14:textId="77777777" w:rsidR="00B36B36" w:rsidRDefault="00B36B36" w:rsidP="00B36B36">
      <w:pPr>
        <w:pStyle w:val="Header"/>
        <w:tabs>
          <w:tab w:val="clear" w:pos="8640"/>
          <w:tab w:val="right" w:pos="9963"/>
        </w:tabs>
        <w:spacing w:before="120"/>
        <w:ind w:right="-115"/>
        <w:rPr>
          <w:b/>
          <w:sz w:val="32"/>
        </w:rPr>
      </w:pPr>
    </w:p>
    <w:p w14:paraId="51CBB89A" w14:textId="77777777" w:rsidR="00822FF8" w:rsidRPr="0072710C" w:rsidRDefault="00822FF8" w:rsidP="00B57CDE">
      <w:pPr>
        <w:jc w:val="center"/>
        <w:rPr>
          <w:rFonts w:ascii="Arial" w:hAnsi="Arial" w:cs="Arial"/>
        </w:rPr>
      </w:pPr>
      <w:r w:rsidRPr="0072710C">
        <w:rPr>
          <w:rFonts w:ascii="Arial" w:hAnsi="Arial" w:cs="Arial"/>
        </w:rPr>
        <w:t>G. Ambrosio, M. Baldini,</w:t>
      </w:r>
      <w:r w:rsidR="00B57CDE" w:rsidRPr="0072710C">
        <w:rPr>
          <w:rFonts w:ascii="Arial" w:hAnsi="Arial" w:cs="Arial"/>
        </w:rPr>
        <w:t xml:space="preserve"> D. Cheng, P. Ferracin, S. Prestemon</w:t>
      </w:r>
      <w:r w:rsidR="00333949" w:rsidRPr="0072710C">
        <w:rPr>
          <w:rFonts w:ascii="Arial" w:hAnsi="Arial" w:cs="Arial"/>
        </w:rPr>
        <w:t>, Katherin</w:t>
      </w:r>
      <w:r w:rsidR="00253BBC" w:rsidRPr="0072710C">
        <w:rPr>
          <w:rFonts w:ascii="Arial" w:hAnsi="Arial" w:cs="Arial"/>
        </w:rPr>
        <w:t>e</w:t>
      </w:r>
      <w:r w:rsidR="00333949" w:rsidRPr="0072710C">
        <w:rPr>
          <w:rFonts w:ascii="Arial" w:hAnsi="Arial" w:cs="Arial"/>
        </w:rPr>
        <w:t xml:space="preserve"> Ray</w:t>
      </w:r>
    </w:p>
    <w:p w14:paraId="0F75CEDB" w14:textId="77777777" w:rsidR="00B36B36" w:rsidRPr="0072710C" w:rsidRDefault="00B36B36" w:rsidP="00B36B36">
      <w:pPr>
        <w:pStyle w:val="Header"/>
        <w:tabs>
          <w:tab w:val="clear" w:pos="8640"/>
          <w:tab w:val="right" w:pos="9963"/>
        </w:tabs>
        <w:spacing w:before="120"/>
        <w:ind w:right="-115"/>
        <w:rPr>
          <w:b/>
          <w:sz w:val="32"/>
        </w:rPr>
      </w:pPr>
    </w:p>
    <w:p w14:paraId="358D520B" w14:textId="77777777" w:rsidR="00915972" w:rsidRPr="0072710C" w:rsidRDefault="00915972">
      <w:pPr>
        <w:pStyle w:val="Header"/>
        <w:tabs>
          <w:tab w:val="clear" w:pos="8640"/>
          <w:tab w:val="right" w:pos="9963"/>
        </w:tabs>
        <w:spacing w:before="120"/>
        <w:ind w:right="-115"/>
        <w:jc w:val="center"/>
        <w:rPr>
          <w:b/>
          <w:sz w:val="32"/>
        </w:rPr>
      </w:pPr>
    </w:p>
    <w:p w14:paraId="09914977" w14:textId="77777777" w:rsidR="00784FF8" w:rsidRPr="0072710C" w:rsidRDefault="00784FF8">
      <w:pPr>
        <w:rPr>
          <w:sz w:val="24"/>
          <w:szCs w:val="24"/>
        </w:rPr>
      </w:pPr>
      <w:bookmarkStart w:id="0" w:name="_Toc465734408"/>
    </w:p>
    <w:p w14:paraId="25BC0910" w14:textId="77777777" w:rsidR="00217B63" w:rsidRPr="0072710C" w:rsidRDefault="00217B63" w:rsidP="00F255F7">
      <w:pPr>
        <w:rPr>
          <w:sz w:val="24"/>
          <w:szCs w:val="24"/>
        </w:rPr>
      </w:pPr>
    </w:p>
    <w:p w14:paraId="39B47272" w14:textId="77777777" w:rsidR="00217B63" w:rsidRPr="0072710C" w:rsidRDefault="00217B63" w:rsidP="00217B63">
      <w:pPr>
        <w:rPr>
          <w:color w:val="000000"/>
        </w:rPr>
      </w:pPr>
    </w:p>
    <w:p w14:paraId="5A974BC4" w14:textId="77777777" w:rsidR="004B2DDF" w:rsidRPr="0072710C" w:rsidRDefault="004B2DDF">
      <w:pPr>
        <w:rPr>
          <w:rFonts w:ascii="Arial" w:hAnsi="Arial" w:cs="Arial"/>
          <w:b/>
          <w:color w:val="000000"/>
          <w:u w:val="single"/>
        </w:rPr>
      </w:pPr>
      <w:r w:rsidRPr="0072710C">
        <w:rPr>
          <w:rFonts w:ascii="Arial" w:hAnsi="Arial" w:cs="Arial"/>
          <w:b/>
          <w:color w:val="000000"/>
          <w:u w:val="single"/>
        </w:rPr>
        <w:br w:type="page"/>
      </w:r>
    </w:p>
    <w:p w14:paraId="79427B90" w14:textId="77777777" w:rsidR="00217B63" w:rsidRPr="006D3727" w:rsidRDefault="00217B63" w:rsidP="00217B63">
      <w:pPr>
        <w:jc w:val="center"/>
        <w:rPr>
          <w:rFonts w:ascii="Arial" w:hAnsi="Arial" w:cs="Arial"/>
          <w:color w:val="000000"/>
        </w:rPr>
      </w:pPr>
      <w:r w:rsidRPr="006D3727">
        <w:rPr>
          <w:rFonts w:ascii="Arial" w:hAnsi="Arial" w:cs="Arial"/>
          <w:b/>
          <w:color w:val="000000"/>
          <w:u w:val="single"/>
        </w:rPr>
        <w:lastRenderedPageBreak/>
        <w:t xml:space="preserve">Revision </w:t>
      </w:r>
      <w:r w:rsidR="00BF6D00" w:rsidRPr="006D3727">
        <w:rPr>
          <w:rFonts w:ascii="Arial" w:hAnsi="Arial" w:cs="Arial"/>
          <w:b/>
          <w:color w:val="000000"/>
          <w:u w:val="single"/>
        </w:rPr>
        <w:t>History</w:t>
      </w:r>
    </w:p>
    <w:p w14:paraId="068B2998" w14:textId="77777777" w:rsidR="00217B63" w:rsidRDefault="00217B63" w:rsidP="00217B63">
      <w:pPr>
        <w:jc w:val="both"/>
        <w:rPr>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743"/>
        <w:gridCol w:w="1057"/>
        <w:gridCol w:w="6701"/>
      </w:tblGrid>
      <w:tr w:rsidR="00BF6D00" w:rsidRPr="001445A8" w14:paraId="4600CFF3" w14:textId="77777777">
        <w:trPr>
          <w:jc w:val="center"/>
        </w:trPr>
        <w:tc>
          <w:tcPr>
            <w:tcW w:w="1075" w:type="dxa"/>
          </w:tcPr>
          <w:p w14:paraId="23C75D73" w14:textId="77777777" w:rsidR="00BF6D00" w:rsidRPr="001445A8" w:rsidRDefault="00BF6D00" w:rsidP="00DB649B">
            <w:pPr>
              <w:jc w:val="center"/>
              <w:rPr>
                <w:rFonts w:ascii="Arial" w:hAnsi="Arial" w:cs="Arial"/>
                <w:b/>
                <w:color w:val="000000"/>
              </w:rPr>
            </w:pPr>
            <w:r w:rsidRPr="001445A8">
              <w:rPr>
                <w:rFonts w:ascii="Arial" w:hAnsi="Arial" w:cs="Arial"/>
                <w:b/>
                <w:color w:val="000000"/>
              </w:rPr>
              <w:t>Revision</w:t>
            </w:r>
          </w:p>
        </w:tc>
        <w:tc>
          <w:tcPr>
            <w:tcW w:w="743" w:type="dxa"/>
          </w:tcPr>
          <w:p w14:paraId="3258C538" w14:textId="77777777" w:rsidR="00BF6D00" w:rsidRPr="001445A8" w:rsidRDefault="00BF6D00" w:rsidP="00DB649B">
            <w:pPr>
              <w:jc w:val="center"/>
              <w:rPr>
                <w:rFonts w:ascii="Arial" w:hAnsi="Arial" w:cs="Arial"/>
                <w:b/>
                <w:color w:val="000000"/>
              </w:rPr>
            </w:pPr>
            <w:r w:rsidRPr="001445A8">
              <w:rPr>
                <w:rFonts w:ascii="Arial" w:hAnsi="Arial" w:cs="Arial"/>
                <w:b/>
                <w:color w:val="000000"/>
              </w:rPr>
              <w:t>Date</w:t>
            </w:r>
          </w:p>
        </w:tc>
        <w:tc>
          <w:tcPr>
            <w:tcW w:w="1057" w:type="dxa"/>
          </w:tcPr>
          <w:p w14:paraId="1292B0EA" w14:textId="77777777" w:rsidR="00BF6D00" w:rsidRPr="001445A8" w:rsidRDefault="00BF6D00" w:rsidP="00DB649B">
            <w:pPr>
              <w:jc w:val="center"/>
              <w:rPr>
                <w:rFonts w:ascii="Arial" w:hAnsi="Arial" w:cs="Arial"/>
                <w:b/>
                <w:color w:val="000000"/>
              </w:rPr>
            </w:pPr>
            <w:r w:rsidRPr="001445A8">
              <w:rPr>
                <w:rFonts w:ascii="Arial" w:hAnsi="Arial" w:cs="Arial"/>
                <w:b/>
                <w:color w:val="000000"/>
              </w:rPr>
              <w:t>Section No.</w:t>
            </w:r>
          </w:p>
        </w:tc>
        <w:tc>
          <w:tcPr>
            <w:tcW w:w="6701" w:type="dxa"/>
          </w:tcPr>
          <w:p w14:paraId="2099C3FF" w14:textId="77777777" w:rsidR="00BF6D00" w:rsidRPr="001445A8" w:rsidRDefault="00BF6D00" w:rsidP="00DB649B">
            <w:pPr>
              <w:jc w:val="center"/>
              <w:rPr>
                <w:rFonts w:ascii="Arial" w:hAnsi="Arial" w:cs="Arial"/>
                <w:b/>
                <w:color w:val="000000"/>
              </w:rPr>
            </w:pPr>
            <w:r w:rsidRPr="001445A8">
              <w:rPr>
                <w:rFonts w:ascii="Arial" w:hAnsi="Arial" w:cs="Arial"/>
                <w:b/>
                <w:color w:val="000000"/>
              </w:rPr>
              <w:t>Revision Description</w:t>
            </w:r>
          </w:p>
        </w:tc>
      </w:tr>
      <w:tr w:rsidR="00BF6D00" w:rsidRPr="001445A8" w14:paraId="57ADC854" w14:textId="77777777">
        <w:trPr>
          <w:jc w:val="center"/>
        </w:trPr>
        <w:tc>
          <w:tcPr>
            <w:tcW w:w="1075" w:type="dxa"/>
          </w:tcPr>
          <w:p w14:paraId="28366D9A" w14:textId="77777777" w:rsidR="00BF6D00" w:rsidRPr="001445A8" w:rsidRDefault="000C5708" w:rsidP="00DB649B">
            <w:pPr>
              <w:jc w:val="center"/>
              <w:rPr>
                <w:rFonts w:ascii="Arial" w:hAnsi="Arial" w:cs="Arial"/>
                <w:color w:val="000000"/>
              </w:rPr>
            </w:pPr>
            <w:r>
              <w:rPr>
                <w:rFonts w:ascii="Arial" w:hAnsi="Arial" w:cs="Arial"/>
                <w:color w:val="000000"/>
              </w:rPr>
              <w:t>v0</w:t>
            </w:r>
          </w:p>
        </w:tc>
        <w:tc>
          <w:tcPr>
            <w:tcW w:w="743" w:type="dxa"/>
          </w:tcPr>
          <w:p w14:paraId="4B177BFF" w14:textId="77777777" w:rsidR="00BF6D00" w:rsidRPr="001445A8" w:rsidRDefault="00BF6D00" w:rsidP="00DB649B">
            <w:pPr>
              <w:jc w:val="center"/>
              <w:rPr>
                <w:rFonts w:ascii="Arial" w:hAnsi="Arial" w:cs="Arial"/>
                <w:color w:val="FF0000"/>
              </w:rPr>
            </w:pPr>
            <w:r w:rsidRPr="001445A8">
              <w:rPr>
                <w:rFonts w:ascii="Arial" w:hAnsi="Arial" w:cs="Arial"/>
                <w:color w:val="FF0000"/>
              </w:rPr>
              <w:t>TBD</w:t>
            </w:r>
          </w:p>
        </w:tc>
        <w:tc>
          <w:tcPr>
            <w:tcW w:w="1057" w:type="dxa"/>
          </w:tcPr>
          <w:p w14:paraId="5EFCB150" w14:textId="77777777" w:rsidR="00BF6D00" w:rsidRPr="001445A8" w:rsidRDefault="00BF6D00" w:rsidP="00DB649B">
            <w:pPr>
              <w:jc w:val="center"/>
              <w:rPr>
                <w:rFonts w:ascii="Arial" w:hAnsi="Arial" w:cs="Arial"/>
                <w:color w:val="000000"/>
              </w:rPr>
            </w:pPr>
            <w:r w:rsidRPr="001445A8">
              <w:rPr>
                <w:rFonts w:ascii="Arial" w:hAnsi="Arial" w:cs="Arial"/>
                <w:color w:val="000000"/>
              </w:rPr>
              <w:t>All</w:t>
            </w:r>
          </w:p>
        </w:tc>
        <w:tc>
          <w:tcPr>
            <w:tcW w:w="6701" w:type="dxa"/>
          </w:tcPr>
          <w:p w14:paraId="1F2B3570" w14:textId="77777777" w:rsidR="00BF6D00" w:rsidRPr="001445A8" w:rsidRDefault="00BF6D00" w:rsidP="00DB649B">
            <w:pPr>
              <w:rPr>
                <w:rFonts w:ascii="Arial" w:hAnsi="Arial" w:cs="Arial"/>
                <w:color w:val="000000"/>
              </w:rPr>
            </w:pPr>
            <w:r w:rsidRPr="001445A8">
              <w:rPr>
                <w:rFonts w:ascii="Arial" w:hAnsi="Arial" w:cs="Arial"/>
                <w:color w:val="000000"/>
              </w:rPr>
              <w:t>Initial Release</w:t>
            </w:r>
          </w:p>
        </w:tc>
      </w:tr>
      <w:tr w:rsidR="00BF6D00" w:rsidRPr="001445A8" w14:paraId="002FDDF4" w14:textId="77777777">
        <w:trPr>
          <w:jc w:val="center"/>
        </w:trPr>
        <w:tc>
          <w:tcPr>
            <w:tcW w:w="1075" w:type="dxa"/>
          </w:tcPr>
          <w:p w14:paraId="40EB12A9" w14:textId="77777777" w:rsidR="00BF6D00" w:rsidRPr="001445A8" w:rsidRDefault="00BF6D00" w:rsidP="00DB649B">
            <w:pPr>
              <w:jc w:val="center"/>
              <w:rPr>
                <w:rFonts w:ascii="Arial" w:hAnsi="Arial" w:cs="Arial"/>
                <w:color w:val="000000"/>
              </w:rPr>
            </w:pPr>
          </w:p>
        </w:tc>
        <w:tc>
          <w:tcPr>
            <w:tcW w:w="743" w:type="dxa"/>
          </w:tcPr>
          <w:p w14:paraId="1537B690" w14:textId="77777777" w:rsidR="00BF6D00" w:rsidRPr="001445A8" w:rsidRDefault="00BF6D00" w:rsidP="00DB649B">
            <w:pPr>
              <w:jc w:val="center"/>
              <w:rPr>
                <w:rFonts w:ascii="Arial" w:hAnsi="Arial" w:cs="Arial"/>
                <w:color w:val="000000"/>
              </w:rPr>
            </w:pPr>
          </w:p>
        </w:tc>
        <w:tc>
          <w:tcPr>
            <w:tcW w:w="1057" w:type="dxa"/>
          </w:tcPr>
          <w:p w14:paraId="15636BA3" w14:textId="77777777" w:rsidR="00BF6D00" w:rsidRPr="001445A8" w:rsidRDefault="00BF6D00" w:rsidP="00DB649B">
            <w:pPr>
              <w:jc w:val="center"/>
              <w:rPr>
                <w:rFonts w:ascii="Arial" w:hAnsi="Arial" w:cs="Arial"/>
                <w:color w:val="000000"/>
              </w:rPr>
            </w:pPr>
          </w:p>
        </w:tc>
        <w:tc>
          <w:tcPr>
            <w:tcW w:w="6701" w:type="dxa"/>
          </w:tcPr>
          <w:p w14:paraId="2224FDF8" w14:textId="77777777" w:rsidR="00BF6D00" w:rsidRPr="001445A8" w:rsidRDefault="00BF6D00" w:rsidP="00DB649B">
            <w:pPr>
              <w:rPr>
                <w:rFonts w:ascii="Arial" w:hAnsi="Arial" w:cs="Arial"/>
                <w:color w:val="000000"/>
              </w:rPr>
            </w:pPr>
          </w:p>
        </w:tc>
      </w:tr>
      <w:tr w:rsidR="00BF6D00" w:rsidRPr="001445A8" w14:paraId="1A16F7FD" w14:textId="77777777">
        <w:trPr>
          <w:trHeight w:val="162"/>
          <w:jc w:val="center"/>
        </w:trPr>
        <w:tc>
          <w:tcPr>
            <w:tcW w:w="1075" w:type="dxa"/>
          </w:tcPr>
          <w:p w14:paraId="4762785C" w14:textId="77777777" w:rsidR="00BF6D00" w:rsidRPr="001445A8" w:rsidRDefault="00BF6D00" w:rsidP="00DB649B">
            <w:pPr>
              <w:jc w:val="center"/>
              <w:rPr>
                <w:rFonts w:ascii="Arial" w:hAnsi="Arial" w:cs="Arial"/>
                <w:color w:val="000000"/>
              </w:rPr>
            </w:pPr>
          </w:p>
        </w:tc>
        <w:tc>
          <w:tcPr>
            <w:tcW w:w="743" w:type="dxa"/>
          </w:tcPr>
          <w:p w14:paraId="27B04D66" w14:textId="77777777" w:rsidR="00BF6D00" w:rsidRPr="001445A8" w:rsidRDefault="00BF6D00" w:rsidP="00DB649B">
            <w:pPr>
              <w:jc w:val="center"/>
              <w:rPr>
                <w:rFonts w:ascii="Arial" w:hAnsi="Arial" w:cs="Arial"/>
                <w:color w:val="000000"/>
              </w:rPr>
            </w:pPr>
          </w:p>
        </w:tc>
        <w:tc>
          <w:tcPr>
            <w:tcW w:w="1057" w:type="dxa"/>
          </w:tcPr>
          <w:p w14:paraId="3195FA1A" w14:textId="77777777" w:rsidR="00BF6D00" w:rsidRPr="001445A8" w:rsidRDefault="00BF6D00" w:rsidP="00DB649B">
            <w:pPr>
              <w:jc w:val="center"/>
              <w:rPr>
                <w:rFonts w:ascii="Arial" w:hAnsi="Arial" w:cs="Arial"/>
                <w:color w:val="000000"/>
              </w:rPr>
            </w:pPr>
          </w:p>
        </w:tc>
        <w:tc>
          <w:tcPr>
            <w:tcW w:w="6701" w:type="dxa"/>
          </w:tcPr>
          <w:p w14:paraId="61A88C30" w14:textId="77777777" w:rsidR="00BF6D00" w:rsidRPr="001445A8" w:rsidRDefault="00BF6D00" w:rsidP="00DB649B">
            <w:pPr>
              <w:rPr>
                <w:rFonts w:ascii="Arial" w:hAnsi="Arial" w:cs="Arial"/>
                <w:color w:val="000000"/>
              </w:rPr>
            </w:pPr>
          </w:p>
        </w:tc>
      </w:tr>
      <w:tr w:rsidR="00BF6D00" w:rsidRPr="001445A8" w14:paraId="20BE7DE0" w14:textId="77777777">
        <w:trPr>
          <w:jc w:val="center"/>
        </w:trPr>
        <w:tc>
          <w:tcPr>
            <w:tcW w:w="1075" w:type="dxa"/>
          </w:tcPr>
          <w:p w14:paraId="7E34639F" w14:textId="77777777" w:rsidR="00BF6D00" w:rsidRPr="001445A8" w:rsidRDefault="00BF6D00" w:rsidP="00DB649B">
            <w:pPr>
              <w:jc w:val="center"/>
              <w:rPr>
                <w:rFonts w:ascii="Arial" w:hAnsi="Arial" w:cs="Arial"/>
                <w:color w:val="000000"/>
              </w:rPr>
            </w:pPr>
          </w:p>
        </w:tc>
        <w:tc>
          <w:tcPr>
            <w:tcW w:w="743" w:type="dxa"/>
          </w:tcPr>
          <w:p w14:paraId="3ADECC3D" w14:textId="77777777" w:rsidR="00BF6D00" w:rsidRPr="001445A8" w:rsidRDefault="00BF6D00" w:rsidP="00DB649B">
            <w:pPr>
              <w:jc w:val="center"/>
              <w:rPr>
                <w:rFonts w:ascii="Arial" w:hAnsi="Arial" w:cs="Arial"/>
                <w:color w:val="000000"/>
              </w:rPr>
            </w:pPr>
          </w:p>
        </w:tc>
        <w:tc>
          <w:tcPr>
            <w:tcW w:w="1057" w:type="dxa"/>
          </w:tcPr>
          <w:p w14:paraId="104E1535" w14:textId="77777777" w:rsidR="00BF6D00" w:rsidRPr="001445A8" w:rsidRDefault="00BF6D00" w:rsidP="00DB649B">
            <w:pPr>
              <w:jc w:val="center"/>
              <w:rPr>
                <w:rFonts w:ascii="Arial" w:hAnsi="Arial" w:cs="Arial"/>
                <w:color w:val="000000"/>
              </w:rPr>
            </w:pPr>
          </w:p>
        </w:tc>
        <w:tc>
          <w:tcPr>
            <w:tcW w:w="6701" w:type="dxa"/>
          </w:tcPr>
          <w:p w14:paraId="1E904BF3" w14:textId="77777777" w:rsidR="00BF6D00" w:rsidRPr="001445A8" w:rsidRDefault="00BF6D00" w:rsidP="00DB649B">
            <w:pPr>
              <w:rPr>
                <w:rFonts w:ascii="Arial" w:hAnsi="Arial" w:cs="Arial"/>
                <w:color w:val="000000"/>
              </w:rPr>
            </w:pPr>
          </w:p>
        </w:tc>
      </w:tr>
      <w:tr w:rsidR="00BF6D00" w:rsidRPr="001445A8" w14:paraId="0678D413" w14:textId="77777777">
        <w:trPr>
          <w:jc w:val="center"/>
        </w:trPr>
        <w:tc>
          <w:tcPr>
            <w:tcW w:w="1075" w:type="dxa"/>
          </w:tcPr>
          <w:p w14:paraId="46EFB09F" w14:textId="77777777" w:rsidR="00BF6D00" w:rsidRPr="001445A8" w:rsidRDefault="00BF6D00" w:rsidP="00DB649B">
            <w:pPr>
              <w:jc w:val="center"/>
              <w:rPr>
                <w:rFonts w:ascii="Arial" w:hAnsi="Arial" w:cs="Arial"/>
                <w:color w:val="000000"/>
              </w:rPr>
            </w:pPr>
          </w:p>
        </w:tc>
        <w:tc>
          <w:tcPr>
            <w:tcW w:w="743" w:type="dxa"/>
          </w:tcPr>
          <w:p w14:paraId="7457B114" w14:textId="77777777" w:rsidR="00BF6D00" w:rsidRPr="001445A8" w:rsidRDefault="00BF6D00" w:rsidP="00DB649B">
            <w:pPr>
              <w:jc w:val="center"/>
              <w:rPr>
                <w:rFonts w:ascii="Arial" w:hAnsi="Arial" w:cs="Arial"/>
                <w:color w:val="000000"/>
              </w:rPr>
            </w:pPr>
          </w:p>
        </w:tc>
        <w:tc>
          <w:tcPr>
            <w:tcW w:w="1057" w:type="dxa"/>
          </w:tcPr>
          <w:p w14:paraId="63314CFE" w14:textId="77777777" w:rsidR="00BF6D00" w:rsidRPr="001445A8" w:rsidRDefault="00BF6D00" w:rsidP="00DB649B">
            <w:pPr>
              <w:jc w:val="center"/>
              <w:rPr>
                <w:rFonts w:ascii="Arial" w:hAnsi="Arial" w:cs="Arial"/>
                <w:color w:val="000000"/>
              </w:rPr>
            </w:pPr>
          </w:p>
        </w:tc>
        <w:tc>
          <w:tcPr>
            <w:tcW w:w="6701" w:type="dxa"/>
          </w:tcPr>
          <w:p w14:paraId="75638882" w14:textId="77777777" w:rsidR="00BF6D00" w:rsidRPr="001445A8" w:rsidRDefault="00BF6D00" w:rsidP="00DB649B">
            <w:pPr>
              <w:rPr>
                <w:rFonts w:ascii="Arial" w:hAnsi="Arial" w:cs="Arial"/>
                <w:color w:val="000000"/>
              </w:rPr>
            </w:pPr>
          </w:p>
        </w:tc>
      </w:tr>
      <w:tr w:rsidR="00BF6D00" w:rsidRPr="001445A8" w14:paraId="386D64C2" w14:textId="77777777">
        <w:trPr>
          <w:jc w:val="center"/>
        </w:trPr>
        <w:tc>
          <w:tcPr>
            <w:tcW w:w="1075" w:type="dxa"/>
          </w:tcPr>
          <w:p w14:paraId="646C7F4B" w14:textId="77777777" w:rsidR="00BF6D00" w:rsidRPr="001445A8" w:rsidRDefault="00BF6D00" w:rsidP="00DB649B">
            <w:pPr>
              <w:jc w:val="center"/>
              <w:rPr>
                <w:rFonts w:ascii="Arial" w:hAnsi="Arial" w:cs="Arial"/>
                <w:color w:val="000000"/>
              </w:rPr>
            </w:pPr>
          </w:p>
        </w:tc>
        <w:tc>
          <w:tcPr>
            <w:tcW w:w="743" w:type="dxa"/>
          </w:tcPr>
          <w:p w14:paraId="315C4866" w14:textId="77777777" w:rsidR="00BF6D00" w:rsidRPr="001445A8" w:rsidRDefault="00BF6D00" w:rsidP="00DB649B">
            <w:pPr>
              <w:jc w:val="center"/>
              <w:rPr>
                <w:rFonts w:ascii="Arial" w:hAnsi="Arial" w:cs="Arial"/>
                <w:color w:val="000000"/>
              </w:rPr>
            </w:pPr>
          </w:p>
        </w:tc>
        <w:tc>
          <w:tcPr>
            <w:tcW w:w="1057" w:type="dxa"/>
          </w:tcPr>
          <w:p w14:paraId="3C5236F7" w14:textId="77777777" w:rsidR="00BF6D00" w:rsidRPr="001445A8" w:rsidRDefault="00BF6D00" w:rsidP="00DB649B">
            <w:pPr>
              <w:jc w:val="center"/>
              <w:rPr>
                <w:rFonts w:ascii="Arial" w:hAnsi="Arial" w:cs="Arial"/>
                <w:color w:val="000000"/>
              </w:rPr>
            </w:pPr>
          </w:p>
        </w:tc>
        <w:tc>
          <w:tcPr>
            <w:tcW w:w="6701" w:type="dxa"/>
          </w:tcPr>
          <w:p w14:paraId="39136744" w14:textId="77777777" w:rsidR="00BF6D00" w:rsidRPr="001445A8" w:rsidRDefault="00BF6D00" w:rsidP="00DB649B">
            <w:pPr>
              <w:rPr>
                <w:rFonts w:ascii="Arial" w:hAnsi="Arial" w:cs="Arial"/>
                <w:color w:val="000000"/>
              </w:rPr>
            </w:pPr>
          </w:p>
        </w:tc>
      </w:tr>
      <w:tr w:rsidR="00BF6D00" w:rsidRPr="001445A8" w14:paraId="53034FB8" w14:textId="77777777">
        <w:trPr>
          <w:jc w:val="center"/>
        </w:trPr>
        <w:tc>
          <w:tcPr>
            <w:tcW w:w="1075" w:type="dxa"/>
          </w:tcPr>
          <w:p w14:paraId="57BF4423" w14:textId="77777777" w:rsidR="00BF6D00" w:rsidRPr="001445A8" w:rsidRDefault="00BF6D00" w:rsidP="00DB649B">
            <w:pPr>
              <w:jc w:val="center"/>
              <w:rPr>
                <w:rFonts w:ascii="Arial" w:hAnsi="Arial" w:cs="Arial"/>
                <w:color w:val="000000"/>
              </w:rPr>
            </w:pPr>
          </w:p>
        </w:tc>
        <w:tc>
          <w:tcPr>
            <w:tcW w:w="743" w:type="dxa"/>
          </w:tcPr>
          <w:p w14:paraId="5FA5CE80" w14:textId="77777777" w:rsidR="00BF6D00" w:rsidRPr="001445A8" w:rsidRDefault="00BF6D00" w:rsidP="00DB649B">
            <w:pPr>
              <w:jc w:val="center"/>
              <w:rPr>
                <w:rFonts w:ascii="Arial" w:hAnsi="Arial" w:cs="Arial"/>
                <w:color w:val="000000"/>
              </w:rPr>
            </w:pPr>
          </w:p>
        </w:tc>
        <w:tc>
          <w:tcPr>
            <w:tcW w:w="1057" w:type="dxa"/>
          </w:tcPr>
          <w:p w14:paraId="76EFF1E4" w14:textId="77777777" w:rsidR="00BF6D00" w:rsidRPr="001445A8" w:rsidRDefault="00BF6D00" w:rsidP="00DB649B">
            <w:pPr>
              <w:jc w:val="center"/>
              <w:rPr>
                <w:rFonts w:ascii="Arial" w:hAnsi="Arial" w:cs="Arial"/>
                <w:color w:val="000000"/>
              </w:rPr>
            </w:pPr>
          </w:p>
        </w:tc>
        <w:tc>
          <w:tcPr>
            <w:tcW w:w="6701" w:type="dxa"/>
          </w:tcPr>
          <w:p w14:paraId="6E1FBF85" w14:textId="77777777" w:rsidR="00BF6D00" w:rsidRPr="001445A8" w:rsidRDefault="00BF6D00" w:rsidP="00DB649B">
            <w:pPr>
              <w:rPr>
                <w:rFonts w:ascii="Arial" w:hAnsi="Arial" w:cs="Arial"/>
                <w:color w:val="000000"/>
              </w:rPr>
            </w:pPr>
          </w:p>
        </w:tc>
      </w:tr>
      <w:tr w:rsidR="00BF6D00" w:rsidRPr="001445A8" w14:paraId="11BCAAC0" w14:textId="77777777">
        <w:trPr>
          <w:jc w:val="center"/>
        </w:trPr>
        <w:tc>
          <w:tcPr>
            <w:tcW w:w="1075" w:type="dxa"/>
          </w:tcPr>
          <w:p w14:paraId="4116302B" w14:textId="77777777" w:rsidR="00BF6D00" w:rsidRPr="001445A8" w:rsidRDefault="00BF6D00" w:rsidP="00DB649B">
            <w:pPr>
              <w:jc w:val="center"/>
              <w:rPr>
                <w:rFonts w:ascii="Arial" w:hAnsi="Arial" w:cs="Arial"/>
                <w:color w:val="000000"/>
              </w:rPr>
            </w:pPr>
          </w:p>
        </w:tc>
        <w:tc>
          <w:tcPr>
            <w:tcW w:w="743" w:type="dxa"/>
          </w:tcPr>
          <w:p w14:paraId="0B42B1CC" w14:textId="77777777" w:rsidR="00BF6D00" w:rsidRPr="001445A8" w:rsidRDefault="00BF6D00" w:rsidP="00DB649B">
            <w:pPr>
              <w:jc w:val="center"/>
              <w:rPr>
                <w:rFonts w:ascii="Arial" w:hAnsi="Arial" w:cs="Arial"/>
                <w:color w:val="000000"/>
              </w:rPr>
            </w:pPr>
          </w:p>
        </w:tc>
        <w:tc>
          <w:tcPr>
            <w:tcW w:w="1057" w:type="dxa"/>
          </w:tcPr>
          <w:p w14:paraId="18ABA03A" w14:textId="77777777" w:rsidR="00BF6D00" w:rsidRPr="001445A8" w:rsidRDefault="00BF6D00" w:rsidP="00DB649B">
            <w:pPr>
              <w:jc w:val="center"/>
              <w:rPr>
                <w:rFonts w:ascii="Arial" w:hAnsi="Arial" w:cs="Arial"/>
                <w:color w:val="000000"/>
              </w:rPr>
            </w:pPr>
          </w:p>
        </w:tc>
        <w:tc>
          <w:tcPr>
            <w:tcW w:w="6701" w:type="dxa"/>
          </w:tcPr>
          <w:p w14:paraId="0B2E7EA1" w14:textId="77777777" w:rsidR="00BF6D00" w:rsidRPr="001445A8" w:rsidRDefault="00BF6D00" w:rsidP="00DB649B">
            <w:pPr>
              <w:rPr>
                <w:rFonts w:ascii="Arial" w:hAnsi="Arial" w:cs="Arial"/>
                <w:color w:val="000000"/>
              </w:rPr>
            </w:pPr>
          </w:p>
        </w:tc>
      </w:tr>
      <w:tr w:rsidR="00BF6D00" w:rsidRPr="001445A8" w14:paraId="00646DB8" w14:textId="77777777">
        <w:trPr>
          <w:jc w:val="center"/>
        </w:trPr>
        <w:tc>
          <w:tcPr>
            <w:tcW w:w="1075" w:type="dxa"/>
          </w:tcPr>
          <w:p w14:paraId="0DEF4D70" w14:textId="77777777" w:rsidR="00BF6D00" w:rsidRPr="001445A8" w:rsidRDefault="00BF6D00" w:rsidP="00DB649B">
            <w:pPr>
              <w:jc w:val="center"/>
              <w:rPr>
                <w:rFonts w:ascii="Arial" w:hAnsi="Arial" w:cs="Arial"/>
                <w:color w:val="000000"/>
              </w:rPr>
            </w:pPr>
          </w:p>
        </w:tc>
        <w:tc>
          <w:tcPr>
            <w:tcW w:w="743" w:type="dxa"/>
          </w:tcPr>
          <w:p w14:paraId="307A7251" w14:textId="77777777" w:rsidR="00BF6D00" w:rsidRPr="001445A8" w:rsidRDefault="00BF6D00" w:rsidP="00DB649B">
            <w:pPr>
              <w:jc w:val="center"/>
              <w:rPr>
                <w:rFonts w:ascii="Arial" w:hAnsi="Arial" w:cs="Arial"/>
                <w:color w:val="000000"/>
              </w:rPr>
            </w:pPr>
          </w:p>
        </w:tc>
        <w:tc>
          <w:tcPr>
            <w:tcW w:w="1057" w:type="dxa"/>
          </w:tcPr>
          <w:p w14:paraId="648062D8" w14:textId="77777777" w:rsidR="00BF6D00" w:rsidRPr="001445A8" w:rsidRDefault="00BF6D00" w:rsidP="00DB649B">
            <w:pPr>
              <w:jc w:val="center"/>
              <w:rPr>
                <w:rFonts w:ascii="Arial" w:hAnsi="Arial" w:cs="Arial"/>
                <w:color w:val="000000"/>
              </w:rPr>
            </w:pPr>
          </w:p>
        </w:tc>
        <w:tc>
          <w:tcPr>
            <w:tcW w:w="6701" w:type="dxa"/>
          </w:tcPr>
          <w:p w14:paraId="2C5CD502" w14:textId="77777777" w:rsidR="00BF6D00" w:rsidRPr="001445A8" w:rsidRDefault="00BF6D00" w:rsidP="00DB649B">
            <w:pPr>
              <w:rPr>
                <w:rFonts w:ascii="Arial" w:hAnsi="Arial" w:cs="Arial"/>
                <w:color w:val="000000"/>
              </w:rPr>
            </w:pPr>
          </w:p>
        </w:tc>
      </w:tr>
      <w:tr w:rsidR="00BF6D00" w:rsidRPr="001445A8" w14:paraId="268932AE" w14:textId="77777777">
        <w:trPr>
          <w:jc w:val="center"/>
        </w:trPr>
        <w:tc>
          <w:tcPr>
            <w:tcW w:w="1075" w:type="dxa"/>
          </w:tcPr>
          <w:p w14:paraId="27D1E3F8" w14:textId="77777777" w:rsidR="00BF6D00" w:rsidRPr="001445A8" w:rsidRDefault="00BF6D00" w:rsidP="00DB649B">
            <w:pPr>
              <w:jc w:val="center"/>
              <w:rPr>
                <w:rFonts w:ascii="Arial" w:hAnsi="Arial" w:cs="Arial"/>
                <w:color w:val="000000"/>
              </w:rPr>
            </w:pPr>
          </w:p>
        </w:tc>
        <w:tc>
          <w:tcPr>
            <w:tcW w:w="743" w:type="dxa"/>
          </w:tcPr>
          <w:p w14:paraId="3A235672" w14:textId="77777777" w:rsidR="00BF6D00" w:rsidRPr="001445A8" w:rsidRDefault="00BF6D00" w:rsidP="00DB649B">
            <w:pPr>
              <w:jc w:val="center"/>
              <w:rPr>
                <w:rFonts w:ascii="Arial" w:hAnsi="Arial" w:cs="Arial"/>
                <w:color w:val="000000"/>
              </w:rPr>
            </w:pPr>
          </w:p>
        </w:tc>
        <w:tc>
          <w:tcPr>
            <w:tcW w:w="1057" w:type="dxa"/>
          </w:tcPr>
          <w:p w14:paraId="78B821DC" w14:textId="77777777" w:rsidR="00BF6D00" w:rsidRPr="001445A8" w:rsidRDefault="00BF6D00" w:rsidP="00DB649B">
            <w:pPr>
              <w:jc w:val="center"/>
              <w:rPr>
                <w:rFonts w:ascii="Arial" w:hAnsi="Arial" w:cs="Arial"/>
                <w:color w:val="000000"/>
              </w:rPr>
            </w:pPr>
          </w:p>
        </w:tc>
        <w:tc>
          <w:tcPr>
            <w:tcW w:w="6701" w:type="dxa"/>
          </w:tcPr>
          <w:p w14:paraId="4AF7FBF1" w14:textId="77777777" w:rsidR="00BF6D00" w:rsidRPr="001445A8" w:rsidRDefault="00BF6D00" w:rsidP="00DB649B">
            <w:pPr>
              <w:rPr>
                <w:rFonts w:ascii="Arial" w:hAnsi="Arial" w:cs="Arial"/>
                <w:color w:val="000000"/>
              </w:rPr>
            </w:pPr>
          </w:p>
        </w:tc>
      </w:tr>
      <w:tr w:rsidR="00BF6D00" w:rsidRPr="001445A8" w14:paraId="0E473622" w14:textId="77777777">
        <w:trPr>
          <w:jc w:val="center"/>
        </w:trPr>
        <w:tc>
          <w:tcPr>
            <w:tcW w:w="1075" w:type="dxa"/>
          </w:tcPr>
          <w:p w14:paraId="786A06CA" w14:textId="77777777" w:rsidR="00BF6D00" w:rsidRPr="001445A8" w:rsidRDefault="00BF6D00" w:rsidP="00DB649B">
            <w:pPr>
              <w:jc w:val="center"/>
              <w:rPr>
                <w:rFonts w:ascii="Arial" w:hAnsi="Arial" w:cs="Arial"/>
                <w:color w:val="000000"/>
              </w:rPr>
            </w:pPr>
          </w:p>
        </w:tc>
        <w:tc>
          <w:tcPr>
            <w:tcW w:w="743" w:type="dxa"/>
          </w:tcPr>
          <w:p w14:paraId="16935B76" w14:textId="77777777" w:rsidR="00BF6D00" w:rsidRPr="001445A8" w:rsidRDefault="00BF6D00" w:rsidP="00DB649B">
            <w:pPr>
              <w:jc w:val="center"/>
              <w:rPr>
                <w:rFonts w:ascii="Arial" w:hAnsi="Arial" w:cs="Arial"/>
                <w:color w:val="000000"/>
              </w:rPr>
            </w:pPr>
          </w:p>
        </w:tc>
        <w:tc>
          <w:tcPr>
            <w:tcW w:w="1057" w:type="dxa"/>
          </w:tcPr>
          <w:p w14:paraId="2E287CE2" w14:textId="77777777" w:rsidR="00BF6D00" w:rsidRPr="001445A8" w:rsidRDefault="00BF6D00" w:rsidP="00DB649B">
            <w:pPr>
              <w:jc w:val="center"/>
              <w:rPr>
                <w:rFonts w:ascii="Arial" w:hAnsi="Arial" w:cs="Arial"/>
                <w:color w:val="000000"/>
              </w:rPr>
            </w:pPr>
          </w:p>
        </w:tc>
        <w:tc>
          <w:tcPr>
            <w:tcW w:w="6701" w:type="dxa"/>
          </w:tcPr>
          <w:p w14:paraId="624BBAB9" w14:textId="77777777" w:rsidR="00BF6D00" w:rsidRPr="001445A8" w:rsidRDefault="00BF6D00" w:rsidP="00DB649B">
            <w:pPr>
              <w:rPr>
                <w:rFonts w:ascii="Arial" w:hAnsi="Arial" w:cs="Arial"/>
                <w:color w:val="000000"/>
              </w:rPr>
            </w:pPr>
          </w:p>
        </w:tc>
      </w:tr>
      <w:tr w:rsidR="00BF6D00" w:rsidRPr="001445A8" w14:paraId="09A9A7C9" w14:textId="77777777">
        <w:trPr>
          <w:jc w:val="center"/>
        </w:trPr>
        <w:tc>
          <w:tcPr>
            <w:tcW w:w="1075" w:type="dxa"/>
          </w:tcPr>
          <w:p w14:paraId="5CF4718B" w14:textId="77777777" w:rsidR="00BF6D00" w:rsidRPr="001445A8" w:rsidRDefault="00BF6D00" w:rsidP="00DB649B">
            <w:pPr>
              <w:jc w:val="center"/>
              <w:rPr>
                <w:rFonts w:ascii="Arial" w:hAnsi="Arial" w:cs="Arial"/>
                <w:color w:val="000000"/>
              </w:rPr>
            </w:pPr>
          </w:p>
        </w:tc>
        <w:tc>
          <w:tcPr>
            <w:tcW w:w="743" w:type="dxa"/>
          </w:tcPr>
          <w:p w14:paraId="28B4CE5E" w14:textId="77777777" w:rsidR="00BF6D00" w:rsidRPr="001445A8" w:rsidRDefault="00BF6D00" w:rsidP="00DB649B">
            <w:pPr>
              <w:jc w:val="center"/>
              <w:rPr>
                <w:rFonts w:ascii="Arial" w:hAnsi="Arial" w:cs="Arial"/>
                <w:color w:val="000000"/>
              </w:rPr>
            </w:pPr>
          </w:p>
        </w:tc>
        <w:tc>
          <w:tcPr>
            <w:tcW w:w="1057" w:type="dxa"/>
          </w:tcPr>
          <w:p w14:paraId="3B5DC311" w14:textId="77777777" w:rsidR="00BF6D00" w:rsidRPr="001445A8" w:rsidRDefault="00BF6D00" w:rsidP="00DB649B">
            <w:pPr>
              <w:jc w:val="center"/>
              <w:rPr>
                <w:rFonts w:ascii="Arial" w:hAnsi="Arial" w:cs="Arial"/>
                <w:color w:val="000000"/>
              </w:rPr>
            </w:pPr>
          </w:p>
        </w:tc>
        <w:tc>
          <w:tcPr>
            <w:tcW w:w="6701" w:type="dxa"/>
          </w:tcPr>
          <w:p w14:paraId="171131A1" w14:textId="77777777" w:rsidR="00BF6D00" w:rsidRPr="001445A8" w:rsidRDefault="00BF6D00" w:rsidP="00DB649B">
            <w:pPr>
              <w:rPr>
                <w:rFonts w:ascii="Arial" w:hAnsi="Arial" w:cs="Arial"/>
                <w:color w:val="000000"/>
              </w:rPr>
            </w:pPr>
          </w:p>
        </w:tc>
      </w:tr>
    </w:tbl>
    <w:p w14:paraId="4C9689A2" w14:textId="77777777" w:rsidR="00217B63" w:rsidRDefault="00217B63" w:rsidP="00217B63">
      <w:pPr>
        <w:jc w:val="both"/>
        <w:rPr>
          <w:color w:val="000000"/>
        </w:rPr>
      </w:pPr>
    </w:p>
    <w:p w14:paraId="462AEDDC" w14:textId="77777777" w:rsidR="00BF6D00" w:rsidRDefault="00BF6D00" w:rsidP="00217B63">
      <w:pPr>
        <w:jc w:val="both"/>
        <w:rPr>
          <w:color w:val="000000"/>
        </w:rPr>
      </w:pPr>
    </w:p>
    <w:p w14:paraId="77F3DADF" w14:textId="77777777" w:rsidR="00BF6D00" w:rsidRDefault="00BF6D00" w:rsidP="00BF6D00">
      <w:pPr>
        <w:rPr>
          <w:color w:val="000000"/>
        </w:rPr>
      </w:pPr>
    </w:p>
    <w:p w14:paraId="752DE75B" w14:textId="2C9199DA" w:rsidR="007225FD" w:rsidRPr="00A17EC8" w:rsidRDefault="007225FD" w:rsidP="00A17EC8">
      <w:pPr>
        <w:jc w:val="both"/>
        <w:rPr>
          <w:color w:val="000000"/>
        </w:rPr>
      </w:pPr>
    </w:p>
    <w:p w14:paraId="7D117B3A" w14:textId="77777777" w:rsidR="004148DA" w:rsidRPr="005B332C" w:rsidRDefault="00A33CDB" w:rsidP="00F255F7">
      <w:pPr>
        <w:rPr>
          <w:sz w:val="24"/>
          <w:szCs w:val="24"/>
        </w:rPr>
      </w:pPr>
      <w:r>
        <w:rPr>
          <w:sz w:val="24"/>
          <w:szCs w:val="24"/>
        </w:rPr>
        <w:br w:type="page"/>
      </w:r>
    </w:p>
    <w:p w14:paraId="22B152F0" w14:textId="77777777" w:rsidR="00F255F7" w:rsidRDefault="004B2DDF" w:rsidP="001445A8">
      <w:pPr>
        <w:pStyle w:val="Level1"/>
      </w:pPr>
      <w:bookmarkStart w:id="1" w:name="_Toc86075271"/>
      <w:r>
        <w:lastRenderedPageBreak/>
        <w:t>Introduction</w:t>
      </w:r>
      <w:r w:rsidR="000D34D8">
        <w:t xml:space="preserve"> and Scope</w:t>
      </w:r>
      <w:bookmarkEnd w:id="1"/>
    </w:p>
    <w:p w14:paraId="07C78633" w14:textId="77777777" w:rsidR="004B2DDF" w:rsidRDefault="004B2DDF" w:rsidP="004B2DDF">
      <w:pPr>
        <w:pStyle w:val="Level1"/>
        <w:numPr>
          <w:ilvl w:val="0"/>
          <w:numId w:val="0"/>
        </w:numPr>
        <w:ind w:left="360"/>
      </w:pPr>
    </w:p>
    <w:p w14:paraId="0C74112C" w14:textId="77777777" w:rsidR="000D34D8" w:rsidRDefault="002E03D0" w:rsidP="00FF09E5">
      <w:pPr>
        <w:jc w:val="both"/>
      </w:pPr>
      <w:r>
        <w:t xml:space="preserve">MQXFA07 magnet was tested at BNL Vertical Test facility in August 2021. During vertical test MQXFA07 did not reached nominal current at 1.9 K and 20 A/s </w:t>
      </w:r>
      <w:r w:rsidR="00137CB4">
        <w:t xml:space="preserve">ramp </w:t>
      </w:r>
      <w:r>
        <w:t xml:space="preserve">rate [1]. Test performance and analysis [2] showed that MQXFA07 is limited by </w:t>
      </w:r>
      <w:r w:rsidR="00137CB4">
        <w:t xml:space="preserve">self-field instability triggered by an unknown issue in </w:t>
      </w:r>
      <w:r>
        <w:t xml:space="preserve">coil 214.  </w:t>
      </w:r>
      <w:r w:rsidR="000D34D8">
        <w:t>MQXFA07 will be sent to LBNL for disassembly and inspection.</w:t>
      </w:r>
    </w:p>
    <w:p w14:paraId="5BC372C4" w14:textId="77777777" w:rsidR="004B2DDF" w:rsidRDefault="000D34D8" w:rsidP="00FF09E5">
      <w:pPr>
        <w:jc w:val="both"/>
      </w:pPr>
      <w:r>
        <w:t>This document describes MQXFA07 inspection plan after arrival at LBNL, inspection of all coils after magnet dis-assembly, and investigation plan for coil 214.</w:t>
      </w:r>
    </w:p>
    <w:p w14:paraId="7416A25D" w14:textId="77777777" w:rsidR="002E03D0" w:rsidRDefault="002E03D0" w:rsidP="002E03D0">
      <w:pPr>
        <w:pStyle w:val="Level1"/>
        <w:numPr>
          <w:ilvl w:val="0"/>
          <w:numId w:val="0"/>
        </w:numPr>
        <w:ind w:left="360" w:hanging="360"/>
      </w:pPr>
    </w:p>
    <w:p w14:paraId="235FCFD5" w14:textId="77777777" w:rsidR="00474251" w:rsidRDefault="00474251" w:rsidP="002E03D0">
      <w:pPr>
        <w:pStyle w:val="Level1"/>
        <w:numPr>
          <w:ilvl w:val="0"/>
          <w:numId w:val="0"/>
        </w:numPr>
        <w:ind w:left="360" w:hanging="360"/>
      </w:pPr>
    </w:p>
    <w:p w14:paraId="2DB4F692" w14:textId="77777777" w:rsidR="00564794" w:rsidRDefault="00564794" w:rsidP="004F41C9">
      <w:pPr>
        <w:pStyle w:val="Level1"/>
      </w:pPr>
      <w:bookmarkStart w:id="2" w:name="_Toc86075272"/>
      <w:r>
        <w:t>Inspection and Magnetic Measurements at LBNL before Magnet Dis-assembly</w:t>
      </w:r>
      <w:bookmarkEnd w:id="2"/>
    </w:p>
    <w:p w14:paraId="126410DD" w14:textId="77777777" w:rsidR="004F41C9" w:rsidRDefault="004F41C9" w:rsidP="004F41C9">
      <w:pPr>
        <w:pStyle w:val="Level1"/>
        <w:numPr>
          <w:ilvl w:val="0"/>
          <w:numId w:val="0"/>
        </w:numPr>
      </w:pPr>
    </w:p>
    <w:p w14:paraId="23E7AF40" w14:textId="77777777" w:rsidR="00464C9F" w:rsidRDefault="00464C9F" w:rsidP="00464C9F">
      <w:r>
        <w:t>After magnet is delivered to LBNL, it should be visually inspected in order to detect and record any possible anomaly or difference vs as built conditions.</w:t>
      </w:r>
      <w:r w:rsidRPr="004F41C9">
        <w:t xml:space="preserve"> Magnetic measurements should be performed</w:t>
      </w:r>
      <w:r>
        <w:t xml:space="preserve"> in order to compare with the magnetic measurements after loading.</w:t>
      </w:r>
    </w:p>
    <w:p w14:paraId="0A3AF03D" w14:textId="77777777" w:rsidR="007A0478" w:rsidRDefault="007A0478" w:rsidP="007A0478">
      <w:r>
        <w:t xml:space="preserve">The pre-disassembly inspection is described in the MQXFA Dis-assembly WI [3] and it will include the following measurements </w:t>
      </w:r>
    </w:p>
    <w:p w14:paraId="121EFA4D" w14:textId="77777777" w:rsidR="003B1D3A" w:rsidRDefault="003B1D3A" w:rsidP="007A0478">
      <w:pPr>
        <w:pStyle w:val="ListParagraph"/>
        <w:numPr>
          <w:ilvl w:val="0"/>
          <w:numId w:val="41"/>
        </w:numPr>
      </w:pPr>
      <w:r>
        <w:t>Pi tape measurements of magnet OD</w:t>
      </w:r>
    </w:p>
    <w:p w14:paraId="497520E8" w14:textId="77777777" w:rsidR="003B1D3A" w:rsidRDefault="003B1D3A" w:rsidP="003B1D3A">
      <w:pPr>
        <w:pStyle w:val="ListParagraph"/>
        <w:numPr>
          <w:ilvl w:val="0"/>
          <w:numId w:val="41"/>
        </w:numPr>
        <w:jc w:val="both"/>
      </w:pPr>
      <w:r>
        <w:t>Magnet overall length</w:t>
      </w:r>
    </w:p>
    <w:p w14:paraId="2D7C4251" w14:textId="77777777" w:rsidR="003B1D3A" w:rsidRDefault="00FF69E7" w:rsidP="003B1D3A">
      <w:pPr>
        <w:pStyle w:val="ListParagraph"/>
        <w:numPr>
          <w:ilvl w:val="0"/>
          <w:numId w:val="41"/>
        </w:numPr>
        <w:jc w:val="both"/>
      </w:pPr>
      <w:r>
        <w:t xml:space="preserve">Magnetic measurements (field quality and </w:t>
      </w:r>
      <w:r w:rsidR="007A0478">
        <w:t>alignment</w:t>
      </w:r>
      <w:r>
        <w:t>)</w:t>
      </w:r>
      <w:r w:rsidR="003B1D3A">
        <w:t xml:space="preserve"> </w:t>
      </w:r>
    </w:p>
    <w:p w14:paraId="1308F5B2" w14:textId="77777777" w:rsidR="004F41C9" w:rsidRDefault="003B1D3A" w:rsidP="003B1D3A">
      <w:pPr>
        <w:jc w:val="both"/>
      </w:pPr>
      <w:r>
        <w:t xml:space="preserve">All data will be compared with the ones taken after assembly. </w:t>
      </w:r>
    </w:p>
    <w:p w14:paraId="59C66017" w14:textId="468957B9" w:rsidR="003B1D3A" w:rsidRDefault="003B1D3A" w:rsidP="003B1D3A">
      <w:pPr>
        <w:jc w:val="both"/>
      </w:pPr>
    </w:p>
    <w:p w14:paraId="1DF732FE" w14:textId="77777777" w:rsidR="003A1ED5" w:rsidRDefault="003A1ED5" w:rsidP="003B1D3A">
      <w:pPr>
        <w:jc w:val="both"/>
      </w:pPr>
    </w:p>
    <w:p w14:paraId="2A613590" w14:textId="77777777" w:rsidR="003B1D3A" w:rsidRDefault="00130EBA" w:rsidP="003B1D3A">
      <w:pPr>
        <w:pStyle w:val="Level1"/>
      </w:pPr>
      <w:r>
        <w:t>Splice box d</w:t>
      </w:r>
      <w:r w:rsidR="00D00057">
        <w:t xml:space="preserve">isassembly and </w:t>
      </w:r>
      <w:r>
        <w:t xml:space="preserve">magnet </w:t>
      </w:r>
      <w:r w:rsidR="00D00057">
        <w:t>unloading</w:t>
      </w:r>
    </w:p>
    <w:p w14:paraId="6E509BAB" w14:textId="77777777" w:rsidR="003B1D3A" w:rsidRDefault="003B1D3A" w:rsidP="003B1D3A">
      <w:pPr>
        <w:jc w:val="both"/>
      </w:pPr>
    </w:p>
    <w:p w14:paraId="2570DE77" w14:textId="77777777" w:rsidR="007A0478" w:rsidRDefault="004F41C9" w:rsidP="003B1D3A">
      <w:pPr>
        <w:jc w:val="both"/>
      </w:pPr>
      <w:r>
        <w:t>After inspection and magnetic measurements</w:t>
      </w:r>
      <w:r w:rsidR="00BC383D">
        <w:t>,</w:t>
      </w:r>
      <w:r>
        <w:t xml:space="preserve"> the magnet should be dis-assembled following the MQXFA Dis-assembly WI [3].</w:t>
      </w:r>
      <w:r w:rsidR="003B1D3A">
        <w:t xml:space="preserve"> </w:t>
      </w:r>
      <w:r w:rsidR="007A0478">
        <w:t>A summary of the key work instruction is given below:</w:t>
      </w:r>
    </w:p>
    <w:p w14:paraId="76135212" w14:textId="77777777" w:rsidR="003B1D3A" w:rsidRDefault="003B1D3A" w:rsidP="003B1D3A">
      <w:pPr>
        <w:pStyle w:val="ListParagraph"/>
        <w:numPr>
          <w:ilvl w:val="0"/>
          <w:numId w:val="40"/>
        </w:numPr>
        <w:spacing w:before="0" w:after="160" w:line="256" w:lineRule="auto"/>
      </w:pPr>
      <w:r>
        <w:t>Disassembly of splice box</w:t>
      </w:r>
    </w:p>
    <w:p w14:paraId="5E406A62" w14:textId="77777777" w:rsidR="003B1D3A" w:rsidRDefault="007A0478" w:rsidP="003B1D3A">
      <w:pPr>
        <w:pStyle w:val="ListParagraph"/>
        <w:numPr>
          <w:ilvl w:val="0"/>
          <w:numId w:val="40"/>
        </w:numPr>
        <w:spacing w:before="0" w:after="160" w:line="256" w:lineRule="auto"/>
      </w:pPr>
      <w:r>
        <w:t>Un-</w:t>
      </w:r>
      <w:r w:rsidR="003B1D3A">
        <w:t xml:space="preserve">wiring </w:t>
      </w:r>
    </w:p>
    <w:p w14:paraId="683E1687" w14:textId="77777777" w:rsidR="003B1D3A" w:rsidRDefault="003B1D3A" w:rsidP="003B1D3A">
      <w:pPr>
        <w:pStyle w:val="ListParagraph"/>
        <w:numPr>
          <w:ilvl w:val="0"/>
          <w:numId w:val="40"/>
        </w:numPr>
        <w:spacing w:before="0" w:after="160" w:line="256" w:lineRule="auto"/>
      </w:pPr>
      <w:r>
        <w:t xml:space="preserve">Unloading with bladders </w:t>
      </w:r>
    </w:p>
    <w:p w14:paraId="30F32C95" w14:textId="77777777" w:rsidR="007A0478" w:rsidRDefault="003B1D3A" w:rsidP="007A0478">
      <w:pPr>
        <w:pStyle w:val="ListParagraph"/>
        <w:numPr>
          <w:ilvl w:val="1"/>
          <w:numId w:val="40"/>
        </w:numPr>
        <w:spacing w:before="0" w:after="160" w:line="256" w:lineRule="auto"/>
      </w:pPr>
      <w:r>
        <w:t xml:space="preserve">During unloading strain on shell, rods, and coils will be </w:t>
      </w:r>
      <w:r w:rsidR="00DE30CC">
        <w:t xml:space="preserve">recorded by </w:t>
      </w:r>
      <w:r>
        <w:t>strain gauges</w:t>
      </w:r>
      <w:r w:rsidR="003276FE">
        <w:t xml:space="preserve"> </w:t>
      </w:r>
    </w:p>
    <w:p w14:paraId="7C022D69" w14:textId="77777777" w:rsidR="007A0478" w:rsidRDefault="007A0478" w:rsidP="007A0478">
      <w:pPr>
        <w:pStyle w:val="ListParagraph"/>
        <w:numPr>
          <w:ilvl w:val="0"/>
          <w:numId w:val="40"/>
        </w:numPr>
        <w:spacing w:before="0" w:after="160" w:line="256" w:lineRule="auto"/>
      </w:pPr>
      <w:r>
        <w:t>Removal of end plates and axial rods</w:t>
      </w:r>
    </w:p>
    <w:p w14:paraId="7A951AD0" w14:textId="77777777" w:rsidR="007A0478" w:rsidRDefault="007A0478" w:rsidP="007A0478">
      <w:pPr>
        <w:pStyle w:val="ListParagraph"/>
        <w:numPr>
          <w:ilvl w:val="1"/>
          <w:numId w:val="40"/>
        </w:numPr>
        <w:spacing w:before="0" w:after="160" w:line="256" w:lineRule="auto"/>
      </w:pPr>
      <w:r>
        <w:t>The residual strain in the rods should be measured and compared to initial offsets, to check for possible plastic deformation</w:t>
      </w:r>
    </w:p>
    <w:p w14:paraId="45329F90" w14:textId="77777777" w:rsidR="007A0478" w:rsidRDefault="007A0478" w:rsidP="007A0478">
      <w:pPr>
        <w:pStyle w:val="ListParagraph"/>
        <w:numPr>
          <w:ilvl w:val="1"/>
          <w:numId w:val="40"/>
        </w:numPr>
        <w:spacing w:before="0" w:after="160" w:line="256" w:lineRule="auto"/>
      </w:pPr>
      <w:r>
        <w:t xml:space="preserve">The end plates’ flatness should be verified, to check for possible plastic deformation </w:t>
      </w:r>
    </w:p>
    <w:p w14:paraId="422036D9" w14:textId="77777777" w:rsidR="007A0478" w:rsidRDefault="007A0478" w:rsidP="007A0478">
      <w:pPr>
        <w:pStyle w:val="ListParagraph"/>
        <w:numPr>
          <w:ilvl w:val="0"/>
          <w:numId w:val="40"/>
        </w:numPr>
        <w:spacing w:before="0" w:after="160" w:line="256" w:lineRule="auto"/>
      </w:pPr>
      <w:r>
        <w:t>Extraction of master keys</w:t>
      </w:r>
    </w:p>
    <w:p w14:paraId="68E4ED02" w14:textId="77777777" w:rsidR="007A0478" w:rsidRDefault="007A0478" w:rsidP="007A0478">
      <w:pPr>
        <w:pStyle w:val="ListParagraph"/>
        <w:numPr>
          <w:ilvl w:val="1"/>
          <w:numId w:val="40"/>
        </w:numPr>
        <w:spacing w:before="0" w:after="160" w:line="256" w:lineRule="auto"/>
      </w:pPr>
      <w:r>
        <w:t xml:space="preserve">Master keys will be visually inspected, and cleaned of any surface rust from moisture, etc. </w:t>
      </w:r>
    </w:p>
    <w:p w14:paraId="31655F30" w14:textId="77777777" w:rsidR="007A0478" w:rsidRDefault="007A0478" w:rsidP="007A0478">
      <w:pPr>
        <w:pStyle w:val="ListParagraph"/>
        <w:numPr>
          <w:ilvl w:val="0"/>
          <w:numId w:val="40"/>
        </w:numPr>
        <w:spacing w:before="0" w:after="160" w:line="256" w:lineRule="auto"/>
      </w:pPr>
      <w:r>
        <w:t>Extraction of coil pack</w:t>
      </w:r>
    </w:p>
    <w:p w14:paraId="190178C6" w14:textId="77777777" w:rsidR="007A0478" w:rsidRDefault="007A0478" w:rsidP="007A0478">
      <w:pPr>
        <w:pStyle w:val="ListParagraph"/>
        <w:numPr>
          <w:ilvl w:val="1"/>
          <w:numId w:val="40"/>
        </w:numPr>
        <w:spacing w:before="0" w:after="160" w:line="256" w:lineRule="auto"/>
      </w:pPr>
      <w:r>
        <w:t xml:space="preserve">The following measurements will be performed on the coil pack and compared with values before loading </w:t>
      </w:r>
    </w:p>
    <w:p w14:paraId="68831094" w14:textId="77777777" w:rsidR="007A0478" w:rsidRDefault="007A0478" w:rsidP="007A0478">
      <w:pPr>
        <w:pStyle w:val="ListParagraph"/>
        <w:numPr>
          <w:ilvl w:val="2"/>
          <w:numId w:val="40"/>
        </w:numPr>
        <w:spacing w:before="0" w:after="160" w:line="256" w:lineRule="auto"/>
      </w:pPr>
      <w:r>
        <w:t>Vertical dimensions</w:t>
      </w:r>
    </w:p>
    <w:p w14:paraId="071FF701" w14:textId="77777777" w:rsidR="007A0478" w:rsidRDefault="007A0478" w:rsidP="007A0478">
      <w:pPr>
        <w:pStyle w:val="ListParagraph"/>
        <w:numPr>
          <w:ilvl w:val="2"/>
          <w:numId w:val="40"/>
        </w:numPr>
        <w:spacing w:before="0" w:after="160" w:line="256" w:lineRule="auto"/>
      </w:pPr>
      <w:r>
        <w:t>Horizontal dimensions</w:t>
      </w:r>
    </w:p>
    <w:p w14:paraId="705390CA" w14:textId="77777777" w:rsidR="007A0478" w:rsidRDefault="007A0478" w:rsidP="007A0478">
      <w:pPr>
        <w:pStyle w:val="ListParagraph"/>
        <w:numPr>
          <w:ilvl w:val="2"/>
          <w:numId w:val="40"/>
        </w:numPr>
        <w:spacing w:before="0" w:after="160" w:line="256" w:lineRule="auto"/>
      </w:pPr>
      <w:r>
        <w:t>Pole key gaps</w:t>
      </w:r>
    </w:p>
    <w:p w14:paraId="50E694C3" w14:textId="77777777" w:rsidR="007A0478" w:rsidRDefault="007A0478" w:rsidP="007A0478">
      <w:pPr>
        <w:pStyle w:val="ListParagraph"/>
        <w:numPr>
          <w:ilvl w:val="0"/>
          <w:numId w:val="40"/>
        </w:numPr>
        <w:spacing w:before="0" w:after="160" w:line="256" w:lineRule="auto"/>
      </w:pPr>
      <w:r>
        <w:t xml:space="preserve">Measurements on the shell-yoke sub-assemblies, to be compared with values before loading </w:t>
      </w:r>
    </w:p>
    <w:p w14:paraId="38E5CE96" w14:textId="77777777" w:rsidR="007A0478" w:rsidRDefault="007A0478" w:rsidP="007A0478">
      <w:pPr>
        <w:pStyle w:val="ListParagraph"/>
        <w:numPr>
          <w:ilvl w:val="1"/>
          <w:numId w:val="40"/>
        </w:numPr>
        <w:spacing w:before="0" w:after="160" w:line="256" w:lineRule="auto"/>
      </w:pPr>
      <w:r>
        <w:t>Yoke protrusions</w:t>
      </w:r>
    </w:p>
    <w:p w14:paraId="633330D9" w14:textId="77777777" w:rsidR="007A0478" w:rsidRDefault="007A0478" w:rsidP="007A0478">
      <w:pPr>
        <w:pStyle w:val="ListParagraph"/>
        <w:numPr>
          <w:ilvl w:val="1"/>
          <w:numId w:val="40"/>
        </w:numPr>
        <w:spacing w:before="0" w:after="160" w:line="256" w:lineRule="auto"/>
      </w:pPr>
      <w:r>
        <w:t>Yoke opening/cavity</w:t>
      </w:r>
    </w:p>
    <w:p w14:paraId="3DE5E54D" w14:textId="77777777" w:rsidR="007A0478" w:rsidRDefault="007A0478" w:rsidP="007A0478">
      <w:pPr>
        <w:pStyle w:val="ListParagraph"/>
        <w:numPr>
          <w:ilvl w:val="1"/>
          <w:numId w:val="40"/>
        </w:numPr>
        <w:spacing w:before="0" w:after="160" w:line="256" w:lineRule="auto"/>
      </w:pPr>
      <w:r>
        <w:t>Pi tape measurement of shell OD</w:t>
      </w:r>
    </w:p>
    <w:p w14:paraId="379A871A" w14:textId="77777777" w:rsidR="007A0478" w:rsidRDefault="007A0478" w:rsidP="007A0478">
      <w:pPr>
        <w:pStyle w:val="ListParagraph"/>
        <w:numPr>
          <w:ilvl w:val="1"/>
          <w:numId w:val="40"/>
        </w:numPr>
        <w:spacing w:before="0" w:after="160" w:line="256" w:lineRule="auto"/>
      </w:pPr>
      <w:r>
        <w:lastRenderedPageBreak/>
        <w:t xml:space="preserve">Shell strain measured by strain gauges </w:t>
      </w:r>
    </w:p>
    <w:p w14:paraId="3E3DB8E7" w14:textId="77777777" w:rsidR="007A0478" w:rsidRDefault="007A0478" w:rsidP="007A0478">
      <w:pPr>
        <w:pStyle w:val="ListParagraph"/>
        <w:numPr>
          <w:ilvl w:val="0"/>
          <w:numId w:val="40"/>
        </w:numPr>
        <w:spacing w:before="0" w:after="160" w:line="256" w:lineRule="auto"/>
      </w:pPr>
      <w:r>
        <w:t xml:space="preserve">Disassembly of coil pack </w:t>
      </w:r>
    </w:p>
    <w:p w14:paraId="60EB4231" w14:textId="77777777" w:rsidR="007A0478" w:rsidRDefault="007A0478" w:rsidP="007A0478">
      <w:pPr>
        <w:pStyle w:val="ListParagraph"/>
        <w:numPr>
          <w:ilvl w:val="0"/>
          <w:numId w:val="40"/>
        </w:numPr>
        <w:spacing w:before="0" w:after="160" w:line="256" w:lineRule="auto"/>
      </w:pPr>
      <w:r>
        <w:t>Removal and visual inspection of coil GPI</w:t>
      </w:r>
    </w:p>
    <w:p w14:paraId="3C574E8F" w14:textId="77777777" w:rsidR="007A0478" w:rsidRDefault="007A0478" w:rsidP="007A0478">
      <w:pPr>
        <w:pStyle w:val="ListParagraph"/>
        <w:numPr>
          <w:ilvl w:val="0"/>
          <w:numId w:val="40"/>
        </w:numPr>
        <w:spacing w:before="0" w:after="160" w:line="256" w:lineRule="auto"/>
      </w:pPr>
      <w:r>
        <w:t>Inspection of collar Radial layers (G11/Kapton); to be replaced in case of damage</w:t>
      </w:r>
    </w:p>
    <w:p w14:paraId="7C6D87FB" w14:textId="77777777" w:rsidR="007A0478" w:rsidRDefault="007A0478" w:rsidP="007A0478">
      <w:pPr>
        <w:pStyle w:val="ListParagraph"/>
        <w:numPr>
          <w:ilvl w:val="0"/>
          <w:numId w:val="40"/>
        </w:numPr>
        <w:spacing w:before="0" w:after="160" w:line="256" w:lineRule="auto"/>
      </w:pPr>
      <w:r>
        <w:t xml:space="preserve">Measurements of pad/collar stacks overall lengths and comparison with values before loading </w:t>
      </w:r>
    </w:p>
    <w:p w14:paraId="1106A5B1" w14:textId="69E55FF0" w:rsidR="007A0478" w:rsidRDefault="007A0478" w:rsidP="007A0478">
      <w:pPr>
        <w:pStyle w:val="ListParagraph"/>
        <w:numPr>
          <w:ilvl w:val="0"/>
          <w:numId w:val="40"/>
        </w:numPr>
        <w:spacing w:before="0" w:after="160" w:line="256" w:lineRule="auto"/>
      </w:pPr>
      <w:r>
        <w:t>CMM measurements of all the coils</w:t>
      </w:r>
      <w:r w:rsidR="003A1ED5">
        <w:t>,</w:t>
      </w:r>
      <w:r>
        <w:t xml:space="preserve"> comparison with values before loading</w:t>
      </w:r>
      <w:r w:rsidR="003A1ED5">
        <w:t>,</w:t>
      </w:r>
      <w:r>
        <w:t xml:space="preserve"> and </w:t>
      </w:r>
      <w:r w:rsidR="003A1ED5">
        <w:t xml:space="preserve">check that coil dimensions are </w:t>
      </w:r>
      <w:r>
        <w:t>with</w:t>
      </w:r>
      <w:r w:rsidR="003A1ED5">
        <w:t>in</w:t>
      </w:r>
      <w:r>
        <w:t xml:space="preserve"> specs</w:t>
      </w:r>
    </w:p>
    <w:p w14:paraId="470F345E" w14:textId="77777777" w:rsidR="007A0478" w:rsidRDefault="007A0478" w:rsidP="007A0478">
      <w:pPr>
        <w:pStyle w:val="ListParagraph"/>
        <w:numPr>
          <w:ilvl w:val="0"/>
          <w:numId w:val="40"/>
        </w:numPr>
        <w:spacing w:before="0" w:after="160" w:line="256" w:lineRule="auto"/>
      </w:pPr>
      <w:r>
        <w:t>Photographs should be taken along the length of all coils on both inner and outer layers.</w:t>
      </w:r>
    </w:p>
    <w:p w14:paraId="2D58D56A" w14:textId="77777777" w:rsidR="007A0478" w:rsidRDefault="007A0478" w:rsidP="007A0478">
      <w:pPr>
        <w:spacing w:before="0" w:after="160" w:line="256" w:lineRule="auto"/>
        <w:ind w:left="360"/>
      </w:pPr>
    </w:p>
    <w:p w14:paraId="44000020" w14:textId="77777777" w:rsidR="007A0478" w:rsidRDefault="007A0478" w:rsidP="007A0478">
      <w:pPr>
        <w:spacing w:before="0" w:after="160" w:line="256" w:lineRule="auto"/>
      </w:pPr>
      <w:r>
        <w:t>Specifically related to MQXFA07, it is important to point out that both end plates and splice box will need to be modified to provide clearance for the heat exchanger tubes.</w:t>
      </w:r>
    </w:p>
    <w:p w14:paraId="4F11A371" w14:textId="77777777" w:rsidR="003B1D3A" w:rsidRDefault="003B1D3A" w:rsidP="007A0478">
      <w:pPr>
        <w:spacing w:before="0" w:after="160" w:line="256" w:lineRule="auto"/>
      </w:pPr>
    </w:p>
    <w:p w14:paraId="72B7FB64" w14:textId="77777777" w:rsidR="00564794" w:rsidRDefault="00564794" w:rsidP="001445A8">
      <w:pPr>
        <w:pStyle w:val="Level1"/>
      </w:pPr>
      <w:bookmarkStart w:id="3" w:name="_Toc86075273"/>
      <w:r>
        <w:t xml:space="preserve">Inspection after </w:t>
      </w:r>
      <w:r w:rsidR="0094093F">
        <w:t>m</w:t>
      </w:r>
      <w:r>
        <w:t xml:space="preserve">agnet </w:t>
      </w:r>
      <w:r w:rsidR="0094093F">
        <w:t xml:space="preserve">unloading </w:t>
      </w:r>
      <w:bookmarkEnd w:id="3"/>
      <w:r w:rsidR="00130EBA">
        <w:t>and disassembly</w:t>
      </w:r>
    </w:p>
    <w:p w14:paraId="17342743" w14:textId="77777777" w:rsidR="00564794" w:rsidRDefault="00564794" w:rsidP="00564794">
      <w:pPr>
        <w:pStyle w:val="Level1"/>
        <w:numPr>
          <w:ilvl w:val="0"/>
          <w:numId w:val="0"/>
        </w:numPr>
        <w:ind w:left="360" w:hanging="360"/>
      </w:pPr>
    </w:p>
    <w:p w14:paraId="46D2F999" w14:textId="77777777" w:rsidR="00467D9D" w:rsidRDefault="00467D9D" w:rsidP="00467D9D">
      <w:pPr>
        <w:spacing w:before="0" w:after="160" w:line="256" w:lineRule="auto"/>
      </w:pPr>
      <w:r>
        <w:t xml:space="preserve">Once the magnet is unloaded, </w:t>
      </w:r>
      <w:r w:rsidR="00056CE6">
        <w:t>the following operations and measurement</w:t>
      </w:r>
      <w:r w:rsidR="003276FE">
        <w:t>s</w:t>
      </w:r>
      <w:r w:rsidR="00056CE6">
        <w:t xml:space="preserve"> shall be carried out</w:t>
      </w:r>
    </w:p>
    <w:p w14:paraId="26BE4EA1" w14:textId="77777777" w:rsidR="00474251" w:rsidRDefault="00474251" w:rsidP="00474251">
      <w:pPr>
        <w:pStyle w:val="Level1"/>
        <w:numPr>
          <w:ilvl w:val="0"/>
          <w:numId w:val="0"/>
        </w:numPr>
      </w:pPr>
    </w:p>
    <w:p w14:paraId="6DDB4D7A" w14:textId="77777777" w:rsidR="00564794" w:rsidRPr="001445A8" w:rsidRDefault="00564794" w:rsidP="001445A8">
      <w:pPr>
        <w:pStyle w:val="Level1"/>
      </w:pPr>
      <w:bookmarkStart w:id="4" w:name="_Toc86075274"/>
      <w:r>
        <w:t>Tests and Investigation of Coil 214</w:t>
      </w:r>
      <w:bookmarkEnd w:id="4"/>
    </w:p>
    <w:p w14:paraId="11383D1B" w14:textId="77777777" w:rsidR="00B71E49" w:rsidRDefault="00B71E49" w:rsidP="00024CFA"/>
    <w:p w14:paraId="358CEAFC" w14:textId="77777777" w:rsidR="00B71E49" w:rsidRDefault="00827061" w:rsidP="00B71E49">
      <w:bookmarkStart w:id="5" w:name="_Hlk85812006"/>
      <w:bookmarkStart w:id="6" w:name="_Hlk85812023"/>
      <w:r>
        <w:t xml:space="preserve">Coil 214 has been rejected because </w:t>
      </w:r>
      <w:r w:rsidR="004262C4">
        <w:t>it limited MQXFA07</w:t>
      </w:r>
      <w:bookmarkEnd w:id="5"/>
      <w:r w:rsidR="004262C4">
        <w:t xml:space="preserve">.  Therefore, it can be used for possibly destructive measurements, in order to assess </w:t>
      </w:r>
      <w:r w:rsidR="004F523E">
        <w:t xml:space="preserve">if </w:t>
      </w:r>
      <w:r w:rsidR="004262C4">
        <w:t>margins</w:t>
      </w:r>
      <w:r w:rsidR="00D51001">
        <w:t xml:space="preserve"> </w:t>
      </w:r>
      <w:r w:rsidR="00D51001" w:rsidRPr="00D51001">
        <w:t>at coil peak production are equal or higher than at the beginning of the project</w:t>
      </w:r>
      <w:r w:rsidR="004262C4">
        <w:t xml:space="preserve">.  </w:t>
      </w:r>
      <w:r w:rsidR="009D180C">
        <w:t>After these tests and measurements, coil 214 will be cut for tomography.</w:t>
      </w:r>
    </w:p>
    <w:p w14:paraId="7A1F8588" w14:textId="77777777" w:rsidR="007E0E56" w:rsidRDefault="007E0E56" w:rsidP="001445A8">
      <w:pPr>
        <w:pStyle w:val="Level1"/>
        <w:numPr>
          <w:ilvl w:val="0"/>
          <w:numId w:val="0"/>
        </w:numPr>
      </w:pPr>
    </w:p>
    <w:bookmarkEnd w:id="6"/>
    <w:p w14:paraId="2652B742" w14:textId="77777777" w:rsidR="00765770" w:rsidRDefault="00765770" w:rsidP="007E0E56">
      <w:pPr>
        <w:pStyle w:val="Level2"/>
      </w:pPr>
      <w:r>
        <w:t>Coils visual inspections</w:t>
      </w:r>
    </w:p>
    <w:p w14:paraId="4E4D1466" w14:textId="77777777" w:rsidR="00765770" w:rsidRDefault="00765770" w:rsidP="00765770">
      <w:pPr>
        <w:pStyle w:val="Level2"/>
        <w:numPr>
          <w:ilvl w:val="0"/>
          <w:numId w:val="0"/>
        </w:numPr>
        <w:ind w:left="792"/>
      </w:pPr>
    </w:p>
    <w:p w14:paraId="7E147A72" w14:textId="77777777" w:rsidR="00765770" w:rsidRDefault="00765770" w:rsidP="00765770">
      <w:pPr>
        <w:spacing w:before="0" w:after="160" w:line="256" w:lineRule="auto"/>
        <w:jc w:val="both"/>
      </w:pPr>
      <w:bookmarkStart w:id="7" w:name="_Toc86075275"/>
      <w:r>
        <w:t xml:space="preserve">Visual inspection and photographs analysis will be done to compare coil 214 with the other 3 coils (212, 124 and 114) of MQXFA07 looking for differences between coil 214 and the other 3 coils. In addition, photographs of MQXFA07 coils should be compared with other MQXFA/P coils after prototype test.  </w:t>
      </w:r>
    </w:p>
    <w:p w14:paraId="72AA6F1B" w14:textId="77777777" w:rsidR="00765770" w:rsidRDefault="00765770" w:rsidP="00765770">
      <w:pPr>
        <w:pStyle w:val="Level2"/>
        <w:numPr>
          <w:ilvl w:val="0"/>
          <w:numId w:val="0"/>
        </w:numPr>
        <w:ind w:left="360"/>
      </w:pPr>
    </w:p>
    <w:p w14:paraId="0F755D37" w14:textId="77777777" w:rsidR="00A54607" w:rsidRDefault="009D180C" w:rsidP="007E0E56">
      <w:pPr>
        <w:pStyle w:val="Level2"/>
      </w:pPr>
      <w:r>
        <w:t>Heat</w:t>
      </w:r>
      <w:r w:rsidR="00D97F16">
        <w:t>er</w:t>
      </w:r>
      <w:r>
        <w:t xml:space="preserve">-Coil </w:t>
      </w:r>
      <w:proofErr w:type="spellStart"/>
      <w:r>
        <w:t>Hipot</w:t>
      </w:r>
      <w:bookmarkEnd w:id="7"/>
      <w:proofErr w:type="spellEnd"/>
    </w:p>
    <w:p w14:paraId="2485CAF1" w14:textId="77777777" w:rsidR="009D180C" w:rsidRDefault="009D180C" w:rsidP="009D180C">
      <w:pPr>
        <w:pStyle w:val="Level2"/>
        <w:numPr>
          <w:ilvl w:val="0"/>
          <w:numId w:val="0"/>
        </w:numPr>
        <w:ind w:left="792"/>
      </w:pPr>
    </w:p>
    <w:p w14:paraId="3BC74FBA" w14:textId="25FB3715" w:rsidR="00D97F16" w:rsidRDefault="00D97F16" w:rsidP="00D97F16">
      <w:bookmarkStart w:id="8" w:name="_Hlk86071190"/>
      <w:r>
        <w:t xml:space="preserve">Heater-coil </w:t>
      </w:r>
      <w:proofErr w:type="spellStart"/>
      <w:r>
        <w:t>Hipot</w:t>
      </w:r>
      <w:proofErr w:type="spellEnd"/>
      <w:r>
        <w:t xml:space="preserve"> of each quench heater of Coil 214 should be performed up to </w:t>
      </w:r>
      <w:r w:rsidR="006F4C88">
        <w:t>5</w:t>
      </w:r>
      <w:r>
        <w:t xml:space="preserve"> kV</w:t>
      </w:r>
      <w:r w:rsidR="0072710C">
        <w:t xml:space="preserve">, </w:t>
      </w:r>
      <w:r w:rsidR="006F4C88">
        <w:t>after</w:t>
      </w:r>
      <w:r w:rsidR="0072710C">
        <w:t xml:space="preserve"> 30 sec </w:t>
      </w:r>
      <w:r w:rsidR="0072710C" w:rsidRPr="0072710C">
        <w:t>plateau at 460 V.</w:t>
      </w:r>
      <w:r w:rsidR="0072710C">
        <w:t xml:space="preserve"> </w:t>
      </w:r>
    </w:p>
    <w:bookmarkEnd w:id="8"/>
    <w:p w14:paraId="684A53AE" w14:textId="77777777" w:rsidR="00D97F16" w:rsidRDefault="00D97F16" w:rsidP="00D97F16">
      <w:pPr>
        <w:pStyle w:val="Level2"/>
        <w:numPr>
          <w:ilvl w:val="0"/>
          <w:numId w:val="0"/>
        </w:numPr>
      </w:pPr>
    </w:p>
    <w:p w14:paraId="0679347F" w14:textId="77777777" w:rsidR="009D180C" w:rsidRDefault="00D97F16" w:rsidP="007E0E56">
      <w:pPr>
        <w:pStyle w:val="Level2"/>
      </w:pPr>
      <w:r>
        <w:t xml:space="preserve"> </w:t>
      </w:r>
      <w:bookmarkStart w:id="9" w:name="_Toc86075276"/>
      <w:r w:rsidR="009D180C">
        <w:t>CMM</w:t>
      </w:r>
      <w:bookmarkEnd w:id="9"/>
    </w:p>
    <w:p w14:paraId="72DFB065" w14:textId="77777777" w:rsidR="00D97F16" w:rsidRDefault="00D97F16" w:rsidP="00D97F16"/>
    <w:p w14:paraId="0A7EFEBE" w14:textId="77777777" w:rsidR="00D97F16" w:rsidRDefault="00D97F16" w:rsidP="00D97F16">
      <w:bookmarkStart w:id="10" w:name="_Hlk86072260"/>
      <w:r>
        <w:t>CMM measurements of Coil 214 should be taken at original location</w:t>
      </w:r>
      <w:r w:rsidR="008450E9">
        <w:t>s [4]</w:t>
      </w:r>
      <w:r>
        <w:t xml:space="preserve"> for comparison with pre-assembly measurements.</w:t>
      </w:r>
    </w:p>
    <w:bookmarkEnd w:id="10"/>
    <w:p w14:paraId="44FF6FCD" w14:textId="77777777" w:rsidR="00D97F16" w:rsidRDefault="00D97F16" w:rsidP="009D180C">
      <w:pPr>
        <w:pStyle w:val="ListParagraph"/>
      </w:pPr>
    </w:p>
    <w:p w14:paraId="1670EED5" w14:textId="77777777" w:rsidR="009D180C" w:rsidRDefault="00D97F16" w:rsidP="007E0E56">
      <w:pPr>
        <w:pStyle w:val="Level2"/>
      </w:pPr>
      <w:r>
        <w:t xml:space="preserve"> </w:t>
      </w:r>
      <w:bookmarkStart w:id="11" w:name="_Toc86075277"/>
      <w:r>
        <w:t>Tomography of Lead End and Return End</w:t>
      </w:r>
      <w:bookmarkEnd w:id="11"/>
    </w:p>
    <w:p w14:paraId="05870F50" w14:textId="77777777" w:rsidR="005A47CD" w:rsidRDefault="005A47CD" w:rsidP="005A47CD">
      <w:pPr>
        <w:pStyle w:val="Level1"/>
        <w:numPr>
          <w:ilvl w:val="0"/>
          <w:numId w:val="0"/>
        </w:numPr>
        <w:ind w:left="360" w:hanging="360"/>
      </w:pPr>
    </w:p>
    <w:p w14:paraId="26362556" w14:textId="6E95D6B1" w:rsidR="00AF105E" w:rsidRDefault="008532BB" w:rsidP="008532BB">
      <w:r>
        <w:t>Coil 214 Lead End</w:t>
      </w:r>
      <w:r w:rsidR="00CC42F9">
        <w:t xml:space="preserve"> (with some straight section)</w:t>
      </w:r>
      <w:r>
        <w:t xml:space="preserve"> and Return End must be cut </w:t>
      </w:r>
      <w:r w:rsidR="0068419B">
        <w:t>in</w:t>
      </w:r>
      <w:r>
        <w:t xml:space="preserve"> order to allow for shipment to CERN </w:t>
      </w:r>
      <w:r w:rsidR="00865D1C">
        <w:t xml:space="preserve">(to the attention of Bartosz </w:t>
      </w:r>
      <w:proofErr w:type="spellStart"/>
      <w:r w:rsidR="00865D1C">
        <w:t>Bulat</w:t>
      </w:r>
      <w:proofErr w:type="spellEnd"/>
      <w:r w:rsidR="00865D1C">
        <w:t xml:space="preserve">) </w:t>
      </w:r>
      <w:r>
        <w:t>and subsequent tomography.</w:t>
      </w:r>
      <w:r w:rsidR="00AF105E">
        <w:t xml:space="preserve"> The </w:t>
      </w:r>
      <w:r w:rsidR="00C1679F">
        <w:t xml:space="preserve">Lead </w:t>
      </w:r>
      <w:r w:rsidR="0068419B">
        <w:t>E</w:t>
      </w:r>
      <w:r w:rsidR="00C1679F">
        <w:t xml:space="preserve">nd sample </w:t>
      </w:r>
      <w:r w:rsidR="0068419B">
        <w:t>must</w:t>
      </w:r>
      <w:r w:rsidR="00C1679F">
        <w:t xml:space="preserve"> be </w:t>
      </w:r>
      <w:r w:rsidR="00DF77DF">
        <w:t>around</w:t>
      </w:r>
      <w:r w:rsidR="00C1679F">
        <w:t xml:space="preserve"> </w:t>
      </w:r>
      <w:r w:rsidR="0090615B">
        <w:t>6</w:t>
      </w:r>
      <w:r w:rsidR="00C1679F">
        <w:t xml:space="preserve">00 </w:t>
      </w:r>
      <w:r w:rsidR="00CC42F9">
        <w:t>mm</w:t>
      </w:r>
      <w:r w:rsidR="0090615B">
        <w:t xml:space="preserve"> from the end of the Lead End extension</w:t>
      </w:r>
      <w:r w:rsidR="00CC42F9">
        <w:t xml:space="preserve">. </w:t>
      </w:r>
      <w:r w:rsidR="00AF105E">
        <w:t xml:space="preserve">The </w:t>
      </w:r>
      <w:r w:rsidR="00CC42F9">
        <w:t>R</w:t>
      </w:r>
      <w:r w:rsidR="00C1679F">
        <w:t xml:space="preserve">eturn </w:t>
      </w:r>
      <w:r w:rsidR="0068419B">
        <w:t>E</w:t>
      </w:r>
      <w:r w:rsidR="00C1679F">
        <w:t xml:space="preserve">nd sample </w:t>
      </w:r>
      <w:r w:rsidR="0068419B">
        <w:t>must</w:t>
      </w:r>
      <w:r w:rsidR="00C1679F">
        <w:t xml:space="preserve"> be </w:t>
      </w:r>
      <w:r w:rsidR="00DF77DF">
        <w:t>around</w:t>
      </w:r>
      <w:r w:rsidR="00C1679F">
        <w:t xml:space="preserve"> </w:t>
      </w:r>
      <w:r w:rsidR="00DF77DF">
        <w:t>3</w:t>
      </w:r>
      <w:bookmarkStart w:id="12" w:name="_GoBack"/>
      <w:bookmarkEnd w:id="12"/>
      <w:r w:rsidR="00C1679F">
        <w:t>00 mm</w:t>
      </w:r>
      <w:r w:rsidR="0090615B">
        <w:t xml:space="preserve"> </w:t>
      </w:r>
      <w:r w:rsidR="0090615B">
        <w:lastRenderedPageBreak/>
        <w:t>from the end of the Return End Saddle</w:t>
      </w:r>
      <w:r w:rsidR="00C1679F">
        <w:t xml:space="preserve">. </w:t>
      </w:r>
      <w:r w:rsidR="00D51001">
        <w:t>Figure 1</w:t>
      </w:r>
      <w:r>
        <w:t xml:space="preserve"> shows where </w:t>
      </w:r>
      <w:r w:rsidR="00CC42F9">
        <w:t xml:space="preserve">tomography </w:t>
      </w:r>
      <w:r w:rsidR="0068419B">
        <w:t>will</w:t>
      </w:r>
      <w:r w:rsidR="00CC42F9">
        <w:t xml:space="preserve"> be done</w:t>
      </w:r>
      <w:r>
        <w:t xml:space="preserve">.  The cut must be performed with care to minimize damage to </w:t>
      </w:r>
      <w:r w:rsidR="0068419B">
        <w:t>coil</w:t>
      </w:r>
      <w:r>
        <w:t xml:space="preserve"> integrity</w:t>
      </w:r>
      <w:r w:rsidR="003A1ED5">
        <w:t xml:space="preserve"> where tomography will be done</w:t>
      </w:r>
      <w:r>
        <w:t xml:space="preserve">. </w:t>
      </w:r>
    </w:p>
    <w:p w14:paraId="296330CD" w14:textId="11073237" w:rsidR="008532BB" w:rsidRDefault="00AF105E" w:rsidP="008532BB">
      <w:r>
        <w:t xml:space="preserve">CT scans will be done by </w:t>
      </w:r>
      <w:proofErr w:type="spellStart"/>
      <w:r w:rsidR="00323493">
        <w:t>Diondo</w:t>
      </w:r>
      <w:proofErr w:type="spellEnd"/>
      <w:r w:rsidR="00323493">
        <w:t xml:space="preserve"> (</w:t>
      </w:r>
      <w:r w:rsidR="00323493" w:rsidRPr="00323493">
        <w:t>www.diondo.com</w:t>
      </w:r>
      <w:r w:rsidR="00323493">
        <w:t>).</w:t>
      </w:r>
      <w:r>
        <w:t xml:space="preserve"> </w:t>
      </w:r>
      <w:r w:rsidR="00865D1C">
        <w:t xml:space="preserve">At CERN </w:t>
      </w:r>
      <w:r>
        <w:t xml:space="preserve">Bartosz </w:t>
      </w:r>
      <w:proofErr w:type="spellStart"/>
      <w:r>
        <w:t>Bulat</w:t>
      </w:r>
      <w:proofErr w:type="spellEnd"/>
      <w:r>
        <w:t xml:space="preserve"> will coordinate </w:t>
      </w:r>
      <w:r w:rsidR="00865D1C">
        <w:t>e</w:t>
      </w:r>
      <w:r>
        <w:t xml:space="preserve">ffort at </w:t>
      </w:r>
      <w:proofErr w:type="spellStart"/>
      <w:r w:rsidR="00323493">
        <w:t>Diondo</w:t>
      </w:r>
      <w:proofErr w:type="spellEnd"/>
      <w:r>
        <w:t xml:space="preserve"> and perform image reconstruction, </w:t>
      </w:r>
      <w:r w:rsidR="00865D1C">
        <w:t>under</w:t>
      </w:r>
      <w:r>
        <w:t xml:space="preserve"> supervision </w:t>
      </w:r>
      <w:r w:rsidR="00B64355">
        <w:t>of</w:t>
      </w:r>
      <w:r>
        <w:t xml:space="preserve"> Stefano </w:t>
      </w:r>
      <w:proofErr w:type="spellStart"/>
      <w:r>
        <w:t>Sgobba</w:t>
      </w:r>
      <w:proofErr w:type="spellEnd"/>
      <w:r>
        <w:t xml:space="preserve">.  </w:t>
      </w:r>
    </w:p>
    <w:p w14:paraId="5D53FFEA" w14:textId="2EB70F1A" w:rsidR="005A47CD" w:rsidRDefault="005A47CD" w:rsidP="008532BB">
      <w:pPr>
        <w:pStyle w:val="Level1"/>
        <w:numPr>
          <w:ilvl w:val="0"/>
          <w:numId w:val="0"/>
        </w:numPr>
      </w:pPr>
    </w:p>
    <w:p w14:paraId="38D76AFE" w14:textId="6F92B387" w:rsidR="0068419B" w:rsidRDefault="0090615B" w:rsidP="0068419B">
      <w:pPr>
        <w:pStyle w:val="Level1"/>
        <w:keepNext/>
        <w:numPr>
          <w:ilvl w:val="0"/>
          <w:numId w:val="0"/>
        </w:numPr>
      </w:pPr>
      <w:r>
        <w:rPr>
          <w:noProof/>
        </w:rPr>
        <w:drawing>
          <wp:inline distT="0" distB="0" distL="0" distR="0" wp14:anchorId="7D46F038" wp14:editId="2E428C88">
            <wp:extent cx="5939790" cy="46351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073" cy="4653339"/>
                    </a:xfrm>
                    <a:prstGeom prst="rect">
                      <a:avLst/>
                    </a:prstGeom>
                    <a:noFill/>
                  </pic:spPr>
                </pic:pic>
              </a:graphicData>
            </a:graphic>
          </wp:inline>
        </w:drawing>
      </w:r>
    </w:p>
    <w:p w14:paraId="3FCB2E3D" w14:textId="7993F7A7" w:rsidR="0068419B" w:rsidRDefault="0068419B" w:rsidP="0068419B">
      <w:pPr>
        <w:pStyle w:val="Caption"/>
        <w:jc w:val="left"/>
      </w:pPr>
      <w:r>
        <w:t xml:space="preserve">Figure </w:t>
      </w:r>
      <w:r w:rsidR="0090615B">
        <w:fldChar w:fldCharType="begin"/>
      </w:r>
      <w:r w:rsidR="0090615B">
        <w:instrText xml:space="preserve"> SEQ Figure \* ARABIC </w:instrText>
      </w:r>
      <w:r w:rsidR="0090615B">
        <w:fldChar w:fldCharType="separate"/>
      </w:r>
      <w:r w:rsidR="000D1305">
        <w:rPr>
          <w:noProof/>
        </w:rPr>
        <w:t>1</w:t>
      </w:r>
      <w:r w:rsidR="0090615B">
        <w:rPr>
          <w:noProof/>
        </w:rPr>
        <w:fldChar w:fldCharType="end"/>
      </w:r>
      <w:r>
        <w:t xml:space="preserve">: </w:t>
      </w:r>
      <w:r w:rsidRPr="0068419B">
        <w:t xml:space="preserve">Drawing of MQXFA coil </w:t>
      </w:r>
      <w:r>
        <w:t xml:space="preserve">Outer Layer </w:t>
      </w:r>
      <w:r w:rsidRPr="0068419B">
        <w:t xml:space="preserve">Lead End showing area for </w:t>
      </w:r>
      <w:r w:rsidR="003A1ED5">
        <w:t xml:space="preserve">coil-214 </w:t>
      </w:r>
      <w:r w:rsidRPr="0068419B">
        <w:t>tomography (in red box).</w:t>
      </w:r>
    </w:p>
    <w:p w14:paraId="7A8D8CDF" w14:textId="2C53B865" w:rsidR="008532BB" w:rsidRDefault="008532BB" w:rsidP="008532BB">
      <w:pPr>
        <w:pStyle w:val="Level1"/>
        <w:numPr>
          <w:ilvl w:val="0"/>
          <w:numId w:val="0"/>
        </w:numPr>
      </w:pPr>
    </w:p>
    <w:p w14:paraId="22D5B716" w14:textId="7BDD89E6" w:rsidR="0068419B" w:rsidRDefault="0068419B" w:rsidP="008532BB">
      <w:pPr>
        <w:pStyle w:val="Level1"/>
        <w:numPr>
          <w:ilvl w:val="0"/>
          <w:numId w:val="0"/>
        </w:numPr>
      </w:pPr>
    </w:p>
    <w:p w14:paraId="7D00449F" w14:textId="77777777" w:rsidR="0068419B" w:rsidRDefault="0068419B" w:rsidP="008532BB">
      <w:pPr>
        <w:pStyle w:val="Level1"/>
        <w:numPr>
          <w:ilvl w:val="0"/>
          <w:numId w:val="0"/>
        </w:numPr>
      </w:pPr>
    </w:p>
    <w:p w14:paraId="1F2C8D52" w14:textId="69FE44F1" w:rsidR="004F41C9" w:rsidRDefault="004F41C9" w:rsidP="0068419B">
      <w:pPr>
        <w:pStyle w:val="Level2"/>
        <w:numPr>
          <w:ilvl w:val="0"/>
          <w:numId w:val="0"/>
        </w:numPr>
        <w:ind w:left="792" w:hanging="432"/>
      </w:pPr>
    </w:p>
    <w:p w14:paraId="0B3647CD" w14:textId="168F9FBC" w:rsidR="00AE2A9A" w:rsidRDefault="0090615B" w:rsidP="0090615B">
      <w:pPr>
        <w:pStyle w:val="Level2"/>
        <w:keepNext/>
        <w:numPr>
          <w:ilvl w:val="0"/>
          <w:numId w:val="0"/>
        </w:numPr>
        <w:jc w:val="center"/>
      </w:pPr>
      <w:r>
        <w:rPr>
          <w:noProof/>
        </w:rPr>
        <w:lastRenderedPageBreak/>
        <w:drawing>
          <wp:inline distT="0" distB="0" distL="0" distR="0" wp14:anchorId="6F49D745" wp14:editId="4C0C7FCC">
            <wp:extent cx="4457065" cy="54381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065" cy="5438140"/>
                    </a:xfrm>
                    <a:prstGeom prst="rect">
                      <a:avLst/>
                    </a:prstGeom>
                    <a:noFill/>
                  </pic:spPr>
                </pic:pic>
              </a:graphicData>
            </a:graphic>
          </wp:inline>
        </w:drawing>
      </w:r>
    </w:p>
    <w:p w14:paraId="3C6D421D" w14:textId="66F83683" w:rsidR="00D51001" w:rsidRDefault="00AE2A9A" w:rsidP="00AE2A9A">
      <w:pPr>
        <w:pStyle w:val="Caption"/>
      </w:pPr>
      <w:r>
        <w:t xml:space="preserve">Figure </w:t>
      </w:r>
      <w:r w:rsidR="00BA56A2">
        <w:fldChar w:fldCharType="begin"/>
      </w:r>
      <w:r w:rsidR="00327BE7">
        <w:instrText xml:space="preserve"> SEQ Figure \* ARABIC </w:instrText>
      </w:r>
      <w:r w:rsidR="00BA56A2">
        <w:fldChar w:fldCharType="separate"/>
      </w:r>
      <w:r w:rsidR="000D1305">
        <w:rPr>
          <w:noProof/>
        </w:rPr>
        <w:t>2</w:t>
      </w:r>
      <w:r w:rsidR="00BA56A2">
        <w:rPr>
          <w:noProof/>
        </w:rPr>
        <w:fldChar w:fldCharType="end"/>
      </w:r>
      <w:r>
        <w:t xml:space="preserve">: </w:t>
      </w:r>
      <w:r w:rsidR="00AE18B1">
        <w:t xml:space="preserve">Drawing of MQXFA coil </w:t>
      </w:r>
      <w:r w:rsidR="0068419B">
        <w:t>Outer Layer Return</w:t>
      </w:r>
      <w:r w:rsidR="00AE18B1">
        <w:t xml:space="preserve"> End </w:t>
      </w:r>
      <w:r>
        <w:t xml:space="preserve">showing </w:t>
      </w:r>
      <w:r w:rsidR="00AE18B1">
        <w:t xml:space="preserve">area for </w:t>
      </w:r>
      <w:r w:rsidR="003A1ED5">
        <w:t xml:space="preserve">coil-214 </w:t>
      </w:r>
      <w:r w:rsidR="00AE18B1">
        <w:t>tomography (in red box).</w:t>
      </w:r>
    </w:p>
    <w:p w14:paraId="468E26AE" w14:textId="77777777" w:rsidR="00D51001" w:rsidRDefault="00D51001" w:rsidP="007001D1">
      <w:pPr>
        <w:pStyle w:val="Level2"/>
        <w:numPr>
          <w:ilvl w:val="0"/>
          <w:numId w:val="0"/>
        </w:numPr>
      </w:pPr>
    </w:p>
    <w:p w14:paraId="566EBA60" w14:textId="476F0BA3" w:rsidR="00363CBA" w:rsidRDefault="00363CBA" w:rsidP="004F41C9">
      <w:pPr>
        <w:pStyle w:val="Level2"/>
        <w:numPr>
          <w:ilvl w:val="0"/>
          <w:numId w:val="0"/>
        </w:numPr>
        <w:ind w:left="792"/>
      </w:pPr>
    </w:p>
    <w:p w14:paraId="0A1E46A8" w14:textId="77777777" w:rsidR="003A1ED5" w:rsidRDefault="003A1ED5" w:rsidP="004F41C9">
      <w:pPr>
        <w:pStyle w:val="Level2"/>
        <w:numPr>
          <w:ilvl w:val="0"/>
          <w:numId w:val="0"/>
        </w:numPr>
        <w:ind w:left="792"/>
      </w:pPr>
    </w:p>
    <w:p w14:paraId="3E4E5EB3" w14:textId="77777777" w:rsidR="0068419B" w:rsidRDefault="0068419B" w:rsidP="0068419B">
      <w:pPr>
        <w:pStyle w:val="Level2"/>
      </w:pPr>
      <w:bookmarkStart w:id="13" w:name="_Toc86075278"/>
      <w:bookmarkStart w:id="14" w:name="_Toc86075279"/>
      <w:r>
        <w:t>Micrography</w:t>
      </w:r>
      <w:bookmarkEnd w:id="13"/>
    </w:p>
    <w:p w14:paraId="5F93CD65" w14:textId="77777777" w:rsidR="0068419B" w:rsidRDefault="0068419B" w:rsidP="0068419B">
      <w:pPr>
        <w:pStyle w:val="Level2"/>
        <w:numPr>
          <w:ilvl w:val="0"/>
          <w:numId w:val="0"/>
        </w:numPr>
        <w:ind w:left="792"/>
      </w:pPr>
    </w:p>
    <w:p w14:paraId="443B89C3" w14:textId="6581D669" w:rsidR="0068419B" w:rsidRDefault="0068419B" w:rsidP="0068419B">
      <w:r>
        <w:t>After tomography is complete, coil 214 Lead End and Return End</w:t>
      </w:r>
      <w:r w:rsidR="00865D1C">
        <w:t xml:space="preserve"> samples</w:t>
      </w:r>
      <w:r>
        <w:t xml:space="preserve"> </w:t>
      </w:r>
      <w:r w:rsidR="004D714F">
        <w:t>must</w:t>
      </w:r>
      <w:r>
        <w:t xml:space="preserve"> be sent to FNAL</w:t>
      </w:r>
      <w:r w:rsidR="00865D1C">
        <w:t xml:space="preserve"> (to the attention of Maria Baldini)</w:t>
      </w:r>
      <w:r>
        <w:t xml:space="preserve"> for micrographic analysis of selected x-sections. Some x-sections are on critical spots: wedge to end-spacer transitions, and at tip of spacer B2-IC1 (Figure </w:t>
      </w:r>
      <w:r w:rsidR="003A1ED5">
        <w:t>3</w:t>
      </w:r>
      <w:r>
        <w:t xml:space="preserve">).  </w:t>
      </w:r>
    </w:p>
    <w:p w14:paraId="3B20D129" w14:textId="77777777" w:rsidR="0068419B" w:rsidRDefault="0068419B" w:rsidP="0068419B">
      <w:r>
        <w:t xml:space="preserve">Other x-sections may be added if tomography shows issues such as popped strands or large strand/cable deformation.  The goal of this analysis is to detect and count filament cracks at these locations. </w:t>
      </w:r>
    </w:p>
    <w:p w14:paraId="1428300F" w14:textId="77777777" w:rsidR="0068419B" w:rsidRDefault="0068419B"/>
    <w:p w14:paraId="3B959750" w14:textId="77777777" w:rsidR="000D1305" w:rsidRDefault="000D1305" w:rsidP="000D1305">
      <w:pPr>
        <w:keepNext/>
      </w:pPr>
      <w:r>
        <w:rPr>
          <w:noProof/>
        </w:rPr>
        <w:lastRenderedPageBreak/>
        <w:drawing>
          <wp:inline distT="0" distB="0" distL="0" distR="0" wp14:anchorId="1CB0C724" wp14:editId="7A0EC924">
            <wp:extent cx="4718685" cy="3749675"/>
            <wp:effectExtent l="0" t="0" r="571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685" cy="3749675"/>
                    </a:xfrm>
                    <a:prstGeom prst="rect">
                      <a:avLst/>
                    </a:prstGeom>
                    <a:noFill/>
                  </pic:spPr>
                </pic:pic>
              </a:graphicData>
            </a:graphic>
          </wp:inline>
        </w:drawing>
      </w:r>
    </w:p>
    <w:p w14:paraId="74DA9FB1" w14:textId="3B0A7FAF" w:rsidR="000D1305" w:rsidRDefault="000D1305" w:rsidP="000D1305">
      <w:pPr>
        <w:pStyle w:val="Caption"/>
        <w:jc w:val="left"/>
      </w:pPr>
      <w:r>
        <w:t xml:space="preserve">Figure </w:t>
      </w:r>
      <w:r w:rsidR="0090615B">
        <w:fldChar w:fldCharType="begin"/>
      </w:r>
      <w:r w:rsidR="0090615B">
        <w:instrText xml:space="preserve"> SEQ Figure \* ARABIC </w:instrText>
      </w:r>
      <w:r w:rsidR="0090615B">
        <w:fldChar w:fldCharType="separate"/>
      </w:r>
      <w:r>
        <w:rPr>
          <w:noProof/>
        </w:rPr>
        <w:t>3</w:t>
      </w:r>
      <w:r w:rsidR="0090615B">
        <w:rPr>
          <w:noProof/>
        </w:rPr>
        <w:fldChar w:fldCharType="end"/>
      </w:r>
      <w:r>
        <w:t>: Drawing of MQXFA coil Inner Layer Lead End showing location where cable collapsed during winding</w:t>
      </w:r>
      <w:r w:rsidR="004D714F">
        <w:t xml:space="preserve"> of coil 214</w:t>
      </w:r>
      <w:r>
        <w:t xml:space="preserve"> (in yello</w:t>
      </w:r>
      <w:r w:rsidR="003A1ED5">
        <w:t>w</w:t>
      </w:r>
      <w:r>
        <w:t xml:space="preserve">). </w:t>
      </w:r>
    </w:p>
    <w:p w14:paraId="1F5EA2C3" w14:textId="0C96D6BA" w:rsidR="003A1ED5" w:rsidRDefault="003A1ED5" w:rsidP="003A1ED5"/>
    <w:p w14:paraId="11B866C7" w14:textId="6A4BA586" w:rsidR="003A1ED5" w:rsidRDefault="003A1ED5" w:rsidP="003A1ED5"/>
    <w:p w14:paraId="7319FF96" w14:textId="77777777" w:rsidR="003A1ED5" w:rsidRPr="003A1ED5" w:rsidRDefault="003A1ED5" w:rsidP="003A1ED5"/>
    <w:p w14:paraId="62174A10" w14:textId="77777777" w:rsidR="004F41C9" w:rsidRDefault="00363CBA" w:rsidP="004F41C9">
      <w:pPr>
        <w:pStyle w:val="Level1"/>
      </w:pPr>
      <w:r>
        <w:t>References</w:t>
      </w:r>
      <w:bookmarkEnd w:id="14"/>
    </w:p>
    <w:p w14:paraId="32813908" w14:textId="77777777" w:rsidR="00AE2A9A" w:rsidRPr="00AE2A9A" w:rsidRDefault="00AE2A9A" w:rsidP="00AE2A9A">
      <w:pPr>
        <w:pStyle w:val="Level2"/>
        <w:numPr>
          <w:ilvl w:val="0"/>
          <w:numId w:val="0"/>
        </w:numPr>
        <w:rPr>
          <w:rFonts w:ascii="Times New Roman" w:hAnsi="Times New Roman" w:cs="Times New Roman"/>
          <w:b w:val="0"/>
          <w:bCs/>
          <w:sz w:val="18"/>
          <w:szCs w:val="18"/>
        </w:rPr>
      </w:pPr>
    </w:p>
    <w:p w14:paraId="2275ACFE" w14:textId="4D3FEF0A" w:rsidR="00AE2A9A" w:rsidRPr="00A17EC8" w:rsidRDefault="00A17EC8" w:rsidP="00A17EC8">
      <w:pPr>
        <w:pStyle w:val="ListParagraph"/>
        <w:numPr>
          <w:ilvl w:val="0"/>
          <w:numId w:val="39"/>
        </w:numPr>
        <w:rPr>
          <w:bCs/>
          <w:sz w:val="18"/>
          <w:szCs w:val="18"/>
        </w:rPr>
      </w:pPr>
      <w:r w:rsidRPr="00A17EC8">
        <w:rPr>
          <w:bCs/>
          <w:sz w:val="18"/>
          <w:szCs w:val="18"/>
        </w:rPr>
        <w:t xml:space="preserve">MQXFA07 Test Results, </w:t>
      </w:r>
      <w:bookmarkStart w:id="15" w:name="_Hlk86766012"/>
      <w:r w:rsidRPr="00A17EC8">
        <w:rPr>
          <w:bCs/>
          <w:sz w:val="18"/>
          <w:szCs w:val="18"/>
        </w:rPr>
        <w:t>https://indico.fnal.gov/event/51196/</w:t>
      </w:r>
      <w:bookmarkEnd w:id="15"/>
    </w:p>
    <w:p w14:paraId="177A51E2" w14:textId="6F1C0C38" w:rsidR="00AE2A9A" w:rsidRDefault="00AE2A9A" w:rsidP="00AE2A9A">
      <w:pPr>
        <w:pStyle w:val="Level2"/>
        <w:numPr>
          <w:ilvl w:val="0"/>
          <w:numId w:val="39"/>
        </w:numPr>
        <w:rPr>
          <w:rFonts w:ascii="Times New Roman" w:hAnsi="Times New Roman" w:cs="Times New Roman"/>
          <w:b w:val="0"/>
          <w:bCs/>
          <w:sz w:val="18"/>
          <w:szCs w:val="18"/>
        </w:rPr>
      </w:pPr>
      <w:r>
        <w:rPr>
          <w:rFonts w:ascii="Times New Roman" w:hAnsi="Times New Roman" w:cs="Times New Roman"/>
          <w:b w:val="0"/>
          <w:bCs/>
          <w:sz w:val="18"/>
          <w:szCs w:val="18"/>
        </w:rPr>
        <w:t xml:space="preserve">MQXFA07 </w:t>
      </w:r>
      <w:r w:rsidR="00A17EC8">
        <w:rPr>
          <w:rFonts w:ascii="Times New Roman" w:hAnsi="Times New Roman" w:cs="Times New Roman"/>
          <w:b w:val="0"/>
          <w:bCs/>
          <w:sz w:val="18"/>
          <w:szCs w:val="18"/>
        </w:rPr>
        <w:t xml:space="preserve">Limitation Mechanism, </w:t>
      </w:r>
      <w:r w:rsidR="00A17EC8" w:rsidRPr="00A17EC8">
        <w:rPr>
          <w:rFonts w:ascii="Times New Roman" w:hAnsi="Times New Roman" w:cs="Times New Roman"/>
          <w:b w:val="0"/>
          <w:bCs/>
          <w:sz w:val="18"/>
          <w:szCs w:val="18"/>
        </w:rPr>
        <w:t>https://indico.fnal.gov/event/51196/</w:t>
      </w:r>
    </w:p>
    <w:p w14:paraId="4AA41B20" w14:textId="77777777" w:rsidR="00AE2A9A" w:rsidRDefault="00AE2A9A" w:rsidP="00AE2A9A">
      <w:pPr>
        <w:pStyle w:val="Level2"/>
        <w:numPr>
          <w:ilvl w:val="0"/>
          <w:numId w:val="39"/>
        </w:numPr>
        <w:rPr>
          <w:rFonts w:ascii="Times New Roman" w:hAnsi="Times New Roman" w:cs="Times New Roman"/>
          <w:b w:val="0"/>
          <w:bCs/>
          <w:sz w:val="18"/>
          <w:szCs w:val="18"/>
        </w:rPr>
      </w:pPr>
      <w:r w:rsidRPr="00AE2A9A">
        <w:rPr>
          <w:rFonts w:ascii="Times New Roman" w:hAnsi="Times New Roman" w:cs="Times New Roman"/>
          <w:b w:val="0"/>
          <w:bCs/>
          <w:sz w:val="18"/>
          <w:szCs w:val="18"/>
        </w:rPr>
        <w:t>MQXFA</w:t>
      </w:r>
      <w:r>
        <w:rPr>
          <w:rFonts w:ascii="Times New Roman" w:hAnsi="Times New Roman" w:cs="Times New Roman"/>
          <w:b w:val="0"/>
          <w:bCs/>
          <w:sz w:val="18"/>
          <w:szCs w:val="18"/>
        </w:rPr>
        <w:t xml:space="preserve"> Magnet</w:t>
      </w:r>
      <w:r w:rsidRPr="00AE2A9A">
        <w:rPr>
          <w:rFonts w:ascii="Times New Roman" w:hAnsi="Times New Roman" w:cs="Times New Roman"/>
          <w:b w:val="0"/>
          <w:bCs/>
          <w:sz w:val="18"/>
          <w:szCs w:val="18"/>
        </w:rPr>
        <w:t xml:space="preserve"> Dis-assembly W</w:t>
      </w:r>
      <w:r>
        <w:rPr>
          <w:rFonts w:ascii="Times New Roman" w:hAnsi="Times New Roman" w:cs="Times New Roman"/>
          <w:b w:val="0"/>
          <w:bCs/>
          <w:sz w:val="18"/>
          <w:szCs w:val="18"/>
        </w:rPr>
        <w:t xml:space="preserve">ork Instruction, </w:t>
      </w:r>
      <w:r w:rsidR="005A1519">
        <w:rPr>
          <w:rFonts w:ascii="Times New Roman" w:hAnsi="Times New Roman" w:cs="Times New Roman"/>
          <w:b w:val="0"/>
          <w:bCs/>
          <w:sz w:val="18"/>
          <w:szCs w:val="18"/>
        </w:rPr>
        <w:t>…</w:t>
      </w:r>
    </w:p>
    <w:p w14:paraId="14B1742B" w14:textId="77777777" w:rsidR="00AE2A9A" w:rsidRDefault="00AE2A9A" w:rsidP="00AE2A9A">
      <w:pPr>
        <w:pStyle w:val="Level2"/>
        <w:numPr>
          <w:ilvl w:val="0"/>
          <w:numId w:val="39"/>
        </w:numPr>
        <w:rPr>
          <w:rFonts w:ascii="Times New Roman" w:hAnsi="Times New Roman" w:cs="Times New Roman"/>
          <w:b w:val="0"/>
          <w:bCs/>
          <w:sz w:val="18"/>
          <w:szCs w:val="18"/>
        </w:rPr>
      </w:pPr>
      <w:r>
        <w:rPr>
          <w:rFonts w:ascii="Times New Roman" w:hAnsi="Times New Roman" w:cs="Times New Roman"/>
          <w:b w:val="0"/>
          <w:bCs/>
          <w:sz w:val="18"/>
          <w:szCs w:val="18"/>
        </w:rPr>
        <w:t xml:space="preserve">MQXFA Coil CMM Profile Measurement Locations, </w:t>
      </w:r>
      <w:r w:rsidRPr="00AE2A9A">
        <w:rPr>
          <w:rFonts w:ascii="Times New Roman" w:hAnsi="Times New Roman" w:cs="Times New Roman"/>
          <w:b w:val="0"/>
          <w:bCs/>
          <w:sz w:val="18"/>
          <w:szCs w:val="18"/>
        </w:rPr>
        <w:t xml:space="preserve">US-HiLumi-doc-2362 </w:t>
      </w:r>
    </w:p>
    <w:bookmarkEnd w:id="0"/>
    <w:p w14:paraId="76C24B6B" w14:textId="77777777" w:rsidR="00253BBC" w:rsidRDefault="00253BBC" w:rsidP="00253BBC">
      <w:pPr>
        <w:pStyle w:val="Level2"/>
        <w:numPr>
          <w:ilvl w:val="0"/>
          <w:numId w:val="0"/>
        </w:numPr>
        <w:ind w:left="792" w:hanging="432"/>
        <w:rPr>
          <w:rFonts w:ascii="Times New Roman" w:hAnsi="Times New Roman" w:cs="Times New Roman"/>
          <w:b w:val="0"/>
          <w:bCs/>
          <w:sz w:val="18"/>
          <w:szCs w:val="18"/>
        </w:rPr>
      </w:pPr>
    </w:p>
    <w:sectPr w:rsidR="00253BBC" w:rsidSect="004639BF">
      <w:headerReference w:type="even" r:id="rId11"/>
      <w:headerReference w:type="default" r:id="rId12"/>
      <w:footerReference w:type="default" r:id="rId13"/>
      <w:headerReference w:type="first" r:id="rId14"/>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4D9F" w14:textId="77777777" w:rsidR="00163339" w:rsidRDefault="00163339">
      <w:r>
        <w:separator/>
      </w:r>
    </w:p>
  </w:endnote>
  <w:endnote w:type="continuationSeparator" w:id="0">
    <w:p w14:paraId="0AC65E0A" w14:textId="77777777" w:rsidR="00163339" w:rsidRDefault="0016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ermiLg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5A92"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6773" w14:textId="77777777" w:rsidR="00163339" w:rsidRDefault="00163339">
      <w:r>
        <w:separator/>
      </w:r>
    </w:p>
  </w:footnote>
  <w:footnote w:type="continuationSeparator" w:id="0">
    <w:p w14:paraId="793B16FA" w14:textId="77777777" w:rsidR="00163339" w:rsidRDefault="0016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90A1A" w14:textId="77777777" w:rsidR="006879A1" w:rsidRDefault="0090615B">
    <w:pPr>
      <w:pStyle w:val="Header"/>
    </w:pPr>
    <w:r>
      <w:rPr>
        <w:noProof/>
      </w:rPr>
      <w:pict w14:anchorId="23B25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56.8pt;height:152.25pt;rotation:315;z-index:-251654656;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silver" stroked="f">
          <v:fill opacity="32112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0D26FC" w:rsidRPr="000D26FC" w14:paraId="78868611" w14:textId="77777777">
      <w:trPr>
        <w:trHeight w:val="980"/>
        <w:jc w:val="center"/>
      </w:trPr>
      <w:tc>
        <w:tcPr>
          <w:tcW w:w="1980" w:type="dxa"/>
          <w:vAlign w:val="center"/>
        </w:tcPr>
        <w:p w14:paraId="39369043" w14:textId="77777777"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0CE6A6EF" wp14:editId="079EC604">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7D493A9F" w14:textId="77777777" w:rsidR="00DB6283" w:rsidRPr="000C5708" w:rsidRDefault="004B2DDF" w:rsidP="000C5708">
          <w:pPr>
            <w:pStyle w:val="Header"/>
            <w:tabs>
              <w:tab w:val="clear" w:pos="8640"/>
              <w:tab w:val="right" w:pos="9963"/>
            </w:tabs>
            <w:spacing w:before="60"/>
            <w:ind w:right="-115"/>
            <w:jc w:val="center"/>
            <w:rPr>
              <w:rFonts w:ascii="Arial" w:hAnsi="Arial" w:cs="Arial"/>
              <w:b/>
              <w:color w:val="FF0000"/>
              <w:sz w:val="32"/>
            </w:rPr>
          </w:pPr>
          <w:r w:rsidRPr="004B2DDF">
            <w:rPr>
              <w:rFonts w:ascii="Arial" w:hAnsi="Arial" w:cs="Arial"/>
              <w:b/>
              <w:sz w:val="32"/>
            </w:rPr>
            <w:t>MQXFA07 Inspection Plan</w:t>
          </w:r>
        </w:p>
      </w:tc>
      <w:tc>
        <w:tcPr>
          <w:tcW w:w="2137" w:type="dxa"/>
          <w:vAlign w:val="center"/>
        </w:tcPr>
        <w:p w14:paraId="7D5AE643" w14:textId="77777777" w:rsidR="00DB6283" w:rsidRPr="000D26FC" w:rsidRDefault="00DB6283">
          <w:pPr>
            <w:pStyle w:val="Header"/>
            <w:tabs>
              <w:tab w:val="clear" w:pos="8640"/>
              <w:tab w:val="right" w:pos="9963"/>
            </w:tabs>
            <w:ind w:right="-108"/>
            <w:rPr>
              <w:rFonts w:ascii="Arial" w:hAnsi="Arial" w:cs="Arial"/>
              <w:b/>
            </w:rPr>
          </w:pPr>
          <w:r w:rsidRPr="000D26FC">
            <w:rPr>
              <w:rFonts w:ascii="Arial" w:hAnsi="Arial" w:cs="Arial"/>
              <w:b/>
            </w:rPr>
            <w:t>US-HiLumi-doc-</w:t>
          </w:r>
          <w:r w:rsidR="000D26FC" w:rsidRPr="000D26FC">
            <w:rPr>
              <w:rFonts w:ascii="Arial" w:hAnsi="Arial" w:cs="Arial"/>
              <w:b/>
            </w:rPr>
            <w:t>4222</w:t>
          </w:r>
        </w:p>
        <w:p w14:paraId="234085F6" w14:textId="77777777" w:rsidR="000C5708" w:rsidRPr="000D26FC" w:rsidRDefault="000C5708">
          <w:pPr>
            <w:pStyle w:val="Header"/>
            <w:tabs>
              <w:tab w:val="clear" w:pos="8640"/>
              <w:tab w:val="right" w:pos="9963"/>
            </w:tabs>
            <w:ind w:right="-108"/>
            <w:rPr>
              <w:rFonts w:ascii="Arial" w:hAnsi="Arial" w:cs="Arial"/>
              <w:b/>
            </w:rPr>
          </w:pPr>
          <w:r w:rsidRPr="000D26FC">
            <w:rPr>
              <w:rFonts w:ascii="Arial" w:hAnsi="Arial" w:cs="Arial"/>
              <w:b/>
            </w:rPr>
            <w:t>Other:</w:t>
          </w:r>
        </w:p>
        <w:p w14:paraId="7D5FFE50" w14:textId="77777777" w:rsidR="00DB6283" w:rsidRPr="000D26FC" w:rsidRDefault="00DB6283">
          <w:pPr>
            <w:pStyle w:val="Header"/>
            <w:tabs>
              <w:tab w:val="clear" w:pos="8640"/>
              <w:tab w:val="right" w:pos="9963"/>
            </w:tabs>
            <w:ind w:right="-108"/>
            <w:rPr>
              <w:rFonts w:ascii="Arial" w:hAnsi="Arial" w:cs="Arial"/>
              <w:b/>
            </w:rPr>
          </w:pPr>
          <w:r w:rsidRPr="000D26FC">
            <w:rPr>
              <w:rFonts w:ascii="Arial" w:hAnsi="Arial" w:cs="Arial"/>
              <w:b/>
            </w:rPr>
            <w:t xml:space="preserve">Date: </w:t>
          </w:r>
          <w:r w:rsidR="004B2DDF" w:rsidRPr="000D26FC">
            <w:rPr>
              <w:rFonts w:ascii="Arial" w:hAnsi="Arial" w:cs="Arial"/>
              <w:b/>
            </w:rPr>
            <w:t>Oct. 19, 2021</w:t>
          </w:r>
        </w:p>
        <w:p w14:paraId="66AC3BFF" w14:textId="77777777" w:rsidR="00DB6283" w:rsidRPr="000D26FC" w:rsidRDefault="00DB6283">
          <w:pPr>
            <w:pStyle w:val="Header"/>
            <w:tabs>
              <w:tab w:val="clear" w:pos="8640"/>
              <w:tab w:val="right" w:pos="9963"/>
            </w:tabs>
            <w:ind w:right="-108"/>
            <w:rPr>
              <w:b/>
            </w:rPr>
          </w:pPr>
          <w:r w:rsidRPr="000D26FC">
            <w:rPr>
              <w:rFonts w:ascii="Arial" w:hAnsi="Arial" w:cs="Arial"/>
              <w:b/>
              <w:snapToGrid w:val="0"/>
            </w:rPr>
            <w:t xml:space="preserve">Page </w:t>
          </w:r>
          <w:r w:rsidR="00BA56A2" w:rsidRPr="000D26FC">
            <w:rPr>
              <w:rStyle w:val="PageNumber"/>
              <w:rFonts w:ascii="Arial" w:hAnsi="Arial" w:cs="Arial"/>
            </w:rPr>
            <w:fldChar w:fldCharType="begin"/>
          </w:r>
          <w:r w:rsidRPr="000D26FC">
            <w:rPr>
              <w:rStyle w:val="PageNumber"/>
              <w:rFonts w:ascii="Arial" w:hAnsi="Arial" w:cs="Arial"/>
            </w:rPr>
            <w:instrText xml:space="preserve"> PAGE </w:instrText>
          </w:r>
          <w:r w:rsidR="00BA56A2" w:rsidRPr="000D26FC">
            <w:rPr>
              <w:rStyle w:val="PageNumber"/>
              <w:rFonts w:ascii="Arial" w:hAnsi="Arial" w:cs="Arial"/>
            </w:rPr>
            <w:fldChar w:fldCharType="separate"/>
          </w:r>
          <w:r w:rsidR="00C37DD1">
            <w:rPr>
              <w:rStyle w:val="PageNumber"/>
              <w:rFonts w:ascii="Arial" w:hAnsi="Arial" w:cs="Arial"/>
              <w:noProof/>
            </w:rPr>
            <w:t>4</w:t>
          </w:r>
          <w:r w:rsidR="00BA56A2" w:rsidRPr="000D26FC">
            <w:rPr>
              <w:rStyle w:val="PageNumber"/>
              <w:rFonts w:ascii="Arial" w:hAnsi="Arial" w:cs="Arial"/>
            </w:rPr>
            <w:fldChar w:fldCharType="end"/>
          </w:r>
          <w:r w:rsidRPr="000D26FC">
            <w:rPr>
              <w:rFonts w:ascii="Arial" w:hAnsi="Arial" w:cs="Arial"/>
              <w:b/>
              <w:snapToGrid w:val="0"/>
            </w:rPr>
            <w:t xml:space="preserve"> of  </w:t>
          </w:r>
          <w:r w:rsidR="00BA56A2" w:rsidRPr="000D26FC">
            <w:rPr>
              <w:rStyle w:val="PageNumber"/>
              <w:rFonts w:ascii="Arial" w:hAnsi="Arial" w:cs="Arial"/>
            </w:rPr>
            <w:fldChar w:fldCharType="begin"/>
          </w:r>
          <w:r w:rsidRPr="000D26FC">
            <w:rPr>
              <w:rStyle w:val="PageNumber"/>
              <w:rFonts w:ascii="Arial" w:hAnsi="Arial" w:cs="Arial"/>
            </w:rPr>
            <w:instrText xml:space="preserve"> NUMPAGES </w:instrText>
          </w:r>
          <w:r w:rsidR="00BA56A2" w:rsidRPr="000D26FC">
            <w:rPr>
              <w:rStyle w:val="PageNumber"/>
              <w:rFonts w:ascii="Arial" w:hAnsi="Arial" w:cs="Arial"/>
            </w:rPr>
            <w:fldChar w:fldCharType="separate"/>
          </w:r>
          <w:r w:rsidR="00C37DD1">
            <w:rPr>
              <w:rStyle w:val="PageNumber"/>
              <w:rFonts w:ascii="Arial" w:hAnsi="Arial" w:cs="Arial"/>
              <w:noProof/>
            </w:rPr>
            <w:t>7</w:t>
          </w:r>
          <w:r w:rsidR="00BA56A2" w:rsidRPr="000D26FC">
            <w:rPr>
              <w:rStyle w:val="PageNumber"/>
              <w:rFonts w:ascii="Arial" w:hAnsi="Arial" w:cs="Arial"/>
            </w:rPr>
            <w:fldChar w:fldCharType="end"/>
          </w:r>
        </w:p>
      </w:tc>
    </w:tr>
  </w:tbl>
  <w:p w14:paraId="5BD2319C" w14:textId="77777777" w:rsidR="00DB6283" w:rsidRDefault="0090615B">
    <w:pPr>
      <w:pStyle w:val="Header"/>
      <w:tabs>
        <w:tab w:val="clear" w:pos="8640"/>
        <w:tab w:val="right" w:pos="9180"/>
      </w:tabs>
      <w:ind w:left="-1296" w:right="-1296" w:firstLine="14"/>
      <w:jc w:val="both"/>
    </w:pPr>
    <w:r>
      <w:rPr>
        <w:noProof/>
      </w:rPr>
      <w:pict w14:anchorId="711F3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456.8pt;height:152.25pt;rotation:315;z-index:-251656704;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silver" stroked="f">
          <v:fill opacity="32112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311F" w14:textId="77777777" w:rsidR="006879A1" w:rsidRDefault="0090615B">
    <w:pPr>
      <w:pStyle w:val="Header"/>
    </w:pPr>
    <w:r>
      <w:rPr>
        <w:noProof/>
      </w:rPr>
      <w:pict w14:anchorId="5621A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456.8pt;height:152.25pt;rotation:315;z-index:-251652608;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silver" stroked="f">
          <v:fill opacity="32112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1782"/>
        </w:tabs>
        <w:ind w:left="178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3452CD3"/>
    <w:multiLevelType w:val="hybridMultilevel"/>
    <w:tmpl w:val="1416C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FC0B6A"/>
    <w:multiLevelType w:val="hybridMultilevel"/>
    <w:tmpl w:val="420E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C420E"/>
    <w:multiLevelType w:val="hybridMultilevel"/>
    <w:tmpl w:val="1416C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3B6D27"/>
    <w:multiLevelType w:val="hybridMultilevel"/>
    <w:tmpl w:val="88EC3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17385"/>
    <w:multiLevelType w:val="hybridMultilevel"/>
    <w:tmpl w:val="E04C4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21"/>
  </w:num>
  <w:num w:numId="4">
    <w:abstractNumId w:val="11"/>
  </w:num>
  <w:num w:numId="5">
    <w:abstractNumId w:val="20"/>
  </w:num>
  <w:num w:numId="6">
    <w:abstractNumId w:val="2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5"/>
  </w:num>
  <w:num w:numId="20">
    <w:abstractNumId w:val="1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5"/>
  </w:num>
  <w:num w:numId="43">
    <w:abstractNumId w:val="23"/>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bordersDoNotSurroundFooter/>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A8"/>
    <w:rsid w:val="0000656C"/>
    <w:rsid w:val="00006E98"/>
    <w:rsid w:val="00007458"/>
    <w:rsid w:val="00010588"/>
    <w:rsid w:val="0001179C"/>
    <w:rsid w:val="000229AF"/>
    <w:rsid w:val="00024CFA"/>
    <w:rsid w:val="00036A00"/>
    <w:rsid w:val="00040AAE"/>
    <w:rsid w:val="00050BBA"/>
    <w:rsid w:val="000522AD"/>
    <w:rsid w:val="00056CE6"/>
    <w:rsid w:val="000616A9"/>
    <w:rsid w:val="000717F0"/>
    <w:rsid w:val="00075204"/>
    <w:rsid w:val="00081960"/>
    <w:rsid w:val="0008474B"/>
    <w:rsid w:val="00087C81"/>
    <w:rsid w:val="00094F2C"/>
    <w:rsid w:val="000C2D36"/>
    <w:rsid w:val="000C3FAF"/>
    <w:rsid w:val="000C5708"/>
    <w:rsid w:val="000C738E"/>
    <w:rsid w:val="000D04F3"/>
    <w:rsid w:val="000D0B2F"/>
    <w:rsid w:val="000D1305"/>
    <w:rsid w:val="000D26FC"/>
    <w:rsid w:val="000D34D8"/>
    <w:rsid w:val="000E05E5"/>
    <w:rsid w:val="000E0EF6"/>
    <w:rsid w:val="000E42CD"/>
    <w:rsid w:val="000F4A53"/>
    <w:rsid w:val="000F5BF1"/>
    <w:rsid w:val="000F65EA"/>
    <w:rsid w:val="0011033A"/>
    <w:rsid w:val="001108B3"/>
    <w:rsid w:val="0011496C"/>
    <w:rsid w:val="001166E2"/>
    <w:rsid w:val="00130EBA"/>
    <w:rsid w:val="00132C16"/>
    <w:rsid w:val="00137CB4"/>
    <w:rsid w:val="001445A8"/>
    <w:rsid w:val="001449EA"/>
    <w:rsid w:val="00145FDC"/>
    <w:rsid w:val="001516CE"/>
    <w:rsid w:val="0015680E"/>
    <w:rsid w:val="00161E53"/>
    <w:rsid w:val="00163339"/>
    <w:rsid w:val="00172235"/>
    <w:rsid w:val="0017415F"/>
    <w:rsid w:val="00177A5C"/>
    <w:rsid w:val="00184E26"/>
    <w:rsid w:val="001A0FE2"/>
    <w:rsid w:val="001A158D"/>
    <w:rsid w:val="001A22CD"/>
    <w:rsid w:val="001A2E6A"/>
    <w:rsid w:val="001A3D72"/>
    <w:rsid w:val="001C0616"/>
    <w:rsid w:val="001C328B"/>
    <w:rsid w:val="001D58EB"/>
    <w:rsid w:val="001D7860"/>
    <w:rsid w:val="001D7FE0"/>
    <w:rsid w:val="001E1CD0"/>
    <w:rsid w:val="001F1477"/>
    <w:rsid w:val="00206443"/>
    <w:rsid w:val="0021074E"/>
    <w:rsid w:val="0021104A"/>
    <w:rsid w:val="00217B63"/>
    <w:rsid w:val="0022038F"/>
    <w:rsid w:val="00224356"/>
    <w:rsid w:val="00225F37"/>
    <w:rsid w:val="00226EBA"/>
    <w:rsid w:val="00231676"/>
    <w:rsid w:val="00232C83"/>
    <w:rsid w:val="002442B3"/>
    <w:rsid w:val="0024571A"/>
    <w:rsid w:val="002458C2"/>
    <w:rsid w:val="002462A7"/>
    <w:rsid w:val="0025122D"/>
    <w:rsid w:val="00251505"/>
    <w:rsid w:val="00253BBC"/>
    <w:rsid w:val="002543A4"/>
    <w:rsid w:val="00254F4C"/>
    <w:rsid w:val="0026364A"/>
    <w:rsid w:val="0027447B"/>
    <w:rsid w:val="002777C3"/>
    <w:rsid w:val="00282013"/>
    <w:rsid w:val="002852F8"/>
    <w:rsid w:val="00285B85"/>
    <w:rsid w:val="002906D0"/>
    <w:rsid w:val="002A7E94"/>
    <w:rsid w:val="002B4C51"/>
    <w:rsid w:val="002B696A"/>
    <w:rsid w:val="002C3550"/>
    <w:rsid w:val="002D600C"/>
    <w:rsid w:val="002D6DDE"/>
    <w:rsid w:val="002E03D0"/>
    <w:rsid w:val="002E3D23"/>
    <w:rsid w:val="002F3B85"/>
    <w:rsid w:val="002F6063"/>
    <w:rsid w:val="00305C81"/>
    <w:rsid w:val="00314170"/>
    <w:rsid w:val="00323493"/>
    <w:rsid w:val="003276FE"/>
    <w:rsid w:val="00327BE7"/>
    <w:rsid w:val="00333949"/>
    <w:rsid w:val="00335B9C"/>
    <w:rsid w:val="00336CD5"/>
    <w:rsid w:val="00340F9B"/>
    <w:rsid w:val="00346CDF"/>
    <w:rsid w:val="003470D2"/>
    <w:rsid w:val="00347730"/>
    <w:rsid w:val="00362B7A"/>
    <w:rsid w:val="00363CBA"/>
    <w:rsid w:val="00365AE3"/>
    <w:rsid w:val="0037089E"/>
    <w:rsid w:val="003817A4"/>
    <w:rsid w:val="00381D07"/>
    <w:rsid w:val="00382BD8"/>
    <w:rsid w:val="003832AA"/>
    <w:rsid w:val="00392E45"/>
    <w:rsid w:val="003947E5"/>
    <w:rsid w:val="00394A03"/>
    <w:rsid w:val="00396524"/>
    <w:rsid w:val="003A1ED5"/>
    <w:rsid w:val="003B1D3A"/>
    <w:rsid w:val="003C5E11"/>
    <w:rsid w:val="003D4A18"/>
    <w:rsid w:val="003E1D0E"/>
    <w:rsid w:val="003E4F24"/>
    <w:rsid w:val="003E5A2B"/>
    <w:rsid w:val="003E70C1"/>
    <w:rsid w:val="003F562C"/>
    <w:rsid w:val="00403434"/>
    <w:rsid w:val="004050DB"/>
    <w:rsid w:val="004063E5"/>
    <w:rsid w:val="00412271"/>
    <w:rsid w:val="0041428E"/>
    <w:rsid w:val="004148DA"/>
    <w:rsid w:val="004155FC"/>
    <w:rsid w:val="00417A06"/>
    <w:rsid w:val="004262C4"/>
    <w:rsid w:val="00432078"/>
    <w:rsid w:val="0044091B"/>
    <w:rsid w:val="00462604"/>
    <w:rsid w:val="00462DA3"/>
    <w:rsid w:val="004639BF"/>
    <w:rsid w:val="00464C9F"/>
    <w:rsid w:val="004677E5"/>
    <w:rsid w:val="00467D9D"/>
    <w:rsid w:val="00474251"/>
    <w:rsid w:val="004746B2"/>
    <w:rsid w:val="00497A9A"/>
    <w:rsid w:val="004A0256"/>
    <w:rsid w:val="004A04A9"/>
    <w:rsid w:val="004A189D"/>
    <w:rsid w:val="004A5FC2"/>
    <w:rsid w:val="004B2DDF"/>
    <w:rsid w:val="004B3D68"/>
    <w:rsid w:val="004C2A35"/>
    <w:rsid w:val="004C3007"/>
    <w:rsid w:val="004D3FF3"/>
    <w:rsid w:val="004D5B12"/>
    <w:rsid w:val="004D6A1C"/>
    <w:rsid w:val="004D714F"/>
    <w:rsid w:val="004F41C9"/>
    <w:rsid w:val="004F523E"/>
    <w:rsid w:val="004F7184"/>
    <w:rsid w:val="005021DB"/>
    <w:rsid w:val="005110A0"/>
    <w:rsid w:val="00515BAB"/>
    <w:rsid w:val="00520BC9"/>
    <w:rsid w:val="00522FC7"/>
    <w:rsid w:val="00525FDB"/>
    <w:rsid w:val="00530034"/>
    <w:rsid w:val="005313B3"/>
    <w:rsid w:val="0054134B"/>
    <w:rsid w:val="005443B7"/>
    <w:rsid w:val="005540B3"/>
    <w:rsid w:val="00555981"/>
    <w:rsid w:val="00556DFC"/>
    <w:rsid w:val="0056275C"/>
    <w:rsid w:val="00562E38"/>
    <w:rsid w:val="00563B1F"/>
    <w:rsid w:val="00563DE3"/>
    <w:rsid w:val="00564794"/>
    <w:rsid w:val="0056506A"/>
    <w:rsid w:val="00580CEB"/>
    <w:rsid w:val="005A1519"/>
    <w:rsid w:val="005A23D3"/>
    <w:rsid w:val="005A26E9"/>
    <w:rsid w:val="005A47CD"/>
    <w:rsid w:val="005A62C2"/>
    <w:rsid w:val="005A711C"/>
    <w:rsid w:val="005B332C"/>
    <w:rsid w:val="005B36D6"/>
    <w:rsid w:val="005C09DD"/>
    <w:rsid w:val="005C2680"/>
    <w:rsid w:val="005C641C"/>
    <w:rsid w:val="005D0CB3"/>
    <w:rsid w:val="005D1D5A"/>
    <w:rsid w:val="005D7ECA"/>
    <w:rsid w:val="005E0B26"/>
    <w:rsid w:val="005E17CB"/>
    <w:rsid w:val="005F5AE7"/>
    <w:rsid w:val="00604871"/>
    <w:rsid w:val="00605D19"/>
    <w:rsid w:val="00621753"/>
    <w:rsid w:val="0062640E"/>
    <w:rsid w:val="00627237"/>
    <w:rsid w:val="00632576"/>
    <w:rsid w:val="00633BE3"/>
    <w:rsid w:val="0065287A"/>
    <w:rsid w:val="00655CE6"/>
    <w:rsid w:val="0066637E"/>
    <w:rsid w:val="006673FB"/>
    <w:rsid w:val="00667EBD"/>
    <w:rsid w:val="00671B75"/>
    <w:rsid w:val="006727C2"/>
    <w:rsid w:val="0067547F"/>
    <w:rsid w:val="00682BDA"/>
    <w:rsid w:val="0068419B"/>
    <w:rsid w:val="006879A1"/>
    <w:rsid w:val="0069127E"/>
    <w:rsid w:val="006974A3"/>
    <w:rsid w:val="006A3832"/>
    <w:rsid w:val="006A595F"/>
    <w:rsid w:val="006B0616"/>
    <w:rsid w:val="006B2544"/>
    <w:rsid w:val="006B4D8C"/>
    <w:rsid w:val="006C7ACD"/>
    <w:rsid w:val="006D3727"/>
    <w:rsid w:val="006E4C55"/>
    <w:rsid w:val="006E6673"/>
    <w:rsid w:val="006F4C88"/>
    <w:rsid w:val="00700022"/>
    <w:rsid w:val="007001D1"/>
    <w:rsid w:val="007013C9"/>
    <w:rsid w:val="00705757"/>
    <w:rsid w:val="00710762"/>
    <w:rsid w:val="00717B93"/>
    <w:rsid w:val="007225FD"/>
    <w:rsid w:val="0072710C"/>
    <w:rsid w:val="0073533C"/>
    <w:rsid w:val="0075425C"/>
    <w:rsid w:val="00754E79"/>
    <w:rsid w:val="00755AB7"/>
    <w:rsid w:val="00756F81"/>
    <w:rsid w:val="0075715C"/>
    <w:rsid w:val="00765770"/>
    <w:rsid w:val="007672D3"/>
    <w:rsid w:val="00784FF8"/>
    <w:rsid w:val="00793D1D"/>
    <w:rsid w:val="007A0478"/>
    <w:rsid w:val="007B0180"/>
    <w:rsid w:val="007C6A88"/>
    <w:rsid w:val="007D4B31"/>
    <w:rsid w:val="007D678C"/>
    <w:rsid w:val="007E0951"/>
    <w:rsid w:val="007E0E56"/>
    <w:rsid w:val="007F234A"/>
    <w:rsid w:val="007F4EC9"/>
    <w:rsid w:val="008000CB"/>
    <w:rsid w:val="00813C43"/>
    <w:rsid w:val="008205BF"/>
    <w:rsid w:val="008226D0"/>
    <w:rsid w:val="00822FF8"/>
    <w:rsid w:val="00827061"/>
    <w:rsid w:val="00833344"/>
    <w:rsid w:val="00835972"/>
    <w:rsid w:val="00840AD7"/>
    <w:rsid w:val="008450E9"/>
    <w:rsid w:val="008532BB"/>
    <w:rsid w:val="00855B51"/>
    <w:rsid w:val="00860725"/>
    <w:rsid w:val="00865D1C"/>
    <w:rsid w:val="00867D87"/>
    <w:rsid w:val="008806DE"/>
    <w:rsid w:val="00882173"/>
    <w:rsid w:val="008A0A7D"/>
    <w:rsid w:val="008C6402"/>
    <w:rsid w:val="008D058D"/>
    <w:rsid w:val="008D2EEE"/>
    <w:rsid w:val="008D62FA"/>
    <w:rsid w:val="008E0462"/>
    <w:rsid w:val="008E42FD"/>
    <w:rsid w:val="008F418A"/>
    <w:rsid w:val="00901C6B"/>
    <w:rsid w:val="0090615B"/>
    <w:rsid w:val="009150C3"/>
    <w:rsid w:val="00915972"/>
    <w:rsid w:val="00920567"/>
    <w:rsid w:val="00931EC6"/>
    <w:rsid w:val="00933B36"/>
    <w:rsid w:val="0094093F"/>
    <w:rsid w:val="00942AA8"/>
    <w:rsid w:val="00945846"/>
    <w:rsid w:val="00947F61"/>
    <w:rsid w:val="00952F16"/>
    <w:rsid w:val="00954D89"/>
    <w:rsid w:val="00962822"/>
    <w:rsid w:val="00963C6F"/>
    <w:rsid w:val="00981DCB"/>
    <w:rsid w:val="00987CDC"/>
    <w:rsid w:val="00993471"/>
    <w:rsid w:val="00993ACB"/>
    <w:rsid w:val="0099578F"/>
    <w:rsid w:val="009A1172"/>
    <w:rsid w:val="009A1273"/>
    <w:rsid w:val="009A188A"/>
    <w:rsid w:val="009B0ED2"/>
    <w:rsid w:val="009B4C8F"/>
    <w:rsid w:val="009C0917"/>
    <w:rsid w:val="009C56DC"/>
    <w:rsid w:val="009C5716"/>
    <w:rsid w:val="009C6C08"/>
    <w:rsid w:val="009D180C"/>
    <w:rsid w:val="009D4045"/>
    <w:rsid w:val="009D7AB0"/>
    <w:rsid w:val="009E4997"/>
    <w:rsid w:val="009F1BA8"/>
    <w:rsid w:val="009F7AD4"/>
    <w:rsid w:val="00A03559"/>
    <w:rsid w:val="00A112EC"/>
    <w:rsid w:val="00A17EC8"/>
    <w:rsid w:val="00A20F0C"/>
    <w:rsid w:val="00A33138"/>
    <w:rsid w:val="00A33CDB"/>
    <w:rsid w:val="00A41F89"/>
    <w:rsid w:val="00A4347E"/>
    <w:rsid w:val="00A5157C"/>
    <w:rsid w:val="00A53E55"/>
    <w:rsid w:val="00A54607"/>
    <w:rsid w:val="00A57ED8"/>
    <w:rsid w:val="00A64AB2"/>
    <w:rsid w:val="00A848D7"/>
    <w:rsid w:val="00A87744"/>
    <w:rsid w:val="00A91127"/>
    <w:rsid w:val="00A92CD0"/>
    <w:rsid w:val="00A94786"/>
    <w:rsid w:val="00A94CC2"/>
    <w:rsid w:val="00AA7D52"/>
    <w:rsid w:val="00AA7D5B"/>
    <w:rsid w:val="00AB6912"/>
    <w:rsid w:val="00AC6302"/>
    <w:rsid w:val="00AD4510"/>
    <w:rsid w:val="00AE0918"/>
    <w:rsid w:val="00AE18B1"/>
    <w:rsid w:val="00AE2A9A"/>
    <w:rsid w:val="00AE4581"/>
    <w:rsid w:val="00AE4974"/>
    <w:rsid w:val="00AF09BF"/>
    <w:rsid w:val="00AF105E"/>
    <w:rsid w:val="00B0004B"/>
    <w:rsid w:val="00B01E5C"/>
    <w:rsid w:val="00B026DA"/>
    <w:rsid w:val="00B02C56"/>
    <w:rsid w:val="00B02C5C"/>
    <w:rsid w:val="00B11FCE"/>
    <w:rsid w:val="00B13E73"/>
    <w:rsid w:val="00B26790"/>
    <w:rsid w:val="00B32058"/>
    <w:rsid w:val="00B35D2C"/>
    <w:rsid w:val="00B36B36"/>
    <w:rsid w:val="00B52226"/>
    <w:rsid w:val="00B54464"/>
    <w:rsid w:val="00B5467E"/>
    <w:rsid w:val="00B57CDE"/>
    <w:rsid w:val="00B64355"/>
    <w:rsid w:val="00B675E2"/>
    <w:rsid w:val="00B67B15"/>
    <w:rsid w:val="00B67D71"/>
    <w:rsid w:val="00B71E49"/>
    <w:rsid w:val="00B93272"/>
    <w:rsid w:val="00B97FE8"/>
    <w:rsid w:val="00BA56A2"/>
    <w:rsid w:val="00BA5AFB"/>
    <w:rsid w:val="00BA6F3D"/>
    <w:rsid w:val="00BB0804"/>
    <w:rsid w:val="00BB13FB"/>
    <w:rsid w:val="00BB38D6"/>
    <w:rsid w:val="00BC383D"/>
    <w:rsid w:val="00BC54A7"/>
    <w:rsid w:val="00BD4254"/>
    <w:rsid w:val="00BE69E9"/>
    <w:rsid w:val="00BF0A12"/>
    <w:rsid w:val="00BF2256"/>
    <w:rsid w:val="00BF34B3"/>
    <w:rsid w:val="00BF4E42"/>
    <w:rsid w:val="00BF6A34"/>
    <w:rsid w:val="00BF6D00"/>
    <w:rsid w:val="00BF7904"/>
    <w:rsid w:val="00C067C8"/>
    <w:rsid w:val="00C1170A"/>
    <w:rsid w:val="00C16671"/>
    <w:rsid w:val="00C1679F"/>
    <w:rsid w:val="00C17EBE"/>
    <w:rsid w:val="00C314C2"/>
    <w:rsid w:val="00C31858"/>
    <w:rsid w:val="00C37DD1"/>
    <w:rsid w:val="00C56AE6"/>
    <w:rsid w:val="00C66EC8"/>
    <w:rsid w:val="00C74766"/>
    <w:rsid w:val="00C82154"/>
    <w:rsid w:val="00C9287A"/>
    <w:rsid w:val="00C9425B"/>
    <w:rsid w:val="00C96517"/>
    <w:rsid w:val="00CB03D2"/>
    <w:rsid w:val="00CB73E2"/>
    <w:rsid w:val="00CC0EA6"/>
    <w:rsid w:val="00CC2B7A"/>
    <w:rsid w:val="00CC320E"/>
    <w:rsid w:val="00CC42F9"/>
    <w:rsid w:val="00CD01ED"/>
    <w:rsid w:val="00CD137C"/>
    <w:rsid w:val="00CD3B1F"/>
    <w:rsid w:val="00CF31FA"/>
    <w:rsid w:val="00CF7A8B"/>
    <w:rsid w:val="00D00057"/>
    <w:rsid w:val="00D07D5F"/>
    <w:rsid w:val="00D10906"/>
    <w:rsid w:val="00D272ED"/>
    <w:rsid w:val="00D3041A"/>
    <w:rsid w:val="00D4540E"/>
    <w:rsid w:val="00D45831"/>
    <w:rsid w:val="00D502FC"/>
    <w:rsid w:val="00D51001"/>
    <w:rsid w:val="00D6081D"/>
    <w:rsid w:val="00D63E4E"/>
    <w:rsid w:val="00D73A79"/>
    <w:rsid w:val="00D76D24"/>
    <w:rsid w:val="00D869BC"/>
    <w:rsid w:val="00D90D87"/>
    <w:rsid w:val="00D95672"/>
    <w:rsid w:val="00D97F16"/>
    <w:rsid w:val="00DB6283"/>
    <w:rsid w:val="00DB649B"/>
    <w:rsid w:val="00DC551C"/>
    <w:rsid w:val="00DD6157"/>
    <w:rsid w:val="00DD67F7"/>
    <w:rsid w:val="00DE30CC"/>
    <w:rsid w:val="00DF3B0E"/>
    <w:rsid w:val="00DF77DF"/>
    <w:rsid w:val="00E0281A"/>
    <w:rsid w:val="00E03731"/>
    <w:rsid w:val="00E107E1"/>
    <w:rsid w:val="00E11C45"/>
    <w:rsid w:val="00E12E74"/>
    <w:rsid w:val="00E16101"/>
    <w:rsid w:val="00E17DD1"/>
    <w:rsid w:val="00E20278"/>
    <w:rsid w:val="00E2605A"/>
    <w:rsid w:val="00E30FE3"/>
    <w:rsid w:val="00E358D1"/>
    <w:rsid w:val="00E35ABA"/>
    <w:rsid w:val="00E36696"/>
    <w:rsid w:val="00E41634"/>
    <w:rsid w:val="00E45839"/>
    <w:rsid w:val="00E5424F"/>
    <w:rsid w:val="00E61F9D"/>
    <w:rsid w:val="00E65F7E"/>
    <w:rsid w:val="00E77773"/>
    <w:rsid w:val="00E84BB1"/>
    <w:rsid w:val="00E86E13"/>
    <w:rsid w:val="00E873E3"/>
    <w:rsid w:val="00E879CD"/>
    <w:rsid w:val="00E976C3"/>
    <w:rsid w:val="00EA4DF5"/>
    <w:rsid w:val="00EA607F"/>
    <w:rsid w:val="00EB1068"/>
    <w:rsid w:val="00EB1D0A"/>
    <w:rsid w:val="00EB31A6"/>
    <w:rsid w:val="00EB7B4B"/>
    <w:rsid w:val="00EC5225"/>
    <w:rsid w:val="00ED4DC5"/>
    <w:rsid w:val="00EE0FAC"/>
    <w:rsid w:val="00EE5263"/>
    <w:rsid w:val="00EE58AD"/>
    <w:rsid w:val="00EE5EDF"/>
    <w:rsid w:val="00EF18F8"/>
    <w:rsid w:val="00F06049"/>
    <w:rsid w:val="00F11908"/>
    <w:rsid w:val="00F14111"/>
    <w:rsid w:val="00F2131A"/>
    <w:rsid w:val="00F22B22"/>
    <w:rsid w:val="00F25451"/>
    <w:rsid w:val="00F255F7"/>
    <w:rsid w:val="00F32F49"/>
    <w:rsid w:val="00F37B44"/>
    <w:rsid w:val="00F43737"/>
    <w:rsid w:val="00F52B3B"/>
    <w:rsid w:val="00F53224"/>
    <w:rsid w:val="00F6074F"/>
    <w:rsid w:val="00F62D5C"/>
    <w:rsid w:val="00F760FF"/>
    <w:rsid w:val="00F85D89"/>
    <w:rsid w:val="00F92150"/>
    <w:rsid w:val="00F94413"/>
    <w:rsid w:val="00FA571B"/>
    <w:rsid w:val="00FB6984"/>
    <w:rsid w:val="00FC3965"/>
    <w:rsid w:val="00FD42E9"/>
    <w:rsid w:val="00FE5618"/>
    <w:rsid w:val="00FF09E5"/>
    <w:rsid w:val="00FF3B09"/>
    <w:rsid w:val="00FF69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8B3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1D1"/>
  </w:style>
  <w:style w:type="paragraph" w:styleId="Heading1">
    <w:name w:val="heading 1"/>
    <w:basedOn w:val="Normal"/>
    <w:next w:val="Normal"/>
    <w:qFormat/>
    <w:rsid w:val="00BA56A2"/>
    <w:pPr>
      <w:keepNext/>
      <w:outlineLvl w:val="0"/>
    </w:pPr>
    <w:rPr>
      <w:b/>
    </w:rPr>
  </w:style>
  <w:style w:type="paragraph" w:styleId="Heading2">
    <w:name w:val="heading 2"/>
    <w:basedOn w:val="Normal"/>
    <w:next w:val="Normal"/>
    <w:qFormat/>
    <w:rsid w:val="00BA56A2"/>
    <w:pPr>
      <w:keepNext/>
      <w:jc w:val="center"/>
      <w:outlineLvl w:val="1"/>
    </w:pPr>
    <w:rPr>
      <w:b/>
      <w:sz w:val="40"/>
    </w:rPr>
  </w:style>
  <w:style w:type="paragraph" w:styleId="Heading3">
    <w:name w:val="heading 3"/>
    <w:basedOn w:val="Normal"/>
    <w:next w:val="Normal"/>
    <w:qFormat/>
    <w:rsid w:val="00BA56A2"/>
    <w:pPr>
      <w:keepNext/>
      <w:jc w:val="center"/>
      <w:outlineLvl w:val="2"/>
    </w:pPr>
    <w:rPr>
      <w:b/>
      <w:sz w:val="52"/>
    </w:rPr>
  </w:style>
  <w:style w:type="paragraph" w:styleId="Heading4">
    <w:name w:val="heading 4"/>
    <w:basedOn w:val="Normal"/>
    <w:next w:val="Normal"/>
    <w:qFormat/>
    <w:rsid w:val="00BA56A2"/>
    <w:pPr>
      <w:keepNext/>
      <w:outlineLvl w:val="3"/>
    </w:pPr>
    <w:rPr>
      <w:sz w:val="24"/>
      <w:u w:val="single"/>
    </w:rPr>
  </w:style>
  <w:style w:type="paragraph" w:styleId="Heading5">
    <w:name w:val="heading 5"/>
    <w:basedOn w:val="Normal"/>
    <w:next w:val="Normal"/>
    <w:qFormat/>
    <w:rsid w:val="00BA56A2"/>
    <w:pPr>
      <w:keepNext/>
      <w:outlineLvl w:val="4"/>
    </w:pPr>
    <w:rPr>
      <w:sz w:val="24"/>
    </w:rPr>
  </w:style>
  <w:style w:type="paragraph" w:styleId="Heading6">
    <w:name w:val="heading 6"/>
    <w:basedOn w:val="Normal"/>
    <w:next w:val="Normal"/>
    <w:qFormat/>
    <w:rsid w:val="00BA56A2"/>
    <w:pPr>
      <w:keepNext/>
      <w:outlineLvl w:val="5"/>
    </w:pPr>
    <w:rPr>
      <w:b/>
      <w:sz w:val="24"/>
      <w:u w:val="single"/>
    </w:rPr>
  </w:style>
  <w:style w:type="paragraph" w:styleId="Heading7">
    <w:name w:val="heading 7"/>
    <w:basedOn w:val="Normal"/>
    <w:next w:val="Normal"/>
    <w:qFormat/>
    <w:rsid w:val="00BA56A2"/>
    <w:pPr>
      <w:keepNext/>
      <w:outlineLvl w:val="6"/>
    </w:pPr>
    <w:rPr>
      <w:b/>
      <w:sz w:val="24"/>
    </w:rPr>
  </w:style>
  <w:style w:type="paragraph" w:styleId="Heading8">
    <w:name w:val="heading 8"/>
    <w:basedOn w:val="Normal"/>
    <w:next w:val="Normal"/>
    <w:qFormat/>
    <w:rsid w:val="00BA56A2"/>
    <w:pPr>
      <w:keepNext/>
      <w:pBdr>
        <w:top w:val="single" w:sz="8" w:space="1" w:color="auto"/>
        <w:bottom w:val="single" w:sz="8" w:space="1" w:color="auto"/>
      </w:pBdr>
      <w:outlineLvl w:val="7"/>
    </w:pPr>
    <w:rPr>
      <w:b/>
      <w:i/>
      <w:sz w:val="24"/>
    </w:rPr>
  </w:style>
  <w:style w:type="paragraph" w:styleId="Heading9">
    <w:name w:val="heading 9"/>
    <w:basedOn w:val="Normal"/>
    <w:next w:val="Normal"/>
    <w:qFormat/>
    <w:rsid w:val="00BA56A2"/>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56A2"/>
    <w:pPr>
      <w:tabs>
        <w:tab w:val="center" w:pos="4320"/>
        <w:tab w:val="right" w:pos="8640"/>
      </w:tabs>
    </w:pPr>
  </w:style>
  <w:style w:type="paragraph" w:styleId="Footer">
    <w:name w:val="footer"/>
    <w:basedOn w:val="Normal"/>
    <w:rsid w:val="00BA56A2"/>
    <w:pPr>
      <w:tabs>
        <w:tab w:val="center" w:pos="4320"/>
        <w:tab w:val="right" w:pos="8640"/>
      </w:tabs>
    </w:pPr>
  </w:style>
  <w:style w:type="paragraph" w:styleId="BodyText">
    <w:name w:val="Body Text"/>
    <w:basedOn w:val="Normal"/>
    <w:link w:val="BodyTextChar"/>
    <w:rsid w:val="00BA56A2"/>
    <w:rPr>
      <w:sz w:val="16"/>
    </w:rPr>
  </w:style>
  <w:style w:type="paragraph" w:styleId="BodyText2">
    <w:name w:val="Body Text 2"/>
    <w:basedOn w:val="Normal"/>
    <w:rsid w:val="00BA56A2"/>
    <w:rPr>
      <w:sz w:val="24"/>
    </w:rPr>
  </w:style>
  <w:style w:type="paragraph" w:styleId="TOC1">
    <w:name w:val="toc 1"/>
    <w:basedOn w:val="Normal"/>
    <w:next w:val="Normal"/>
    <w:autoRedefine/>
    <w:uiPriority w:val="39"/>
    <w:rsid w:val="00BA56A2"/>
    <w:pPr>
      <w:spacing w:before="120" w:after="120"/>
    </w:pPr>
    <w:rPr>
      <w:b/>
      <w:caps/>
    </w:rPr>
  </w:style>
  <w:style w:type="paragraph" w:styleId="TOC2">
    <w:name w:val="toc 2"/>
    <w:basedOn w:val="Normal"/>
    <w:next w:val="Normal"/>
    <w:autoRedefine/>
    <w:uiPriority w:val="39"/>
    <w:rsid w:val="00BA56A2"/>
    <w:pPr>
      <w:ind w:left="200"/>
    </w:pPr>
    <w:rPr>
      <w:smallCaps/>
    </w:rPr>
  </w:style>
  <w:style w:type="paragraph" w:styleId="TOC3">
    <w:name w:val="toc 3"/>
    <w:basedOn w:val="Normal"/>
    <w:next w:val="Normal"/>
    <w:autoRedefine/>
    <w:uiPriority w:val="39"/>
    <w:rsid w:val="00BA56A2"/>
    <w:pPr>
      <w:ind w:left="400"/>
    </w:pPr>
    <w:rPr>
      <w:i/>
    </w:rPr>
  </w:style>
  <w:style w:type="paragraph" w:styleId="TOC4">
    <w:name w:val="toc 4"/>
    <w:basedOn w:val="Normal"/>
    <w:next w:val="Normal"/>
    <w:autoRedefine/>
    <w:semiHidden/>
    <w:rsid w:val="00BA56A2"/>
    <w:pPr>
      <w:ind w:left="600"/>
    </w:pPr>
    <w:rPr>
      <w:sz w:val="18"/>
    </w:rPr>
  </w:style>
  <w:style w:type="paragraph" w:styleId="TOC5">
    <w:name w:val="toc 5"/>
    <w:basedOn w:val="Normal"/>
    <w:next w:val="Normal"/>
    <w:autoRedefine/>
    <w:semiHidden/>
    <w:rsid w:val="00BA56A2"/>
    <w:pPr>
      <w:ind w:left="800"/>
    </w:pPr>
    <w:rPr>
      <w:sz w:val="18"/>
    </w:rPr>
  </w:style>
  <w:style w:type="paragraph" w:styleId="TOC6">
    <w:name w:val="toc 6"/>
    <w:basedOn w:val="Normal"/>
    <w:next w:val="Normal"/>
    <w:autoRedefine/>
    <w:semiHidden/>
    <w:rsid w:val="00BA56A2"/>
    <w:pPr>
      <w:ind w:left="1000"/>
    </w:pPr>
    <w:rPr>
      <w:sz w:val="18"/>
    </w:rPr>
  </w:style>
  <w:style w:type="paragraph" w:styleId="TOC7">
    <w:name w:val="toc 7"/>
    <w:basedOn w:val="Normal"/>
    <w:next w:val="Normal"/>
    <w:autoRedefine/>
    <w:semiHidden/>
    <w:rsid w:val="00BA56A2"/>
    <w:pPr>
      <w:ind w:left="1200"/>
    </w:pPr>
    <w:rPr>
      <w:sz w:val="18"/>
    </w:rPr>
  </w:style>
  <w:style w:type="paragraph" w:styleId="TOC8">
    <w:name w:val="toc 8"/>
    <w:basedOn w:val="Normal"/>
    <w:next w:val="Normal"/>
    <w:autoRedefine/>
    <w:semiHidden/>
    <w:rsid w:val="00BA56A2"/>
    <w:pPr>
      <w:ind w:left="1400"/>
    </w:pPr>
    <w:rPr>
      <w:sz w:val="18"/>
    </w:rPr>
  </w:style>
  <w:style w:type="paragraph" w:styleId="TOC9">
    <w:name w:val="toc 9"/>
    <w:basedOn w:val="Normal"/>
    <w:next w:val="Normal"/>
    <w:autoRedefine/>
    <w:semiHidden/>
    <w:rsid w:val="00BA56A2"/>
    <w:pPr>
      <w:ind w:left="1600"/>
    </w:pPr>
    <w:rPr>
      <w:sz w:val="18"/>
    </w:rPr>
  </w:style>
  <w:style w:type="paragraph" w:styleId="BodyTextIndent">
    <w:name w:val="Body Text Indent"/>
    <w:basedOn w:val="Normal"/>
    <w:link w:val="BodyTextIndentChar"/>
    <w:rsid w:val="00BA56A2"/>
    <w:pPr>
      <w:ind w:left="450"/>
    </w:pPr>
    <w:rPr>
      <w:sz w:val="24"/>
    </w:rPr>
  </w:style>
  <w:style w:type="character" w:styleId="PageNumber">
    <w:name w:val="page number"/>
    <w:basedOn w:val="DefaultParagraphFont"/>
    <w:rsid w:val="00BA56A2"/>
  </w:style>
  <w:style w:type="paragraph" w:styleId="FootnoteText">
    <w:name w:val="footnote text"/>
    <w:basedOn w:val="Normal"/>
    <w:semiHidden/>
    <w:rsid w:val="00BA56A2"/>
  </w:style>
  <w:style w:type="character" w:styleId="FootnoteReference">
    <w:name w:val="footnote reference"/>
    <w:semiHidden/>
    <w:rsid w:val="00BA56A2"/>
    <w:rPr>
      <w:vertAlign w:val="superscript"/>
    </w:rPr>
  </w:style>
  <w:style w:type="paragraph" w:styleId="Caption">
    <w:name w:val="caption"/>
    <w:basedOn w:val="Normal"/>
    <w:next w:val="Normal"/>
    <w:qFormat/>
    <w:rsid w:val="00BA56A2"/>
    <w:pPr>
      <w:jc w:val="center"/>
    </w:pPr>
    <w:rPr>
      <w:sz w:val="24"/>
    </w:rPr>
  </w:style>
  <w:style w:type="paragraph" w:styleId="BodyText3">
    <w:name w:val="Body Text 3"/>
    <w:basedOn w:val="Normal"/>
    <w:rsid w:val="00BA56A2"/>
    <w:pPr>
      <w:jc w:val="both"/>
    </w:pPr>
  </w:style>
  <w:style w:type="character" w:styleId="CommentReference">
    <w:name w:val="annotation reference"/>
    <w:semiHidden/>
    <w:rsid w:val="00BA56A2"/>
    <w:rPr>
      <w:sz w:val="16"/>
    </w:rPr>
  </w:style>
  <w:style w:type="paragraph" w:styleId="CommentText">
    <w:name w:val="annotation text"/>
    <w:basedOn w:val="Normal"/>
    <w:link w:val="CommentTextChar"/>
    <w:semiHidden/>
    <w:rsid w:val="00BA56A2"/>
  </w:style>
  <w:style w:type="paragraph" w:styleId="BodyTextIndent2">
    <w:name w:val="Body Text Indent 2"/>
    <w:basedOn w:val="Normal"/>
    <w:rsid w:val="00BA56A2"/>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3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31"/>
      </w:numPr>
      <w:tabs>
        <w:tab w:val="clear" w:pos="1782"/>
        <w:tab w:val="num" w:pos="792"/>
      </w:tabs>
      <w:ind w:left="792"/>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512404427">
      <w:bodyDiv w:val="1"/>
      <w:marLeft w:val="0"/>
      <w:marRight w:val="0"/>
      <w:marTop w:val="0"/>
      <w:marBottom w:val="0"/>
      <w:divBdr>
        <w:top w:val="none" w:sz="0" w:space="0" w:color="auto"/>
        <w:left w:val="none" w:sz="0" w:space="0" w:color="auto"/>
        <w:bottom w:val="none" w:sz="0" w:space="0" w:color="auto"/>
        <w:right w:val="none" w:sz="0" w:space="0" w:color="auto"/>
      </w:divBdr>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2021-11-03T19:12:00Z</dcterms:created>
  <dcterms:modified xsi:type="dcterms:W3CDTF">2021-11-04T13:45:00Z</dcterms:modified>
</cp:coreProperties>
</file>