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DB31" w14:textId="2436B4FC" w:rsidR="00C80516" w:rsidRPr="00E1073C" w:rsidRDefault="00BD7CAE" w:rsidP="00C80516">
      <w:pPr>
        <w:pStyle w:val="Heading1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c</w:t>
      </w:r>
      <w:r w:rsidR="00D931A7">
        <w:rPr>
          <w:rFonts w:asciiTheme="minorHAnsi" w:hAnsiTheme="minorHAnsi" w:cs="Times New Roman"/>
          <w:color w:val="auto"/>
        </w:rPr>
        <w:t xml:space="preserve">hallenges </w:t>
      </w:r>
      <w:r w:rsidR="00891706">
        <w:rPr>
          <w:rFonts w:asciiTheme="minorHAnsi" w:hAnsiTheme="minorHAnsi" w:cs="Times New Roman"/>
          <w:color w:val="auto"/>
        </w:rPr>
        <w:t xml:space="preserve">and solutions </w:t>
      </w:r>
      <w:r w:rsidR="00D931A7">
        <w:rPr>
          <w:rFonts w:asciiTheme="minorHAnsi" w:hAnsiTheme="minorHAnsi" w:cs="Times New Roman"/>
          <w:color w:val="auto"/>
        </w:rPr>
        <w:t xml:space="preserve">of meeting </w:t>
      </w:r>
      <w:r>
        <w:rPr>
          <w:rFonts w:asciiTheme="minorHAnsi" w:hAnsiTheme="minorHAnsi" w:cs="Times New Roman"/>
          <w:color w:val="auto"/>
        </w:rPr>
        <w:t xml:space="preserve">the </w:t>
      </w:r>
      <w:r w:rsidR="00D931A7">
        <w:rPr>
          <w:rFonts w:asciiTheme="minorHAnsi" w:hAnsiTheme="minorHAnsi" w:cs="Times New Roman"/>
          <w:color w:val="auto"/>
        </w:rPr>
        <w:t>assembly specifications</w:t>
      </w:r>
      <w:r w:rsidR="00C80516">
        <w:rPr>
          <w:rFonts w:asciiTheme="minorHAnsi" w:hAnsiTheme="minorHAnsi" w:cs="Times New Roman"/>
          <w:color w:val="auto"/>
        </w:rPr>
        <w:t xml:space="preserve"> </w:t>
      </w:r>
      <w:r w:rsidR="00EA1C52">
        <w:rPr>
          <w:rFonts w:asciiTheme="minorHAnsi" w:hAnsiTheme="minorHAnsi" w:cs="Times New Roman"/>
          <w:color w:val="auto"/>
        </w:rPr>
        <w:t>for</w:t>
      </w:r>
      <w:r w:rsidR="00064821">
        <w:rPr>
          <w:rFonts w:asciiTheme="minorHAnsi" w:hAnsiTheme="minorHAnsi" w:cs="Times New Roman"/>
          <w:color w:val="auto"/>
        </w:rPr>
        <w:t xml:space="preserve"> the</w:t>
      </w:r>
      <w:r w:rsidR="00C80516">
        <w:rPr>
          <w:rFonts w:asciiTheme="minorHAnsi" w:hAnsiTheme="minorHAnsi" w:cs="Times New Roman"/>
          <w:color w:val="auto"/>
        </w:rPr>
        <w:t xml:space="preserve"> </w:t>
      </w:r>
      <w:r w:rsidR="00891AC9">
        <w:rPr>
          <w:rFonts w:asciiTheme="minorHAnsi" w:hAnsiTheme="minorHAnsi" w:cs="Times New Roman"/>
          <w:color w:val="auto"/>
        </w:rPr>
        <w:t xml:space="preserve">4.5 m </w:t>
      </w:r>
      <w:r w:rsidR="00BD2971">
        <w:rPr>
          <w:rFonts w:asciiTheme="minorHAnsi" w:hAnsiTheme="minorHAnsi" w:cs="Times New Roman"/>
          <w:color w:val="auto"/>
        </w:rPr>
        <w:t xml:space="preserve">long </w:t>
      </w:r>
      <w:r w:rsidR="00064821">
        <w:rPr>
          <w:rFonts w:asciiTheme="minorHAnsi" w:hAnsiTheme="minorHAnsi" w:cs="Times New Roman"/>
          <w:color w:val="auto"/>
        </w:rPr>
        <w:t>MQXFA</w:t>
      </w:r>
      <w:r w:rsidR="00C80516">
        <w:rPr>
          <w:rFonts w:asciiTheme="minorHAnsi" w:hAnsiTheme="minorHAnsi" w:cs="Times New Roman"/>
          <w:color w:val="auto"/>
        </w:rPr>
        <w:t xml:space="preserve"> </w:t>
      </w:r>
      <w:r w:rsidR="00DF4383">
        <w:rPr>
          <w:rFonts w:asciiTheme="minorHAnsi" w:hAnsiTheme="minorHAnsi" w:cs="Times New Roman"/>
          <w:color w:val="auto"/>
        </w:rPr>
        <w:t>magnets</w:t>
      </w:r>
      <w:r w:rsidR="00C80516">
        <w:rPr>
          <w:rFonts w:asciiTheme="minorHAnsi" w:hAnsiTheme="minorHAnsi" w:cs="Times New Roman"/>
          <w:color w:val="auto"/>
        </w:rPr>
        <w:t xml:space="preserve"> for the Hi-Lumi</w:t>
      </w:r>
      <w:r>
        <w:rPr>
          <w:rFonts w:asciiTheme="minorHAnsi" w:hAnsiTheme="minorHAnsi" w:cs="Times New Roman"/>
          <w:color w:val="auto"/>
        </w:rPr>
        <w:t>nosity</w:t>
      </w:r>
      <w:r w:rsidR="00C80516">
        <w:rPr>
          <w:rFonts w:asciiTheme="minorHAnsi" w:hAnsiTheme="minorHAnsi" w:cs="Times New Roman"/>
          <w:color w:val="auto"/>
        </w:rPr>
        <w:t xml:space="preserve"> LHC</w:t>
      </w:r>
    </w:p>
    <w:p w14:paraId="0426C9DC" w14:textId="77777777" w:rsidR="00C80516" w:rsidRPr="00E1073C" w:rsidRDefault="00C80516" w:rsidP="00C80516"/>
    <w:p w14:paraId="5F1AB557" w14:textId="01E8DB8B" w:rsidR="00E31E62" w:rsidRPr="00E1073C" w:rsidRDefault="00E31E62" w:rsidP="00E31E62">
      <w:pPr>
        <w:pStyle w:val="Authors"/>
        <w:framePr w:w="0" w:hSpace="0" w:vSpace="0" w:wrap="auto" w:vAnchor="margin" w:hAnchor="text" w:xAlign="left" w:yAlign="inline"/>
        <w:spacing w:after="0"/>
        <w:jc w:val="both"/>
        <w:rPr>
          <w:rStyle w:val="MemberType"/>
          <w:rFonts w:eastAsiaTheme="minorHAnsi" w:cstheme="minorBidi"/>
          <w:szCs w:val="22"/>
        </w:rPr>
      </w:pPr>
      <w:r w:rsidRPr="00E1073C">
        <w:rPr>
          <w:rFonts w:asciiTheme="minorHAnsi" w:hAnsiTheme="minorHAnsi"/>
          <w:sz w:val="24"/>
          <w:szCs w:val="24"/>
        </w:rPr>
        <w:t>D.W.</w:t>
      </w:r>
      <w:r>
        <w:rPr>
          <w:rFonts w:asciiTheme="minorHAnsi" w:hAnsiTheme="minorHAnsi"/>
          <w:sz w:val="24"/>
          <w:szCs w:val="24"/>
        </w:rPr>
        <w:t xml:space="preserve"> Cheng</w:t>
      </w:r>
      <w:r w:rsidR="009B5935">
        <w:rPr>
          <w:rFonts w:asciiTheme="minorHAnsi" w:hAnsiTheme="minorHAnsi"/>
          <w:sz w:val="24"/>
          <w:szCs w:val="24"/>
        </w:rPr>
        <w:t>, G. Ambrosio</w:t>
      </w:r>
      <w:r w:rsidR="00CE5E19">
        <w:rPr>
          <w:rFonts w:asciiTheme="minorHAnsi" w:hAnsiTheme="minorHAnsi"/>
          <w:sz w:val="24"/>
          <w:szCs w:val="24"/>
        </w:rPr>
        <w:t xml:space="preserve">, </w:t>
      </w:r>
      <w:r w:rsidR="009B5935">
        <w:rPr>
          <w:rFonts w:asciiTheme="minorHAnsi" w:hAnsiTheme="minorHAnsi"/>
          <w:sz w:val="24"/>
          <w:szCs w:val="24"/>
        </w:rPr>
        <w:t>P. Ferracin</w:t>
      </w:r>
      <w:r>
        <w:rPr>
          <w:rFonts w:asciiTheme="minorHAnsi" w:hAnsiTheme="minorHAnsi"/>
          <w:sz w:val="24"/>
          <w:szCs w:val="24"/>
        </w:rPr>
        <w:t xml:space="preserve">, </w:t>
      </w:r>
      <w:r w:rsidR="009B5935">
        <w:rPr>
          <w:rFonts w:asciiTheme="minorHAnsi" w:hAnsiTheme="minorHAnsi"/>
          <w:sz w:val="24"/>
          <w:szCs w:val="24"/>
        </w:rPr>
        <w:t xml:space="preserve">L. Garcia Fajardo, </w:t>
      </w:r>
      <w:r>
        <w:rPr>
          <w:rFonts w:asciiTheme="minorHAnsi" w:hAnsiTheme="minorHAnsi"/>
          <w:sz w:val="24"/>
          <w:szCs w:val="24"/>
        </w:rPr>
        <w:t xml:space="preserve">S.O. </w:t>
      </w:r>
      <w:proofErr w:type="spellStart"/>
      <w:r>
        <w:rPr>
          <w:rFonts w:asciiTheme="minorHAnsi" w:hAnsiTheme="minorHAnsi"/>
          <w:sz w:val="24"/>
          <w:szCs w:val="24"/>
        </w:rPr>
        <w:t>Prestemon</w:t>
      </w:r>
      <w:proofErr w:type="spellEnd"/>
      <w:r w:rsidRPr="00E1073C">
        <w:rPr>
          <w:rFonts w:asciiTheme="minorHAnsi" w:hAnsiTheme="minorHAnsi"/>
          <w:sz w:val="24"/>
          <w:szCs w:val="24"/>
          <w:lang w:val="it-IT"/>
        </w:rPr>
        <w:t xml:space="preserve">, </w:t>
      </w:r>
      <w:r w:rsidR="00064821">
        <w:rPr>
          <w:rFonts w:asciiTheme="minorHAnsi" w:hAnsiTheme="minorHAnsi"/>
          <w:sz w:val="24"/>
          <w:szCs w:val="24"/>
          <w:lang w:val="it-IT"/>
        </w:rPr>
        <w:t xml:space="preserve">K.L. </w:t>
      </w:r>
      <w:proofErr w:type="spellStart"/>
      <w:r w:rsidR="00064821">
        <w:rPr>
          <w:rFonts w:asciiTheme="minorHAnsi" w:hAnsiTheme="minorHAnsi"/>
          <w:sz w:val="24"/>
          <w:szCs w:val="24"/>
          <w:lang w:val="it-IT"/>
        </w:rPr>
        <w:t>Ray</w:t>
      </w:r>
      <w:proofErr w:type="spellEnd"/>
      <w:r w:rsidR="00064821">
        <w:rPr>
          <w:rFonts w:asciiTheme="minorHAnsi" w:hAnsiTheme="minorHAnsi"/>
          <w:sz w:val="24"/>
          <w:szCs w:val="24"/>
          <w:lang w:val="it-IT"/>
        </w:rPr>
        <w:t xml:space="preserve">, </w:t>
      </w:r>
      <w:r w:rsidR="0068578F">
        <w:rPr>
          <w:rFonts w:asciiTheme="minorHAnsi" w:hAnsiTheme="minorHAnsi"/>
          <w:sz w:val="24"/>
          <w:szCs w:val="24"/>
          <w:lang w:val="it-IT"/>
        </w:rPr>
        <w:t xml:space="preserve">G.L. Sabbi, </w:t>
      </w:r>
      <w:r w:rsidR="00064821">
        <w:rPr>
          <w:rFonts w:asciiTheme="minorHAnsi" w:hAnsiTheme="minorHAnsi"/>
          <w:sz w:val="24"/>
          <w:szCs w:val="24"/>
          <w:lang w:val="it-IT"/>
        </w:rPr>
        <w:t xml:space="preserve">M. Solis, </w:t>
      </w:r>
      <w:r w:rsidR="00891AC9">
        <w:rPr>
          <w:rFonts w:asciiTheme="minorHAnsi" w:hAnsiTheme="minorHAnsi"/>
          <w:sz w:val="24"/>
          <w:szCs w:val="24"/>
          <w:lang w:val="it-IT"/>
        </w:rPr>
        <w:t xml:space="preserve">G. Vallone, </w:t>
      </w:r>
      <w:r w:rsidRPr="00E1073C">
        <w:rPr>
          <w:rFonts w:asciiTheme="minorHAnsi" w:hAnsiTheme="minorHAnsi"/>
          <w:sz w:val="24"/>
          <w:szCs w:val="24"/>
        </w:rPr>
        <w:t>X.R. Wang</w:t>
      </w:r>
    </w:p>
    <w:p w14:paraId="1EABC232" w14:textId="77777777" w:rsidR="00C80516" w:rsidRPr="00E1073C" w:rsidRDefault="00C80516" w:rsidP="00C80516">
      <w:pPr>
        <w:pStyle w:val="Authors"/>
        <w:framePr w:w="0" w:hSpace="0" w:vSpace="0" w:wrap="auto" w:vAnchor="margin" w:hAnchor="text" w:xAlign="left" w:yAlign="inline"/>
        <w:spacing w:after="0"/>
        <w:jc w:val="both"/>
        <w:rPr>
          <w:rStyle w:val="MemberType"/>
        </w:rPr>
      </w:pPr>
    </w:p>
    <w:p w14:paraId="3E45A7BE" w14:textId="77777777" w:rsidR="00C80516" w:rsidRPr="00E1073C" w:rsidRDefault="00C80516" w:rsidP="00C80516">
      <w:pPr>
        <w:spacing w:after="0" w:line="240" w:lineRule="auto"/>
        <w:rPr>
          <w:rFonts w:eastAsia="Times New Roman" w:cs="Segoe UI"/>
          <w:sz w:val="20"/>
          <w:szCs w:val="20"/>
        </w:rPr>
      </w:pPr>
    </w:p>
    <w:p w14:paraId="11410AFA" w14:textId="77777777" w:rsidR="00C80516" w:rsidRPr="00B411FC" w:rsidRDefault="00C80516" w:rsidP="00C80516">
      <w:pPr>
        <w:spacing w:after="0" w:line="240" w:lineRule="auto"/>
        <w:jc w:val="both"/>
        <w:rPr>
          <w:rFonts w:eastAsia="Times New Roman" w:cs="Times New Roman"/>
          <w:vanish/>
          <w:sz w:val="24"/>
          <w:szCs w:val="24"/>
        </w:rPr>
      </w:pPr>
      <w:r w:rsidRPr="00B411FC">
        <w:rPr>
          <w:rFonts w:eastAsia="Times New Roman" w:cs="Times New Roman"/>
          <w:noProof/>
          <w:vanish/>
          <w:sz w:val="24"/>
          <w:szCs w:val="24"/>
        </w:rPr>
        <w:drawing>
          <wp:inline distT="0" distB="0" distL="0" distR="0" wp14:anchorId="469AB4C6" wp14:editId="3815E31A">
            <wp:extent cx="9525" cy="9525"/>
            <wp:effectExtent l="0" t="0" r="0" b="0"/>
            <wp:docPr id="1" name="divDividerLeft" descr="https://email.fnal.gov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email.fnal.gov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1FC">
        <w:rPr>
          <w:rFonts w:eastAsia="Times New Roman" w:cs="Times New Roman"/>
          <w:noProof/>
          <w:vanish/>
          <w:sz w:val="24"/>
          <w:szCs w:val="24"/>
        </w:rPr>
        <w:drawing>
          <wp:inline distT="0" distB="0" distL="0" distR="0" wp14:anchorId="3AB627C0" wp14:editId="791FB947">
            <wp:extent cx="9525" cy="9525"/>
            <wp:effectExtent l="0" t="0" r="0" b="0"/>
            <wp:docPr id="4" name="divDividerRight" descr="https://email.fnal.gov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email.fnal.gov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0CD26" w14:textId="617CB5E9" w:rsidR="00CD31C3" w:rsidRDefault="00C80516" w:rsidP="00C80516">
      <w:pPr>
        <w:spacing w:after="150" w:line="240" w:lineRule="auto"/>
        <w:jc w:val="both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t>T</w:t>
      </w:r>
      <w:r w:rsidRPr="00B411FC">
        <w:rPr>
          <w:rFonts w:eastAsia="Times New Roman" w:cs="Times New Roman"/>
          <w:iCs/>
          <w:sz w:val="24"/>
          <w:szCs w:val="24"/>
        </w:rPr>
        <w:t xml:space="preserve">he </w:t>
      </w:r>
      <w:r w:rsidR="00CE5E19">
        <w:rPr>
          <w:rFonts w:eastAsia="Times New Roman" w:cs="Times New Roman"/>
          <w:iCs/>
          <w:sz w:val="24"/>
          <w:szCs w:val="24"/>
        </w:rPr>
        <w:t xml:space="preserve">U.S. </w:t>
      </w:r>
      <w:r w:rsidR="00891AC9">
        <w:rPr>
          <w:rFonts w:eastAsia="Times New Roman" w:cs="Times New Roman"/>
          <w:iCs/>
          <w:sz w:val="24"/>
          <w:szCs w:val="24"/>
        </w:rPr>
        <w:t>H</w:t>
      </w:r>
      <w:r w:rsidR="00287729">
        <w:rPr>
          <w:rFonts w:eastAsia="Times New Roman" w:cs="Times New Roman"/>
          <w:iCs/>
          <w:sz w:val="24"/>
          <w:szCs w:val="24"/>
        </w:rPr>
        <w:t>igh-</w:t>
      </w:r>
      <w:r w:rsidR="00891AC9">
        <w:rPr>
          <w:rFonts w:eastAsia="Times New Roman" w:cs="Times New Roman"/>
          <w:iCs/>
          <w:sz w:val="24"/>
          <w:szCs w:val="24"/>
        </w:rPr>
        <w:t xml:space="preserve">Luminosity </w:t>
      </w:r>
      <w:bookmarkStart w:id="0" w:name="_GoBack"/>
      <w:r w:rsidR="00891AC9">
        <w:rPr>
          <w:rFonts w:eastAsia="Times New Roman" w:cs="Times New Roman"/>
          <w:iCs/>
          <w:sz w:val="24"/>
          <w:szCs w:val="24"/>
        </w:rPr>
        <w:t xml:space="preserve">LHC Accelerator Upgrade Project (HL-LHC AUP) </w:t>
      </w:r>
      <w:r w:rsidR="00BD7CAE">
        <w:rPr>
          <w:rFonts w:eastAsia="Times New Roman" w:cs="Times New Roman"/>
          <w:iCs/>
          <w:sz w:val="24"/>
          <w:szCs w:val="24"/>
        </w:rPr>
        <w:t>has, in the recent years, developed assembly specifications</w:t>
      </w:r>
      <w:r w:rsidRPr="00B411FC">
        <w:rPr>
          <w:rFonts w:eastAsia="Times New Roman" w:cs="Times New Roman"/>
          <w:iCs/>
          <w:sz w:val="24"/>
          <w:szCs w:val="24"/>
        </w:rPr>
        <w:t xml:space="preserve"> </w:t>
      </w:r>
      <w:r w:rsidR="00BD7CAE">
        <w:rPr>
          <w:rFonts w:eastAsia="Times New Roman" w:cs="Times New Roman"/>
          <w:iCs/>
          <w:sz w:val="24"/>
          <w:szCs w:val="24"/>
        </w:rPr>
        <w:t>for</w:t>
      </w:r>
      <w:r w:rsidR="00467832">
        <w:rPr>
          <w:rFonts w:eastAsia="Times New Roman" w:cs="Times New Roman"/>
          <w:iCs/>
          <w:sz w:val="24"/>
          <w:szCs w:val="24"/>
        </w:rPr>
        <w:t xml:space="preserve"> the</w:t>
      </w:r>
      <w:r w:rsidR="00891AC9">
        <w:rPr>
          <w:rFonts w:eastAsia="Times New Roman" w:cs="Times New Roman"/>
          <w:iCs/>
          <w:sz w:val="24"/>
          <w:szCs w:val="24"/>
        </w:rPr>
        <w:t xml:space="preserve"> 4.5 m long MQXFA magnet</w:t>
      </w:r>
      <w:r w:rsidR="00BD7CAE">
        <w:rPr>
          <w:rFonts w:eastAsia="Times New Roman" w:cs="Times New Roman"/>
          <w:iCs/>
          <w:sz w:val="24"/>
          <w:szCs w:val="24"/>
        </w:rPr>
        <w:t>s</w:t>
      </w:r>
      <w:r w:rsidR="00891AC9">
        <w:rPr>
          <w:rFonts w:eastAsia="Times New Roman" w:cs="Times New Roman"/>
          <w:iCs/>
          <w:sz w:val="24"/>
          <w:szCs w:val="24"/>
        </w:rPr>
        <w:t>,</w:t>
      </w:r>
      <w:r w:rsidR="00B864F4">
        <w:rPr>
          <w:rFonts w:eastAsia="Times New Roman" w:cs="Times New Roman"/>
          <w:iCs/>
          <w:sz w:val="24"/>
          <w:szCs w:val="24"/>
        </w:rPr>
        <w:t xml:space="preserve"> </w:t>
      </w:r>
      <w:r w:rsidR="00BD7CAE">
        <w:rPr>
          <w:rFonts w:eastAsia="Times New Roman" w:cs="Times New Roman"/>
          <w:iCs/>
          <w:sz w:val="24"/>
          <w:szCs w:val="24"/>
        </w:rPr>
        <w:t>which are</w:t>
      </w:r>
      <w:r w:rsidRPr="00B411FC">
        <w:rPr>
          <w:rFonts w:eastAsia="Times New Roman" w:cs="Times New Roman"/>
          <w:iCs/>
          <w:sz w:val="24"/>
          <w:szCs w:val="24"/>
        </w:rPr>
        <w:t xml:space="preserve"> 150 mm aperture high-field Nb</w:t>
      </w:r>
      <w:r w:rsidRPr="00B411FC">
        <w:rPr>
          <w:rFonts w:eastAsia="Times New Roman" w:cs="Times New Roman"/>
          <w:iCs/>
          <w:sz w:val="24"/>
          <w:szCs w:val="24"/>
          <w:vertAlign w:val="subscript"/>
        </w:rPr>
        <w:t>3</w:t>
      </w:r>
      <w:r w:rsidRPr="00B411FC">
        <w:rPr>
          <w:rFonts w:eastAsia="Times New Roman" w:cs="Times New Roman"/>
          <w:iCs/>
          <w:sz w:val="24"/>
          <w:szCs w:val="24"/>
        </w:rPr>
        <w:t xml:space="preserve">Sn </w:t>
      </w:r>
      <w:r w:rsidR="008164D9" w:rsidRPr="005B17F1">
        <w:rPr>
          <w:rFonts w:eastAsia="Times New Roman" w:cs="Times New Roman"/>
          <w:iCs/>
          <w:sz w:val="24"/>
          <w:szCs w:val="24"/>
        </w:rPr>
        <w:t>low-β</w:t>
      </w:r>
      <w:r w:rsidR="000F1D04">
        <w:rPr>
          <w:rFonts w:eastAsia="Times New Roman" w:cs="Times New Roman"/>
          <w:iCs/>
          <w:sz w:val="24"/>
          <w:szCs w:val="24"/>
        </w:rPr>
        <w:t xml:space="preserve"> </w:t>
      </w:r>
      <w:r w:rsidRPr="00B411FC">
        <w:rPr>
          <w:rFonts w:eastAsia="Times New Roman" w:cs="Times New Roman"/>
          <w:iCs/>
          <w:sz w:val="24"/>
          <w:szCs w:val="24"/>
        </w:rPr>
        <w:t>quadrupole magnet</w:t>
      </w:r>
      <w:r w:rsidR="00BD7CAE">
        <w:rPr>
          <w:rFonts w:eastAsia="Times New Roman" w:cs="Times New Roman"/>
          <w:iCs/>
          <w:sz w:val="24"/>
          <w:szCs w:val="24"/>
        </w:rPr>
        <w:t>s that are being built for</w:t>
      </w:r>
      <w:r w:rsidR="00467832">
        <w:rPr>
          <w:rFonts w:eastAsia="Times New Roman" w:cs="Times New Roman"/>
          <w:iCs/>
          <w:sz w:val="24"/>
          <w:szCs w:val="24"/>
        </w:rPr>
        <w:t xml:space="preserve"> the CERN </w:t>
      </w:r>
      <w:r w:rsidR="009414AD">
        <w:rPr>
          <w:rFonts w:eastAsia="Times New Roman" w:cs="Times New Roman"/>
          <w:iCs/>
          <w:sz w:val="24"/>
          <w:szCs w:val="24"/>
        </w:rPr>
        <w:t>Hi-Luminosity LHC (</w:t>
      </w:r>
      <w:r w:rsidR="00467832">
        <w:rPr>
          <w:rFonts w:eastAsia="Times New Roman" w:cs="Times New Roman"/>
          <w:iCs/>
          <w:sz w:val="24"/>
          <w:szCs w:val="24"/>
        </w:rPr>
        <w:t>HL-LHC</w:t>
      </w:r>
      <w:r w:rsidR="009414AD">
        <w:rPr>
          <w:rFonts w:eastAsia="Times New Roman" w:cs="Times New Roman"/>
          <w:iCs/>
          <w:sz w:val="24"/>
          <w:szCs w:val="24"/>
        </w:rPr>
        <w:t>)</w:t>
      </w:r>
      <w:r w:rsidR="00467832">
        <w:rPr>
          <w:rFonts w:eastAsia="Times New Roman" w:cs="Times New Roman"/>
          <w:iCs/>
          <w:sz w:val="24"/>
          <w:szCs w:val="24"/>
        </w:rPr>
        <w:t xml:space="preserve"> upgrade</w:t>
      </w:r>
      <w:r w:rsidR="006F6F4F">
        <w:rPr>
          <w:rFonts w:eastAsia="Times New Roman" w:cs="Times New Roman"/>
          <w:iCs/>
          <w:sz w:val="24"/>
          <w:szCs w:val="24"/>
        </w:rPr>
        <w:t xml:space="preserve">. </w:t>
      </w:r>
      <w:r w:rsidR="00BD7CAE">
        <w:rPr>
          <w:rFonts w:eastAsia="Times New Roman" w:cs="Times New Roman"/>
          <w:iCs/>
          <w:sz w:val="24"/>
          <w:szCs w:val="24"/>
        </w:rPr>
        <w:t xml:space="preserve">While the specifications </w:t>
      </w:r>
      <w:bookmarkEnd w:id="0"/>
      <w:r w:rsidR="00BD7CAE">
        <w:rPr>
          <w:rFonts w:eastAsia="Times New Roman" w:cs="Times New Roman"/>
          <w:iCs/>
          <w:sz w:val="24"/>
          <w:szCs w:val="24"/>
        </w:rPr>
        <w:t xml:space="preserve">were based on lessons learned from the LHC Accelerator Research Program (LARP) </w:t>
      </w:r>
      <w:r w:rsidR="00587080">
        <w:rPr>
          <w:rFonts w:eastAsia="Times New Roman" w:cs="Times New Roman"/>
          <w:iCs/>
          <w:sz w:val="24"/>
          <w:szCs w:val="24"/>
        </w:rPr>
        <w:t xml:space="preserve">effort </w:t>
      </w:r>
      <w:r w:rsidR="00BD7CAE">
        <w:rPr>
          <w:rFonts w:eastAsia="Times New Roman" w:cs="Times New Roman"/>
          <w:iCs/>
          <w:sz w:val="24"/>
          <w:szCs w:val="24"/>
        </w:rPr>
        <w:t xml:space="preserve">and </w:t>
      </w:r>
      <w:r w:rsidR="00327D52">
        <w:rPr>
          <w:rFonts w:eastAsia="Times New Roman" w:cs="Times New Roman"/>
          <w:iCs/>
          <w:sz w:val="24"/>
          <w:szCs w:val="24"/>
        </w:rPr>
        <w:t xml:space="preserve">the MQXFS and </w:t>
      </w:r>
      <w:r w:rsidR="00BD7CAE">
        <w:rPr>
          <w:rFonts w:eastAsia="Times New Roman" w:cs="Times New Roman"/>
          <w:iCs/>
          <w:sz w:val="24"/>
          <w:szCs w:val="24"/>
        </w:rPr>
        <w:t xml:space="preserve">MQXFA prototype magnets, </w:t>
      </w:r>
      <w:r w:rsidR="00CD31C3">
        <w:rPr>
          <w:rFonts w:eastAsia="Times New Roman" w:cs="Times New Roman"/>
          <w:iCs/>
          <w:sz w:val="24"/>
          <w:szCs w:val="24"/>
        </w:rPr>
        <w:t xml:space="preserve">the experience gained from having </w:t>
      </w:r>
      <w:r w:rsidR="00200C6D">
        <w:rPr>
          <w:rFonts w:eastAsia="Times New Roman" w:cs="Times New Roman"/>
          <w:iCs/>
          <w:sz w:val="24"/>
          <w:szCs w:val="24"/>
        </w:rPr>
        <w:t>both</w:t>
      </w:r>
      <w:r w:rsidR="00CD31C3">
        <w:rPr>
          <w:rFonts w:eastAsia="Times New Roman" w:cs="Times New Roman"/>
          <w:iCs/>
          <w:sz w:val="24"/>
          <w:szCs w:val="24"/>
        </w:rPr>
        <w:t xml:space="preserve"> MQXFA07 and MQXFA08 magnets not meet</w:t>
      </w:r>
      <w:r w:rsidR="008322A6">
        <w:rPr>
          <w:rFonts w:eastAsia="Times New Roman" w:cs="Times New Roman"/>
          <w:iCs/>
          <w:sz w:val="24"/>
          <w:szCs w:val="24"/>
        </w:rPr>
        <w:t>ing</w:t>
      </w:r>
      <w:r w:rsidR="00CD31C3">
        <w:rPr>
          <w:rFonts w:eastAsia="Times New Roman" w:cs="Times New Roman"/>
          <w:iCs/>
          <w:sz w:val="24"/>
          <w:szCs w:val="24"/>
        </w:rPr>
        <w:t xml:space="preserve"> performance specifications during cold testing actually </w:t>
      </w:r>
      <w:r w:rsidR="004D56E4">
        <w:rPr>
          <w:rFonts w:eastAsia="Times New Roman" w:cs="Times New Roman"/>
          <w:iCs/>
          <w:sz w:val="24"/>
          <w:szCs w:val="24"/>
        </w:rPr>
        <w:t>catalyzed a better understanding of the impact of the target assembly specifications and a subsequent refinement of t</w:t>
      </w:r>
      <w:r w:rsidR="008322A6">
        <w:rPr>
          <w:rFonts w:eastAsia="Times New Roman" w:cs="Times New Roman"/>
          <w:iCs/>
          <w:sz w:val="24"/>
          <w:szCs w:val="24"/>
        </w:rPr>
        <w:t>he same</w:t>
      </w:r>
      <w:r w:rsidR="004D56E4">
        <w:rPr>
          <w:rFonts w:eastAsia="Times New Roman" w:cs="Times New Roman"/>
          <w:iCs/>
          <w:sz w:val="24"/>
          <w:szCs w:val="24"/>
        </w:rPr>
        <w:t xml:space="preserve">. This paper summarizes the body of assembly data from the </w:t>
      </w:r>
      <w:r w:rsidR="00FA68DA">
        <w:rPr>
          <w:rFonts w:eastAsia="Times New Roman" w:cs="Times New Roman"/>
          <w:iCs/>
          <w:sz w:val="24"/>
          <w:szCs w:val="24"/>
        </w:rPr>
        <w:t xml:space="preserve">Pre-Series (MQXFA03-MQXFA07) and Series </w:t>
      </w:r>
      <w:r w:rsidR="004D56E4">
        <w:rPr>
          <w:rFonts w:eastAsia="Times New Roman" w:cs="Times New Roman"/>
          <w:iCs/>
          <w:sz w:val="24"/>
          <w:szCs w:val="24"/>
        </w:rPr>
        <w:t xml:space="preserve">magnets </w:t>
      </w:r>
      <w:r w:rsidR="00FA68DA">
        <w:rPr>
          <w:rFonts w:eastAsia="Times New Roman" w:cs="Times New Roman"/>
          <w:iCs/>
          <w:sz w:val="24"/>
          <w:szCs w:val="24"/>
        </w:rPr>
        <w:t xml:space="preserve">(MQXFA08-MQXFA11) </w:t>
      </w:r>
      <w:r w:rsidR="004D56E4">
        <w:rPr>
          <w:rFonts w:eastAsia="Times New Roman" w:cs="Times New Roman"/>
          <w:iCs/>
          <w:sz w:val="24"/>
          <w:szCs w:val="24"/>
        </w:rPr>
        <w:t>that have been built to date</w:t>
      </w:r>
      <w:r w:rsidR="00FA68DA">
        <w:rPr>
          <w:rFonts w:eastAsia="Times New Roman" w:cs="Times New Roman"/>
          <w:iCs/>
          <w:sz w:val="24"/>
          <w:szCs w:val="24"/>
        </w:rPr>
        <w:t>,</w:t>
      </w:r>
      <w:r w:rsidR="00B71655">
        <w:rPr>
          <w:rFonts w:eastAsia="Times New Roman" w:cs="Times New Roman"/>
          <w:iCs/>
          <w:sz w:val="24"/>
          <w:szCs w:val="24"/>
        </w:rPr>
        <w:t xml:space="preserve"> and discusses the </w:t>
      </w:r>
      <w:r w:rsidR="0079600B">
        <w:rPr>
          <w:rFonts w:eastAsia="Times New Roman" w:cs="Times New Roman"/>
          <w:iCs/>
          <w:sz w:val="24"/>
          <w:szCs w:val="24"/>
        </w:rPr>
        <w:t xml:space="preserve">processes </w:t>
      </w:r>
      <w:r w:rsidR="00FA68DA">
        <w:rPr>
          <w:rFonts w:eastAsia="Times New Roman" w:cs="Times New Roman"/>
          <w:iCs/>
          <w:sz w:val="24"/>
          <w:szCs w:val="24"/>
        </w:rPr>
        <w:t>employed to successfully face</w:t>
      </w:r>
      <w:r w:rsidR="0079600B">
        <w:rPr>
          <w:rFonts w:eastAsia="Times New Roman" w:cs="Times New Roman"/>
          <w:iCs/>
          <w:sz w:val="24"/>
          <w:szCs w:val="24"/>
        </w:rPr>
        <w:t xml:space="preserve"> </w:t>
      </w:r>
      <w:r w:rsidR="00FA68DA">
        <w:rPr>
          <w:rFonts w:eastAsia="Times New Roman" w:cs="Times New Roman"/>
          <w:iCs/>
          <w:sz w:val="24"/>
          <w:szCs w:val="24"/>
        </w:rPr>
        <w:t xml:space="preserve">the challenge of </w:t>
      </w:r>
      <w:r w:rsidR="00A62A99">
        <w:rPr>
          <w:rFonts w:eastAsia="Times New Roman" w:cs="Times New Roman"/>
          <w:iCs/>
          <w:sz w:val="24"/>
          <w:szCs w:val="24"/>
        </w:rPr>
        <w:t>ensur</w:t>
      </w:r>
      <w:r w:rsidR="00FA68DA">
        <w:rPr>
          <w:rFonts w:eastAsia="Times New Roman" w:cs="Times New Roman"/>
          <w:iCs/>
          <w:sz w:val="24"/>
          <w:szCs w:val="24"/>
        </w:rPr>
        <w:t>ing</w:t>
      </w:r>
      <w:r w:rsidR="00A62A99">
        <w:rPr>
          <w:rFonts w:eastAsia="Times New Roman" w:cs="Times New Roman"/>
          <w:iCs/>
          <w:sz w:val="24"/>
          <w:szCs w:val="24"/>
        </w:rPr>
        <w:t xml:space="preserve"> that the assemb</w:t>
      </w:r>
      <w:r w:rsidR="00FA68DA">
        <w:rPr>
          <w:rFonts w:eastAsia="Times New Roman" w:cs="Times New Roman"/>
          <w:iCs/>
          <w:sz w:val="24"/>
          <w:szCs w:val="24"/>
        </w:rPr>
        <w:t>ly specifications are met for the duration of the project.</w:t>
      </w:r>
    </w:p>
    <w:p w14:paraId="784D6B42" w14:textId="77777777" w:rsidR="00C80516" w:rsidRDefault="00C80516" w:rsidP="00C80516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D18AC66" w14:textId="32340083" w:rsidR="00C80516" w:rsidRDefault="00DC1652">
      <w:pPr>
        <w:rPr>
          <w:sz w:val="24"/>
          <w:szCs w:val="24"/>
        </w:rPr>
      </w:pPr>
      <w:r w:rsidRPr="00DC1652">
        <w:rPr>
          <w:sz w:val="24"/>
          <w:szCs w:val="24"/>
        </w:rPr>
        <w:t>This work was supported in part by the U.S. Department of Energy, Office of Science, Office of High Energy Physics, through the US HL-LHC Accelerator Upgrade Project, and in part by the High Luminosity LHC project at CERN</w:t>
      </w:r>
      <w:r w:rsidR="007251C4" w:rsidRPr="007251C4">
        <w:rPr>
          <w:sz w:val="24"/>
          <w:szCs w:val="24"/>
        </w:rPr>
        <w:t>.</w:t>
      </w:r>
    </w:p>
    <w:p w14:paraId="68F5D785" w14:textId="740ABD4C" w:rsidR="00F90EEF" w:rsidRDefault="00F90EEF"/>
    <w:sectPr w:rsidR="00F90EEF" w:rsidSect="00C8051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16"/>
    <w:rsid w:val="00036C84"/>
    <w:rsid w:val="00043F61"/>
    <w:rsid w:val="00064821"/>
    <w:rsid w:val="000758E2"/>
    <w:rsid w:val="000A065A"/>
    <w:rsid w:val="000A34CA"/>
    <w:rsid w:val="000F1D04"/>
    <w:rsid w:val="001116B2"/>
    <w:rsid w:val="00130463"/>
    <w:rsid w:val="00157FC5"/>
    <w:rsid w:val="00173274"/>
    <w:rsid w:val="001C6EE2"/>
    <w:rsid w:val="00200C6D"/>
    <w:rsid w:val="0022594C"/>
    <w:rsid w:val="00246B65"/>
    <w:rsid w:val="00251BB7"/>
    <w:rsid w:val="00287729"/>
    <w:rsid w:val="002A0632"/>
    <w:rsid w:val="002E5B6A"/>
    <w:rsid w:val="00322682"/>
    <w:rsid w:val="00327D52"/>
    <w:rsid w:val="00334889"/>
    <w:rsid w:val="00340436"/>
    <w:rsid w:val="00357C30"/>
    <w:rsid w:val="0038351E"/>
    <w:rsid w:val="00393B77"/>
    <w:rsid w:val="003B50A0"/>
    <w:rsid w:val="003C0198"/>
    <w:rsid w:val="004175B8"/>
    <w:rsid w:val="004534EC"/>
    <w:rsid w:val="00467832"/>
    <w:rsid w:val="004D56E4"/>
    <w:rsid w:val="004D7472"/>
    <w:rsid w:val="004F3535"/>
    <w:rsid w:val="00516C59"/>
    <w:rsid w:val="00541C4B"/>
    <w:rsid w:val="00555C55"/>
    <w:rsid w:val="00587080"/>
    <w:rsid w:val="005B17F1"/>
    <w:rsid w:val="005B7525"/>
    <w:rsid w:val="005E7B8F"/>
    <w:rsid w:val="006544F3"/>
    <w:rsid w:val="0068578F"/>
    <w:rsid w:val="006B0812"/>
    <w:rsid w:val="006F6F4F"/>
    <w:rsid w:val="007054DA"/>
    <w:rsid w:val="007055FF"/>
    <w:rsid w:val="007251C4"/>
    <w:rsid w:val="00735FEF"/>
    <w:rsid w:val="00777402"/>
    <w:rsid w:val="0079600B"/>
    <w:rsid w:val="007C60FE"/>
    <w:rsid w:val="008164D9"/>
    <w:rsid w:val="008322A6"/>
    <w:rsid w:val="00864D0F"/>
    <w:rsid w:val="00891706"/>
    <w:rsid w:val="00891AC9"/>
    <w:rsid w:val="008B614E"/>
    <w:rsid w:val="008D54C3"/>
    <w:rsid w:val="0090400C"/>
    <w:rsid w:val="00931AD3"/>
    <w:rsid w:val="009414AD"/>
    <w:rsid w:val="00960C5C"/>
    <w:rsid w:val="009A33DA"/>
    <w:rsid w:val="009B5935"/>
    <w:rsid w:val="009F19B2"/>
    <w:rsid w:val="00A076BC"/>
    <w:rsid w:val="00A34926"/>
    <w:rsid w:val="00A62A99"/>
    <w:rsid w:val="00A936C8"/>
    <w:rsid w:val="00AA5D17"/>
    <w:rsid w:val="00B22502"/>
    <w:rsid w:val="00B71655"/>
    <w:rsid w:val="00B864F4"/>
    <w:rsid w:val="00B9151B"/>
    <w:rsid w:val="00BA38DE"/>
    <w:rsid w:val="00BC2E7F"/>
    <w:rsid w:val="00BD1B6C"/>
    <w:rsid w:val="00BD2971"/>
    <w:rsid w:val="00BD7CAE"/>
    <w:rsid w:val="00C03EDF"/>
    <w:rsid w:val="00C500A2"/>
    <w:rsid w:val="00C80516"/>
    <w:rsid w:val="00CD31C3"/>
    <w:rsid w:val="00CE5E19"/>
    <w:rsid w:val="00D04436"/>
    <w:rsid w:val="00D5706C"/>
    <w:rsid w:val="00D931A7"/>
    <w:rsid w:val="00DA1199"/>
    <w:rsid w:val="00DB7542"/>
    <w:rsid w:val="00DC1652"/>
    <w:rsid w:val="00DC5428"/>
    <w:rsid w:val="00DF4383"/>
    <w:rsid w:val="00E31E62"/>
    <w:rsid w:val="00E710A5"/>
    <w:rsid w:val="00E9711E"/>
    <w:rsid w:val="00EA1095"/>
    <w:rsid w:val="00EA1C52"/>
    <w:rsid w:val="00F04FB4"/>
    <w:rsid w:val="00F126EC"/>
    <w:rsid w:val="00F42A98"/>
    <w:rsid w:val="00F90EEF"/>
    <w:rsid w:val="00FA68DA"/>
    <w:rsid w:val="00FE30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07B8BC5"/>
  <w15:docId w15:val="{4AD29519-DED4-5044-ACFA-B27F90D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516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uthors">
    <w:name w:val="Authors"/>
    <w:basedOn w:val="Normal"/>
    <w:next w:val="Normal"/>
    <w:rsid w:val="00C80516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MemberType">
    <w:name w:val="MemberType"/>
    <w:basedOn w:val="DefaultParagraphFont"/>
    <w:rsid w:val="00C80516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MQXF</vt:lpstr>
    </vt:vector>
  </TitlesOfParts>
  <Manager/>
  <Company>LBNL</Company>
  <LinksUpToDate>false</LinksUpToDate>
  <CharactersWithSpaces>1510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MQXF</dc:title>
  <dc:subject/>
  <dc:creator>Dan Cheng</dc:creator>
  <cp:keywords/>
  <dc:description/>
  <cp:lastModifiedBy>Dan Cheng</cp:lastModifiedBy>
  <cp:revision>4</cp:revision>
  <dcterms:created xsi:type="dcterms:W3CDTF">2022-03-23T05:41:00Z</dcterms:created>
  <dcterms:modified xsi:type="dcterms:W3CDTF">2022-03-23T18:18:00Z</dcterms:modified>
  <cp:category/>
</cp:coreProperties>
</file>