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99AE" w14:textId="77777777" w:rsidR="00C55814" w:rsidRPr="00A42842" w:rsidRDefault="00C55814" w:rsidP="00C67AFD">
      <w:pPr>
        <w:pStyle w:val="NotesBody11pt"/>
        <w:spacing w:line="240" w:lineRule="auto"/>
        <w:rPr>
          <w:color w:val="004C97"/>
        </w:rPr>
      </w:pPr>
    </w:p>
    <w:p w14:paraId="1E680F34" w14:textId="77777777" w:rsidR="00B4298F" w:rsidRPr="00A42842" w:rsidRDefault="00B4298F" w:rsidP="00C67AFD">
      <w:pPr>
        <w:pStyle w:val="NotesBody11pt"/>
        <w:spacing w:line="240" w:lineRule="auto"/>
        <w:rPr>
          <w:color w:val="004C97"/>
        </w:rPr>
      </w:pPr>
    </w:p>
    <w:p w14:paraId="191C0BE5" w14:textId="77777777" w:rsidR="00B4298F" w:rsidRPr="00A42842" w:rsidRDefault="00B4298F" w:rsidP="00C67AFD">
      <w:pPr>
        <w:pStyle w:val="NotesBody11pt"/>
        <w:spacing w:line="240" w:lineRule="auto"/>
        <w:rPr>
          <w:color w:val="004C97"/>
        </w:rPr>
      </w:pPr>
    </w:p>
    <w:p w14:paraId="64010709" w14:textId="77777777" w:rsidR="00B4298F" w:rsidRPr="00A42842" w:rsidRDefault="00B4298F" w:rsidP="00C67AFD">
      <w:pPr>
        <w:pStyle w:val="NotesBody11pt"/>
        <w:spacing w:line="240" w:lineRule="auto"/>
        <w:rPr>
          <w:color w:val="004C97"/>
        </w:rPr>
      </w:pPr>
    </w:p>
    <w:p w14:paraId="1677E2FA" w14:textId="77777777" w:rsidR="00067F4F" w:rsidRPr="00A42842" w:rsidRDefault="00067F4F" w:rsidP="00C67AFD">
      <w:pPr>
        <w:pStyle w:val="NotesBody11pt"/>
        <w:spacing w:line="240" w:lineRule="auto"/>
        <w:rPr>
          <w:color w:val="004C97"/>
        </w:rPr>
      </w:pPr>
    </w:p>
    <w:p w14:paraId="3D0525F1" w14:textId="61D3B1A7" w:rsidR="00246393" w:rsidRDefault="004908A3" w:rsidP="00C67AFD">
      <w:pPr>
        <w:pStyle w:val="Title24pt"/>
        <w:spacing w:line="240" w:lineRule="auto"/>
        <w:jc w:val="both"/>
        <w:rPr>
          <w:b w:val="0"/>
        </w:rPr>
      </w:pPr>
      <w:r>
        <w:rPr>
          <w:b w:val="0"/>
        </w:rPr>
        <w:fldChar w:fldCharType="begin"/>
      </w:r>
      <w:r>
        <w:rPr>
          <w:b w:val="0"/>
        </w:rPr>
        <w:instrText xml:space="preserve"> DOCPROPERTY  Project  \* MERGEFORMAT </w:instrText>
      </w:r>
      <w:r>
        <w:rPr>
          <w:b w:val="0"/>
        </w:rPr>
        <w:fldChar w:fldCharType="separate"/>
      </w:r>
      <w:r w:rsidR="00D67BB6">
        <w:rPr>
          <w:b w:val="0"/>
        </w:rPr>
        <w:t>PIP-II</w:t>
      </w:r>
      <w:r>
        <w:rPr>
          <w:b w:val="0"/>
        </w:rPr>
        <w:fldChar w:fldCharType="end"/>
      </w:r>
      <w:r>
        <w:rPr>
          <w:b w:val="0"/>
        </w:rPr>
        <w:t xml:space="preserve"> </w:t>
      </w:r>
      <w:r w:rsidR="00675521">
        <w:rPr>
          <w:b w:val="0"/>
        </w:rPr>
        <w:t>Vacuum</w:t>
      </w:r>
    </w:p>
    <w:p w14:paraId="104B4A38" w14:textId="42CE5A51" w:rsidR="009C1A25" w:rsidRPr="00E60C48" w:rsidRDefault="0063065E" w:rsidP="00C67AFD">
      <w:pPr>
        <w:pStyle w:val="Title24pt"/>
        <w:spacing w:line="240" w:lineRule="auto"/>
        <w:jc w:val="both"/>
        <w:rPr>
          <w:b w:val="0"/>
        </w:rPr>
      </w:pPr>
      <w:r>
        <w:rPr>
          <w:b w:val="0"/>
        </w:rPr>
        <w:fldChar w:fldCharType="begin"/>
      </w:r>
      <w:r>
        <w:rPr>
          <w:b w:val="0"/>
        </w:rPr>
        <w:instrText xml:space="preserve"> TITLE  \* MERGEFORMAT </w:instrText>
      </w:r>
      <w:r>
        <w:rPr>
          <w:b w:val="0"/>
        </w:rPr>
        <w:fldChar w:fldCharType="separate"/>
      </w:r>
      <w:r w:rsidR="00D67BB6">
        <w:rPr>
          <w:b w:val="0"/>
        </w:rPr>
        <w:t>Physics Requirement Document (PRD)</w:t>
      </w:r>
      <w:r>
        <w:rPr>
          <w:b w:val="0"/>
        </w:rPr>
        <w:fldChar w:fldCharType="end"/>
      </w:r>
    </w:p>
    <w:p w14:paraId="336AFF11" w14:textId="77777777" w:rsidR="003002EB" w:rsidRDefault="003002EB" w:rsidP="00C67AFD">
      <w:pPr>
        <w:pStyle w:val="NotesBody11pt"/>
        <w:spacing w:line="240" w:lineRule="auto"/>
        <w:rPr>
          <w:color w:val="004C97"/>
        </w:rPr>
      </w:pPr>
    </w:p>
    <w:p w14:paraId="2AC7F5E9" w14:textId="77777777" w:rsidR="007B2E8F" w:rsidRDefault="007B2E8F" w:rsidP="00C67AFD">
      <w:pPr>
        <w:pStyle w:val="NotesBody11pt"/>
        <w:spacing w:line="240" w:lineRule="auto"/>
        <w:rPr>
          <w:color w:val="004C97"/>
        </w:rPr>
      </w:pPr>
    </w:p>
    <w:p w14:paraId="5431B11A" w14:textId="77777777" w:rsidR="007B2E8F" w:rsidRDefault="007B2E8F" w:rsidP="00C67AFD">
      <w:pPr>
        <w:pStyle w:val="NotesBody11pt"/>
        <w:spacing w:line="240" w:lineRule="auto"/>
        <w:rPr>
          <w:color w:val="004C97"/>
        </w:rPr>
      </w:pPr>
    </w:p>
    <w:p w14:paraId="11641AE6" w14:textId="5218B08C" w:rsidR="003002EB" w:rsidRPr="007B2E8F" w:rsidRDefault="007B2E8F" w:rsidP="00C67AFD">
      <w:pPr>
        <w:pStyle w:val="NotesBody11pt"/>
        <w:spacing w:line="240" w:lineRule="auto"/>
        <w:rPr>
          <w:color w:val="004C97"/>
          <w:sz w:val="24"/>
          <w:szCs w:val="24"/>
        </w:rPr>
      </w:pPr>
      <w:r w:rsidRPr="007B2E8F">
        <w:rPr>
          <w:color w:val="004C97"/>
          <w:sz w:val="24"/>
          <w:szCs w:val="24"/>
        </w:rPr>
        <w:t>Document number:</w:t>
      </w:r>
      <w:r w:rsidR="0063065E">
        <w:rPr>
          <w:color w:val="004C97"/>
          <w:sz w:val="24"/>
          <w:szCs w:val="24"/>
        </w:rPr>
        <w:t xml:space="preserve"> </w:t>
      </w:r>
      <w:r w:rsidR="0063065E">
        <w:rPr>
          <w:color w:val="004C97"/>
          <w:sz w:val="24"/>
          <w:szCs w:val="24"/>
        </w:rPr>
        <w:fldChar w:fldCharType="begin"/>
      </w:r>
      <w:r w:rsidR="0063065E">
        <w:rPr>
          <w:color w:val="004C97"/>
          <w:sz w:val="24"/>
          <w:szCs w:val="24"/>
        </w:rPr>
        <w:instrText xml:space="preserve"> DOCPROPERTY "Document number"  \* MERGEFORMAT </w:instrText>
      </w:r>
      <w:r w:rsidR="0063065E">
        <w:rPr>
          <w:color w:val="004C97"/>
          <w:sz w:val="24"/>
          <w:szCs w:val="24"/>
        </w:rPr>
        <w:fldChar w:fldCharType="separate"/>
      </w:r>
      <w:r w:rsidR="00D67BB6">
        <w:rPr>
          <w:color w:val="004C97"/>
          <w:sz w:val="24"/>
          <w:szCs w:val="24"/>
        </w:rPr>
        <w:t>ED0010228</w:t>
      </w:r>
      <w:r w:rsidR="0063065E">
        <w:rPr>
          <w:color w:val="004C97"/>
          <w:sz w:val="24"/>
          <w:szCs w:val="24"/>
        </w:rPr>
        <w:fldChar w:fldCharType="end"/>
      </w:r>
      <w:r w:rsidR="007F328E">
        <w:rPr>
          <w:color w:val="004C97"/>
          <w:sz w:val="24"/>
          <w:szCs w:val="24"/>
        </w:rPr>
        <w:t xml:space="preserve"> Rev. </w:t>
      </w:r>
      <w:r w:rsidR="00191E27">
        <w:rPr>
          <w:color w:val="004C97"/>
          <w:sz w:val="24"/>
          <w:szCs w:val="24"/>
        </w:rPr>
        <w:t>C</w:t>
      </w:r>
    </w:p>
    <w:p w14:paraId="4868A4F9" w14:textId="77777777" w:rsidR="003002EB" w:rsidRPr="00A42842" w:rsidRDefault="003002EB" w:rsidP="00C67AFD">
      <w:pPr>
        <w:pStyle w:val="NotesBody11pt"/>
        <w:spacing w:line="240" w:lineRule="auto"/>
        <w:rPr>
          <w:color w:val="004C97"/>
        </w:rPr>
      </w:pPr>
    </w:p>
    <w:p w14:paraId="1798E62B" w14:textId="77777777" w:rsidR="007D183F" w:rsidRDefault="007D183F" w:rsidP="00231D54">
      <w:pPr>
        <w:rPr>
          <w:b/>
          <w:sz w:val="24"/>
        </w:rPr>
      </w:pPr>
    </w:p>
    <w:p w14:paraId="20388EF3" w14:textId="79B201D1" w:rsidR="00231D54" w:rsidRDefault="00231D54" w:rsidP="00472FA3">
      <w:pPr>
        <w:pStyle w:val="NotesBody11pt"/>
        <w:spacing w:line="240" w:lineRule="auto"/>
        <w:rPr>
          <w:color w:val="004C97"/>
          <w:sz w:val="24"/>
          <w:szCs w:val="24"/>
        </w:rPr>
      </w:pPr>
      <w:r w:rsidRPr="00472FA3">
        <w:rPr>
          <w:color w:val="004C97"/>
          <w:sz w:val="24"/>
          <w:szCs w:val="24"/>
        </w:rPr>
        <w:t>Document Approval</w:t>
      </w:r>
    </w:p>
    <w:p w14:paraId="3CFCB559" w14:textId="77777777" w:rsidR="009C0BA2" w:rsidRPr="00472FA3" w:rsidRDefault="009C0BA2" w:rsidP="00472FA3">
      <w:pPr>
        <w:pStyle w:val="NotesBody11pt"/>
        <w:spacing w:line="240" w:lineRule="auto"/>
        <w:rPr>
          <w:color w:val="004C97"/>
          <w:sz w:val="24"/>
          <w:szCs w:val="24"/>
        </w:rPr>
      </w:pPr>
    </w:p>
    <w:tbl>
      <w:tblPr>
        <w:tblStyle w:val="PIP-IITable"/>
        <w:tblW w:w="0" w:type="auto"/>
        <w:tblLook w:val="04A0" w:firstRow="1" w:lastRow="0" w:firstColumn="1" w:lastColumn="0" w:noHBand="0" w:noVBand="1"/>
      </w:tblPr>
      <w:tblGrid>
        <w:gridCol w:w="7740"/>
        <w:gridCol w:w="2340"/>
      </w:tblGrid>
      <w:tr w:rsidR="00231D54" w14:paraId="6F74E8E1" w14:textId="77777777" w:rsidTr="0073303B">
        <w:trPr>
          <w:cnfStyle w:val="100000000000" w:firstRow="1" w:lastRow="0" w:firstColumn="0" w:lastColumn="0" w:oddVBand="0" w:evenVBand="0" w:oddHBand="0" w:evenHBand="0" w:firstRowFirstColumn="0" w:firstRowLastColumn="0" w:lastRowFirstColumn="0" w:lastRowLastColumn="0"/>
          <w:trHeight w:val="440"/>
        </w:trPr>
        <w:tc>
          <w:tcPr>
            <w:tcW w:w="7740" w:type="dxa"/>
          </w:tcPr>
          <w:p w14:paraId="34D0BE65" w14:textId="77777777" w:rsidR="00231D54" w:rsidRDefault="00231D54" w:rsidP="0073303B">
            <w:r>
              <w:lastRenderedPageBreak/>
              <w:t>Signatures Required</w:t>
            </w:r>
          </w:p>
        </w:tc>
        <w:tc>
          <w:tcPr>
            <w:tcW w:w="2340" w:type="dxa"/>
          </w:tcPr>
          <w:p w14:paraId="4724F26C" w14:textId="77777777" w:rsidR="00231D54" w:rsidRDefault="00231D54" w:rsidP="0073303B">
            <w:r>
              <w:t>Date Approved</w:t>
            </w:r>
          </w:p>
        </w:tc>
      </w:tr>
      <w:tr w:rsidR="00231D54" w14:paraId="2E251F09" w14:textId="77777777" w:rsidTr="0073303B">
        <w:trPr>
          <w:trHeight w:val="458"/>
        </w:trPr>
        <w:tc>
          <w:tcPr>
            <w:tcW w:w="7740" w:type="dxa"/>
          </w:tcPr>
          <w:p w14:paraId="3798AFAE" w14:textId="4AF5C54D" w:rsidR="00231D54" w:rsidRDefault="00390AD6" w:rsidP="0073303B">
            <w:r>
              <w:t>Originator</w:t>
            </w:r>
            <w:r w:rsidR="00231D54">
              <w:t>:</w:t>
            </w:r>
            <w:r w:rsidR="00EA01B3">
              <w:t xml:space="preserve"> </w:t>
            </w:r>
            <w:r w:rsidR="009B3A1E">
              <w:t>Alex</w:t>
            </w:r>
            <w:r w:rsidR="000E0441">
              <w:t xml:space="preserve"> Chen</w:t>
            </w:r>
            <w:r w:rsidR="00BC67E5">
              <w:t>, Accelerator Di</w:t>
            </w:r>
            <w:r w:rsidR="00E871C1">
              <w:t>rectorate</w:t>
            </w:r>
            <w:r w:rsidR="00B4001A">
              <w:t>, Mechanical Support Department</w:t>
            </w:r>
          </w:p>
        </w:tc>
        <w:tc>
          <w:tcPr>
            <w:tcW w:w="2340" w:type="dxa"/>
          </w:tcPr>
          <w:p w14:paraId="7798709D" w14:textId="1D2DE7E3" w:rsidR="00231D54" w:rsidRDefault="002B1B86" w:rsidP="0073303B">
            <w:bookmarkStart w:id="0" w:name="_Hlk18917663"/>
            <w:r>
              <w:t>-</w:t>
            </w:r>
            <w:bookmarkEnd w:id="0"/>
          </w:p>
        </w:tc>
      </w:tr>
      <w:tr w:rsidR="00D4027F" w14:paraId="7D57BCD2" w14:textId="77777777" w:rsidTr="0073303B">
        <w:trPr>
          <w:trHeight w:val="458"/>
        </w:trPr>
        <w:tc>
          <w:tcPr>
            <w:tcW w:w="7740" w:type="dxa"/>
          </w:tcPr>
          <w:p w14:paraId="492A8B30" w14:textId="519EF6C2" w:rsidR="00D4027F" w:rsidRDefault="00D4027F" w:rsidP="0073303B">
            <w:r>
              <w:t xml:space="preserve">Originator: Richard Andrews, </w:t>
            </w:r>
            <w:r w:rsidR="00C557E3">
              <w:t>Accelerator Di</w:t>
            </w:r>
            <w:r w:rsidR="00E871C1">
              <w:t>rectorate</w:t>
            </w:r>
            <w:r w:rsidR="00D76624">
              <w:t xml:space="preserve">, </w:t>
            </w:r>
            <w:r w:rsidR="00E871C1">
              <w:t>Superconducting Linac</w:t>
            </w:r>
            <w:r w:rsidR="00D76624">
              <w:t xml:space="preserve"> Department</w:t>
            </w:r>
          </w:p>
        </w:tc>
        <w:tc>
          <w:tcPr>
            <w:tcW w:w="2340" w:type="dxa"/>
          </w:tcPr>
          <w:p w14:paraId="002A99B7" w14:textId="0525A9FD" w:rsidR="00D4027F" w:rsidRDefault="002B1B86" w:rsidP="0073303B">
            <w:r>
              <w:t>-</w:t>
            </w:r>
          </w:p>
        </w:tc>
      </w:tr>
      <w:tr w:rsidR="00191E27" w14:paraId="2537E24E" w14:textId="77777777" w:rsidTr="0073303B">
        <w:trPr>
          <w:trHeight w:val="458"/>
        </w:trPr>
        <w:tc>
          <w:tcPr>
            <w:tcW w:w="7740" w:type="dxa"/>
          </w:tcPr>
          <w:p w14:paraId="151A6DAF" w14:textId="400D2289" w:rsidR="00191E27" w:rsidRDefault="00191E27" w:rsidP="0073303B">
            <w:r>
              <w:t xml:space="preserve">Originator: Lucy Nobrega, </w:t>
            </w:r>
            <w:r w:rsidR="00F96E52">
              <w:t>PIP-II Vacuum Systems Deputy L3 Manager</w:t>
            </w:r>
          </w:p>
        </w:tc>
        <w:tc>
          <w:tcPr>
            <w:tcW w:w="2340" w:type="dxa"/>
          </w:tcPr>
          <w:p w14:paraId="31EE7CD6" w14:textId="0FF81BE1" w:rsidR="00191E27" w:rsidRDefault="00D83E34" w:rsidP="0073303B">
            <w:r>
              <w:t>-</w:t>
            </w:r>
          </w:p>
        </w:tc>
      </w:tr>
      <w:tr w:rsidR="004A66CD" w14:paraId="667D1D49" w14:textId="77777777" w:rsidTr="0073303B">
        <w:trPr>
          <w:trHeight w:val="458"/>
        </w:trPr>
        <w:tc>
          <w:tcPr>
            <w:tcW w:w="7740" w:type="dxa"/>
          </w:tcPr>
          <w:p w14:paraId="1175EE37" w14:textId="5A6D5DDF" w:rsidR="004A66CD" w:rsidRDefault="004A66CD" w:rsidP="0073303B">
            <w:r>
              <w:t xml:space="preserve">Concurrence:  </w:t>
            </w:r>
            <w:r w:rsidR="00E96258">
              <w:t>Mattia P</w:t>
            </w:r>
            <w:r w:rsidR="00C9683E">
              <w:t>arise</w:t>
            </w:r>
            <w:r>
              <w:t>, SSR Cryomodule L3 Manager</w:t>
            </w:r>
          </w:p>
        </w:tc>
        <w:tc>
          <w:tcPr>
            <w:tcW w:w="2340" w:type="dxa"/>
          </w:tcPr>
          <w:p w14:paraId="74406C06" w14:textId="501C0DD9" w:rsidR="004A66CD" w:rsidRDefault="004A66CD" w:rsidP="0073303B">
            <w:r>
              <w:t>-</w:t>
            </w:r>
          </w:p>
        </w:tc>
      </w:tr>
      <w:tr w:rsidR="004A66CD" w14:paraId="78ADCF20" w14:textId="77777777" w:rsidTr="0073303B">
        <w:trPr>
          <w:trHeight w:val="458"/>
        </w:trPr>
        <w:tc>
          <w:tcPr>
            <w:tcW w:w="7740" w:type="dxa"/>
          </w:tcPr>
          <w:p w14:paraId="47251337" w14:textId="30B71558" w:rsidR="004A66CD" w:rsidRDefault="004A66CD" w:rsidP="0073303B">
            <w:r>
              <w:t xml:space="preserve">Concurrence:  </w:t>
            </w:r>
            <w:r w:rsidR="002A68ED">
              <w:t>J</w:t>
            </w:r>
            <w:r w:rsidR="00E96258">
              <w:t>oe Ozelis</w:t>
            </w:r>
            <w:r>
              <w:t>, 650 MHz Cryomodule L3 Manager</w:t>
            </w:r>
          </w:p>
        </w:tc>
        <w:tc>
          <w:tcPr>
            <w:tcW w:w="2340" w:type="dxa"/>
          </w:tcPr>
          <w:p w14:paraId="745EECC2" w14:textId="525A343E" w:rsidR="004A66CD" w:rsidRDefault="004A66CD" w:rsidP="0073303B">
            <w:r>
              <w:t>-</w:t>
            </w:r>
          </w:p>
        </w:tc>
      </w:tr>
      <w:tr w:rsidR="004A66CD" w14:paraId="05EA5728" w14:textId="77777777" w:rsidTr="0073303B">
        <w:trPr>
          <w:trHeight w:val="458"/>
        </w:trPr>
        <w:tc>
          <w:tcPr>
            <w:tcW w:w="7740" w:type="dxa"/>
          </w:tcPr>
          <w:p w14:paraId="6BA804A1" w14:textId="65EFBC1A" w:rsidR="004A66CD" w:rsidRDefault="004A66CD" w:rsidP="0073303B">
            <w:r>
              <w:t xml:space="preserve">Concurrence:  </w:t>
            </w:r>
            <w:r w:rsidR="00942C32">
              <w:t>Alex Martinez</w:t>
            </w:r>
            <w:r>
              <w:t>, SRF &amp; Cryo Systems Deputy L2 Manager</w:t>
            </w:r>
          </w:p>
        </w:tc>
        <w:tc>
          <w:tcPr>
            <w:tcW w:w="2340" w:type="dxa"/>
          </w:tcPr>
          <w:p w14:paraId="27C68508" w14:textId="63D13B9C" w:rsidR="004A66CD" w:rsidRDefault="004A66CD" w:rsidP="0073303B">
            <w:r>
              <w:t>-</w:t>
            </w:r>
          </w:p>
        </w:tc>
      </w:tr>
      <w:tr w:rsidR="00365680" w14:paraId="37539C52" w14:textId="77777777" w:rsidTr="0073303B">
        <w:trPr>
          <w:trHeight w:val="458"/>
        </w:trPr>
        <w:tc>
          <w:tcPr>
            <w:tcW w:w="7740" w:type="dxa"/>
          </w:tcPr>
          <w:p w14:paraId="69093FF8" w14:textId="7186911A" w:rsidR="00365680" w:rsidRDefault="00365680" w:rsidP="00365680">
            <w:r>
              <w:t>Concurrence: Lionel Prost, Warm Front End L3 Manager</w:t>
            </w:r>
          </w:p>
        </w:tc>
        <w:tc>
          <w:tcPr>
            <w:tcW w:w="2340" w:type="dxa"/>
          </w:tcPr>
          <w:p w14:paraId="22E7F2A0" w14:textId="26DA7A4C" w:rsidR="00365680" w:rsidRDefault="00365680" w:rsidP="00365680">
            <w:r>
              <w:t>-</w:t>
            </w:r>
          </w:p>
        </w:tc>
      </w:tr>
      <w:tr w:rsidR="00365680" w14:paraId="6EEADDAE" w14:textId="77777777" w:rsidTr="0073303B">
        <w:trPr>
          <w:trHeight w:val="458"/>
        </w:trPr>
        <w:tc>
          <w:tcPr>
            <w:tcW w:w="7740" w:type="dxa"/>
          </w:tcPr>
          <w:p w14:paraId="34F53E62" w14:textId="7311A2F1" w:rsidR="00365680" w:rsidRDefault="00365680" w:rsidP="00365680">
            <w:r>
              <w:t>Concurrence: Meiqin Xiao, Transfer Line – Beam Absorber L3 Manager</w:t>
            </w:r>
          </w:p>
        </w:tc>
        <w:tc>
          <w:tcPr>
            <w:tcW w:w="2340" w:type="dxa"/>
          </w:tcPr>
          <w:p w14:paraId="3F6709AC" w14:textId="04215441" w:rsidR="00365680" w:rsidRDefault="00365680" w:rsidP="00365680">
            <w:r>
              <w:t>-</w:t>
            </w:r>
          </w:p>
        </w:tc>
      </w:tr>
      <w:tr w:rsidR="00365680" w14:paraId="25E68E64" w14:textId="77777777" w:rsidTr="0073303B">
        <w:trPr>
          <w:trHeight w:val="458"/>
        </w:trPr>
        <w:tc>
          <w:tcPr>
            <w:tcW w:w="7740" w:type="dxa"/>
          </w:tcPr>
          <w:p w14:paraId="1AED998B" w14:textId="23C93BA3" w:rsidR="00365680" w:rsidRDefault="00365680" w:rsidP="00365680">
            <w:r>
              <w:t>Concurrence: Darren Crawford, Beam Commissioning L3 Manager</w:t>
            </w:r>
          </w:p>
        </w:tc>
        <w:tc>
          <w:tcPr>
            <w:tcW w:w="2340" w:type="dxa"/>
          </w:tcPr>
          <w:p w14:paraId="28281CD3" w14:textId="0DED2DDD" w:rsidR="00365680" w:rsidRDefault="00365680" w:rsidP="00365680">
            <w:r>
              <w:t>-</w:t>
            </w:r>
          </w:p>
        </w:tc>
      </w:tr>
      <w:tr w:rsidR="00365680" w14:paraId="327E8C33" w14:textId="77777777" w:rsidTr="0073303B">
        <w:trPr>
          <w:trHeight w:val="458"/>
        </w:trPr>
        <w:tc>
          <w:tcPr>
            <w:tcW w:w="7740" w:type="dxa"/>
          </w:tcPr>
          <w:p w14:paraId="731A763E" w14:textId="3B4013F2" w:rsidR="00365680" w:rsidRDefault="00365680" w:rsidP="00365680">
            <w:r>
              <w:t>Concurrence: Bruce Hanna, Magnets &amp; Power Supplies L3 Manager</w:t>
            </w:r>
          </w:p>
        </w:tc>
        <w:tc>
          <w:tcPr>
            <w:tcW w:w="2340" w:type="dxa"/>
          </w:tcPr>
          <w:p w14:paraId="59371DC9" w14:textId="5DB71CC5" w:rsidR="00365680" w:rsidRDefault="00365680" w:rsidP="00365680">
            <w:r>
              <w:t>-</w:t>
            </w:r>
          </w:p>
        </w:tc>
      </w:tr>
      <w:tr w:rsidR="00365680" w14:paraId="31222BEF" w14:textId="77777777" w:rsidTr="0073303B">
        <w:trPr>
          <w:trHeight w:val="458"/>
        </w:trPr>
        <w:tc>
          <w:tcPr>
            <w:tcW w:w="7740" w:type="dxa"/>
          </w:tcPr>
          <w:p w14:paraId="3DAD59B4" w14:textId="39102536" w:rsidR="00365680" w:rsidRDefault="00365680" w:rsidP="00365680">
            <w:r>
              <w:t>Concurrence: Allan Rowe, Technical Integration Manager</w:t>
            </w:r>
          </w:p>
        </w:tc>
        <w:tc>
          <w:tcPr>
            <w:tcW w:w="2340" w:type="dxa"/>
          </w:tcPr>
          <w:p w14:paraId="3E572B3A" w14:textId="6E574AD1" w:rsidR="00365680" w:rsidRDefault="00365680" w:rsidP="00365680">
            <w:r>
              <w:t>-</w:t>
            </w:r>
          </w:p>
        </w:tc>
      </w:tr>
      <w:tr w:rsidR="00365680" w14:paraId="539B0036" w14:textId="77777777" w:rsidTr="0073303B">
        <w:trPr>
          <w:trHeight w:val="458"/>
        </w:trPr>
        <w:tc>
          <w:tcPr>
            <w:tcW w:w="7740" w:type="dxa"/>
          </w:tcPr>
          <w:p w14:paraId="27F7BC2A" w14:textId="71828CCE" w:rsidR="00365680" w:rsidRDefault="00365680" w:rsidP="00365680">
            <w:r>
              <w:t>Concurrence: Chris Becker, Integration Engineer</w:t>
            </w:r>
          </w:p>
        </w:tc>
        <w:tc>
          <w:tcPr>
            <w:tcW w:w="2340" w:type="dxa"/>
          </w:tcPr>
          <w:p w14:paraId="65FA6FAC" w14:textId="0C0BF6C5" w:rsidR="00365680" w:rsidRDefault="00365680" w:rsidP="00365680">
            <w:r>
              <w:t>-</w:t>
            </w:r>
          </w:p>
        </w:tc>
      </w:tr>
      <w:tr w:rsidR="00365680" w14:paraId="3040A581" w14:textId="77777777" w:rsidTr="0073303B">
        <w:trPr>
          <w:trHeight w:val="458"/>
        </w:trPr>
        <w:tc>
          <w:tcPr>
            <w:tcW w:w="7740" w:type="dxa"/>
          </w:tcPr>
          <w:p w14:paraId="6C8AEB8F" w14:textId="3B705472" w:rsidR="00365680" w:rsidRDefault="00365680" w:rsidP="00365680">
            <w:r>
              <w:t>Approver: Donato Passarelli, SRF &amp; Cryo Systems L2 Manager</w:t>
            </w:r>
          </w:p>
        </w:tc>
        <w:tc>
          <w:tcPr>
            <w:tcW w:w="2340" w:type="dxa"/>
          </w:tcPr>
          <w:p w14:paraId="287BCBA8" w14:textId="5F646C5C" w:rsidR="00365680" w:rsidRDefault="00365680" w:rsidP="00365680">
            <w:r>
              <w:t>-</w:t>
            </w:r>
          </w:p>
        </w:tc>
      </w:tr>
      <w:tr w:rsidR="00365680" w14:paraId="588E1A16" w14:textId="77777777" w:rsidTr="0073303B">
        <w:trPr>
          <w:trHeight w:val="458"/>
        </w:trPr>
        <w:tc>
          <w:tcPr>
            <w:tcW w:w="7740" w:type="dxa"/>
          </w:tcPr>
          <w:p w14:paraId="57154556" w14:textId="2A9DE22F" w:rsidR="00365680" w:rsidRDefault="00365680" w:rsidP="00365680">
            <w:r>
              <w:t>Approver: Jerry Leibfritz, Linac Installation and Commissioning L2 Manager</w:t>
            </w:r>
          </w:p>
        </w:tc>
        <w:tc>
          <w:tcPr>
            <w:tcW w:w="2340" w:type="dxa"/>
          </w:tcPr>
          <w:p w14:paraId="6611EBC0" w14:textId="05FAF9F9" w:rsidR="00365680" w:rsidRDefault="00365680" w:rsidP="00365680">
            <w:r>
              <w:t>-</w:t>
            </w:r>
          </w:p>
        </w:tc>
      </w:tr>
      <w:tr w:rsidR="00365680" w14:paraId="469DB79D" w14:textId="77777777" w:rsidTr="0073303B">
        <w:trPr>
          <w:trHeight w:val="458"/>
        </w:trPr>
        <w:tc>
          <w:tcPr>
            <w:tcW w:w="7740" w:type="dxa"/>
          </w:tcPr>
          <w:p w14:paraId="23746EE2" w14:textId="7B7DC758" w:rsidR="00365680" w:rsidRDefault="00365680" w:rsidP="00365680">
            <w:r>
              <w:t>Approver: Ioanis Kourbanis, Accelerator Complex Upgrades L2 Manager</w:t>
            </w:r>
          </w:p>
        </w:tc>
        <w:tc>
          <w:tcPr>
            <w:tcW w:w="2340" w:type="dxa"/>
          </w:tcPr>
          <w:p w14:paraId="44CEA506" w14:textId="08547138" w:rsidR="00365680" w:rsidRDefault="00365680" w:rsidP="00365680">
            <w:r>
              <w:t>-</w:t>
            </w:r>
          </w:p>
        </w:tc>
      </w:tr>
      <w:tr w:rsidR="00365680" w14:paraId="0A0CC64D" w14:textId="77777777" w:rsidTr="0073303B">
        <w:trPr>
          <w:trHeight w:val="458"/>
        </w:trPr>
        <w:tc>
          <w:tcPr>
            <w:tcW w:w="7740" w:type="dxa"/>
          </w:tcPr>
          <w:p w14:paraId="61247A9A" w14:textId="2A8827D1" w:rsidR="00365680" w:rsidRDefault="00365680" w:rsidP="00365680">
            <w:r>
              <w:t>Approver: Jeremiah Holzbauer, Accelerator Systems L2 Manager</w:t>
            </w:r>
          </w:p>
        </w:tc>
        <w:tc>
          <w:tcPr>
            <w:tcW w:w="2340" w:type="dxa"/>
          </w:tcPr>
          <w:p w14:paraId="4F805A15" w14:textId="446C58CA" w:rsidR="00365680" w:rsidRDefault="00365680" w:rsidP="00365680">
            <w:r>
              <w:t>-</w:t>
            </w:r>
          </w:p>
        </w:tc>
      </w:tr>
      <w:tr w:rsidR="00365680" w14:paraId="6DD98B4F" w14:textId="77777777" w:rsidTr="0073303B">
        <w:trPr>
          <w:trHeight w:val="458"/>
        </w:trPr>
        <w:tc>
          <w:tcPr>
            <w:tcW w:w="7740" w:type="dxa"/>
          </w:tcPr>
          <w:p w14:paraId="27203651" w14:textId="0B970B63" w:rsidR="00365680" w:rsidRDefault="00365680" w:rsidP="00365680">
            <w:r>
              <w:t>Approver: Olivier Napoly, Project Scientist</w:t>
            </w:r>
          </w:p>
        </w:tc>
        <w:tc>
          <w:tcPr>
            <w:tcW w:w="2340" w:type="dxa"/>
          </w:tcPr>
          <w:p w14:paraId="19D079B3" w14:textId="3C9C8BD0" w:rsidR="00365680" w:rsidRDefault="00365680" w:rsidP="00365680">
            <w:r>
              <w:t>-</w:t>
            </w:r>
          </w:p>
        </w:tc>
      </w:tr>
    </w:tbl>
    <w:p w14:paraId="3E3F3BAC" w14:textId="77777777" w:rsidR="00231D54" w:rsidRDefault="00231D54" w:rsidP="00231D54">
      <w:pPr>
        <w:rPr>
          <w:b/>
          <w:sz w:val="24"/>
        </w:rPr>
      </w:pPr>
    </w:p>
    <w:p w14:paraId="18D96983" w14:textId="6CE8B2CD" w:rsidR="00472FA3" w:rsidRDefault="00472FA3" w:rsidP="00925DFE">
      <w:pPr>
        <w:pStyle w:val="Subtitle16pt"/>
        <w:jc w:val="both"/>
      </w:pPr>
    </w:p>
    <w:p w14:paraId="3620483A" w14:textId="0F7FA653" w:rsidR="004A66CD" w:rsidRDefault="004A66CD" w:rsidP="00925DFE">
      <w:pPr>
        <w:pStyle w:val="Subtitle16pt"/>
        <w:jc w:val="both"/>
      </w:pPr>
    </w:p>
    <w:p w14:paraId="2F1C7C0B" w14:textId="72CF8D2E" w:rsidR="004A66CD" w:rsidRDefault="004A66CD" w:rsidP="00925DFE">
      <w:pPr>
        <w:pStyle w:val="Subtitle16pt"/>
        <w:jc w:val="both"/>
      </w:pPr>
    </w:p>
    <w:p w14:paraId="1F682017" w14:textId="78A3C7ED" w:rsidR="004A66CD" w:rsidRDefault="004A66CD" w:rsidP="00925DFE">
      <w:pPr>
        <w:pStyle w:val="Subtitle16pt"/>
        <w:jc w:val="both"/>
      </w:pPr>
    </w:p>
    <w:p w14:paraId="3E39CA6E" w14:textId="4A17B733" w:rsidR="004A66CD" w:rsidRDefault="004A66CD" w:rsidP="00925DFE">
      <w:pPr>
        <w:pStyle w:val="Subtitle16pt"/>
        <w:jc w:val="both"/>
      </w:pPr>
    </w:p>
    <w:p w14:paraId="0ADC062F" w14:textId="77777777" w:rsidR="004A66CD" w:rsidRDefault="004A66CD" w:rsidP="00925DFE">
      <w:pPr>
        <w:pStyle w:val="Subtitle16pt"/>
        <w:jc w:val="both"/>
      </w:pPr>
    </w:p>
    <w:p w14:paraId="4A650CAA" w14:textId="78F63843" w:rsidR="00925DFE" w:rsidRPr="007B2E8F" w:rsidRDefault="00925DFE" w:rsidP="00925DFE">
      <w:pPr>
        <w:pStyle w:val="Subtitle16pt"/>
        <w:jc w:val="both"/>
      </w:pPr>
      <w:r>
        <w:t>Revision History</w:t>
      </w:r>
    </w:p>
    <w:p w14:paraId="21A3BD16" w14:textId="77777777" w:rsidR="00925DFE" w:rsidRPr="00A42842" w:rsidRDefault="00925DFE" w:rsidP="00925DFE">
      <w:pPr>
        <w:pStyle w:val="NotesBody11pt"/>
        <w:spacing w:line="240" w:lineRule="auto"/>
        <w:rPr>
          <w:color w:val="004C97"/>
        </w:rPr>
      </w:pPr>
    </w:p>
    <w:tbl>
      <w:tblPr>
        <w:tblStyle w:val="TableGrid"/>
        <w:tblW w:w="0" w:type="auto"/>
        <w:tblLook w:val="04A0" w:firstRow="1" w:lastRow="0" w:firstColumn="1" w:lastColumn="0" w:noHBand="0" w:noVBand="1"/>
      </w:tblPr>
      <w:tblGrid>
        <w:gridCol w:w="1060"/>
        <w:gridCol w:w="2055"/>
        <w:gridCol w:w="6955"/>
      </w:tblGrid>
      <w:tr w:rsidR="00925DFE" w14:paraId="3354A807" w14:textId="77777777" w:rsidTr="0073303B">
        <w:tc>
          <w:tcPr>
            <w:tcW w:w="985" w:type="dxa"/>
          </w:tcPr>
          <w:p w14:paraId="2199BAFA" w14:textId="77777777" w:rsidR="00925DFE" w:rsidRDefault="00925DFE" w:rsidP="0073303B">
            <w:pPr>
              <w:pStyle w:val="NotesBody11pt"/>
              <w:spacing w:line="240" w:lineRule="auto"/>
              <w:rPr>
                <w:color w:val="004C97"/>
              </w:rPr>
            </w:pPr>
            <w:r>
              <w:rPr>
                <w:color w:val="004C97"/>
              </w:rPr>
              <w:t>Revision</w:t>
            </w:r>
          </w:p>
        </w:tc>
        <w:tc>
          <w:tcPr>
            <w:tcW w:w="2070" w:type="dxa"/>
          </w:tcPr>
          <w:p w14:paraId="21A6D553" w14:textId="49890EAC" w:rsidR="00925DFE" w:rsidRDefault="00925DFE" w:rsidP="0073303B">
            <w:pPr>
              <w:pStyle w:val="NotesBody11pt"/>
              <w:spacing w:line="240" w:lineRule="auto"/>
              <w:rPr>
                <w:color w:val="004C97"/>
              </w:rPr>
            </w:pPr>
            <w:r>
              <w:rPr>
                <w:color w:val="004C97"/>
              </w:rPr>
              <w:t xml:space="preserve">Date </w:t>
            </w:r>
            <w:r w:rsidR="00EC2506">
              <w:rPr>
                <w:color w:val="004C97"/>
              </w:rPr>
              <w:t>of</w:t>
            </w:r>
            <w:r>
              <w:rPr>
                <w:color w:val="004C97"/>
              </w:rPr>
              <w:t xml:space="preserve"> Release</w:t>
            </w:r>
          </w:p>
        </w:tc>
        <w:tc>
          <w:tcPr>
            <w:tcW w:w="7015" w:type="dxa"/>
          </w:tcPr>
          <w:p w14:paraId="18529617" w14:textId="77777777" w:rsidR="00925DFE" w:rsidRDefault="00925DFE" w:rsidP="0073303B">
            <w:pPr>
              <w:pStyle w:val="NotesBody11pt"/>
              <w:spacing w:line="240" w:lineRule="auto"/>
              <w:rPr>
                <w:color w:val="004C97"/>
              </w:rPr>
            </w:pPr>
            <w:r>
              <w:rPr>
                <w:color w:val="004C97"/>
              </w:rPr>
              <w:t>Description of Change</w:t>
            </w:r>
          </w:p>
        </w:tc>
      </w:tr>
      <w:tr w:rsidR="00925DFE" w14:paraId="66A7DF41" w14:textId="77777777" w:rsidTr="0073303B">
        <w:tc>
          <w:tcPr>
            <w:tcW w:w="985" w:type="dxa"/>
          </w:tcPr>
          <w:p w14:paraId="51BEECCF" w14:textId="7CFD24E6" w:rsidR="00925DFE" w:rsidRDefault="004C5377" w:rsidP="000353A6">
            <w:pPr>
              <w:pStyle w:val="NotesBody11pt"/>
              <w:spacing w:line="240" w:lineRule="auto"/>
              <w:jc w:val="center"/>
              <w:rPr>
                <w:color w:val="004C97"/>
              </w:rPr>
            </w:pPr>
            <w:r>
              <w:rPr>
                <w:color w:val="004C97"/>
              </w:rPr>
              <w:t>-</w:t>
            </w:r>
          </w:p>
        </w:tc>
        <w:tc>
          <w:tcPr>
            <w:tcW w:w="2070" w:type="dxa"/>
          </w:tcPr>
          <w:p w14:paraId="248F99FE" w14:textId="445824F6" w:rsidR="00925DFE" w:rsidRDefault="00A0653F" w:rsidP="008014B5">
            <w:pPr>
              <w:pStyle w:val="NotesBody11pt"/>
              <w:spacing w:line="240" w:lineRule="auto"/>
              <w:jc w:val="center"/>
              <w:rPr>
                <w:color w:val="004C97"/>
              </w:rPr>
            </w:pPr>
            <w:r>
              <w:rPr>
                <w:color w:val="004C97"/>
              </w:rPr>
              <w:t>10-18-2019</w:t>
            </w:r>
          </w:p>
        </w:tc>
        <w:tc>
          <w:tcPr>
            <w:tcW w:w="7015" w:type="dxa"/>
          </w:tcPr>
          <w:p w14:paraId="3413621E" w14:textId="6ACB408B" w:rsidR="00925DFE" w:rsidRDefault="004C5377" w:rsidP="0073303B">
            <w:pPr>
              <w:pStyle w:val="NotesBody11pt"/>
              <w:spacing w:line="240" w:lineRule="auto"/>
              <w:rPr>
                <w:color w:val="004C97"/>
              </w:rPr>
            </w:pPr>
            <w:r>
              <w:rPr>
                <w:color w:val="004C97"/>
              </w:rPr>
              <w:t>Initial release</w:t>
            </w:r>
          </w:p>
        </w:tc>
      </w:tr>
      <w:tr w:rsidR="00925DFE" w14:paraId="34E0CA10" w14:textId="77777777" w:rsidTr="0073303B">
        <w:tc>
          <w:tcPr>
            <w:tcW w:w="985" w:type="dxa"/>
          </w:tcPr>
          <w:p w14:paraId="512CAFF5" w14:textId="102FA6E6" w:rsidR="00925DFE" w:rsidRDefault="00334AAA" w:rsidP="00334AAA">
            <w:pPr>
              <w:pStyle w:val="NotesBody11pt"/>
              <w:spacing w:line="240" w:lineRule="auto"/>
              <w:jc w:val="center"/>
              <w:rPr>
                <w:color w:val="004C97"/>
              </w:rPr>
            </w:pPr>
            <w:r>
              <w:rPr>
                <w:color w:val="004C97"/>
              </w:rPr>
              <w:t>A</w:t>
            </w:r>
          </w:p>
        </w:tc>
        <w:tc>
          <w:tcPr>
            <w:tcW w:w="2070" w:type="dxa"/>
          </w:tcPr>
          <w:p w14:paraId="3A6720B2" w14:textId="2D863655" w:rsidR="00925DFE" w:rsidRDefault="00334AAA" w:rsidP="00334AAA">
            <w:pPr>
              <w:pStyle w:val="NotesBody11pt"/>
              <w:spacing w:line="240" w:lineRule="auto"/>
              <w:jc w:val="center"/>
              <w:rPr>
                <w:color w:val="004C97"/>
              </w:rPr>
            </w:pPr>
            <w:r>
              <w:rPr>
                <w:color w:val="004C97"/>
              </w:rPr>
              <w:t>10-2</w:t>
            </w:r>
            <w:r w:rsidR="004A66CD">
              <w:rPr>
                <w:color w:val="004C97"/>
              </w:rPr>
              <w:t>5</w:t>
            </w:r>
            <w:r>
              <w:rPr>
                <w:color w:val="004C97"/>
              </w:rPr>
              <w:t>-2019</w:t>
            </w:r>
          </w:p>
        </w:tc>
        <w:tc>
          <w:tcPr>
            <w:tcW w:w="7015" w:type="dxa"/>
          </w:tcPr>
          <w:p w14:paraId="215E2C93" w14:textId="0FE5E36B" w:rsidR="00925DFE" w:rsidRDefault="00334AAA" w:rsidP="0073303B">
            <w:pPr>
              <w:pStyle w:val="NotesBody11pt"/>
              <w:spacing w:line="240" w:lineRule="auto"/>
              <w:rPr>
                <w:color w:val="004C97"/>
              </w:rPr>
            </w:pPr>
            <w:r>
              <w:rPr>
                <w:color w:val="004C97"/>
              </w:rPr>
              <w:t>Changed vacuum pressure requirements in Table 6-1 for the RFQ and MEBT from &lt;1E-7 to &lt;5E-7 Torr.  Added SRF, BTL and Linac Installation/Commissioning L2’s</w:t>
            </w:r>
            <w:r w:rsidR="004A66CD">
              <w:rPr>
                <w:color w:val="004C97"/>
              </w:rPr>
              <w:t xml:space="preserve"> and Cryomodule L3’s</w:t>
            </w:r>
            <w:r>
              <w:rPr>
                <w:color w:val="004C97"/>
              </w:rPr>
              <w:t xml:space="preserve"> to the approval </w:t>
            </w:r>
            <w:r>
              <w:rPr>
                <w:color w:val="004C97"/>
              </w:rPr>
              <w:lastRenderedPageBreak/>
              <w:t>list.</w:t>
            </w:r>
            <w:r w:rsidR="00A76FEF">
              <w:rPr>
                <w:color w:val="004C97"/>
              </w:rPr>
              <w:t xml:space="preserve">  Updated Section 9 to more clearly state the </w:t>
            </w:r>
            <w:r w:rsidR="00037C24">
              <w:rPr>
                <w:color w:val="004C97"/>
              </w:rPr>
              <w:t>thresholds for opening and closing the fast acting valves.</w:t>
            </w:r>
          </w:p>
        </w:tc>
      </w:tr>
      <w:tr w:rsidR="007F328E" w14:paraId="7CD52E63" w14:textId="77777777" w:rsidTr="0073303B">
        <w:tc>
          <w:tcPr>
            <w:tcW w:w="985" w:type="dxa"/>
          </w:tcPr>
          <w:p w14:paraId="37DCD546" w14:textId="19619131" w:rsidR="007F328E" w:rsidRDefault="007F328E" w:rsidP="00334AAA">
            <w:pPr>
              <w:pStyle w:val="NotesBody11pt"/>
              <w:spacing w:line="240" w:lineRule="auto"/>
              <w:jc w:val="center"/>
              <w:rPr>
                <w:color w:val="004C97"/>
              </w:rPr>
            </w:pPr>
            <w:r>
              <w:rPr>
                <w:color w:val="004C97"/>
              </w:rPr>
              <w:lastRenderedPageBreak/>
              <w:t>B</w:t>
            </w:r>
          </w:p>
        </w:tc>
        <w:tc>
          <w:tcPr>
            <w:tcW w:w="2070" w:type="dxa"/>
          </w:tcPr>
          <w:p w14:paraId="2DEEB3ED" w14:textId="4D9EED53" w:rsidR="007F328E" w:rsidRDefault="007F328E" w:rsidP="00334AAA">
            <w:pPr>
              <w:pStyle w:val="NotesBody11pt"/>
              <w:spacing w:line="240" w:lineRule="auto"/>
              <w:jc w:val="center"/>
              <w:rPr>
                <w:color w:val="004C97"/>
              </w:rPr>
            </w:pPr>
            <w:r>
              <w:rPr>
                <w:color w:val="004C97"/>
              </w:rPr>
              <w:t>1-22-2020</w:t>
            </w:r>
          </w:p>
        </w:tc>
        <w:tc>
          <w:tcPr>
            <w:tcW w:w="7015" w:type="dxa"/>
          </w:tcPr>
          <w:p w14:paraId="3979483D" w14:textId="28C25BBF" w:rsidR="007F328E" w:rsidRDefault="007F328E" w:rsidP="0073303B">
            <w:pPr>
              <w:pStyle w:val="NotesBody11pt"/>
              <w:spacing w:line="240" w:lineRule="auto"/>
              <w:rPr>
                <w:color w:val="004C97"/>
              </w:rPr>
            </w:pPr>
            <w:r>
              <w:rPr>
                <w:color w:val="004C97"/>
              </w:rPr>
              <w:t>Corrected Table 6-1 to extend the “CF only: metal gasket only” statement in the “Vacuum seals joints” row to also cover MEBT-DS.</w:t>
            </w:r>
          </w:p>
        </w:tc>
      </w:tr>
      <w:tr w:rsidR="00B3643A" w14:paraId="27DE7B06" w14:textId="77777777" w:rsidTr="0073303B">
        <w:tc>
          <w:tcPr>
            <w:tcW w:w="985" w:type="dxa"/>
          </w:tcPr>
          <w:p w14:paraId="17A5D8DB" w14:textId="71B70BED" w:rsidR="00B3643A" w:rsidRDefault="00B3643A" w:rsidP="00334AAA">
            <w:pPr>
              <w:pStyle w:val="NotesBody11pt"/>
              <w:spacing w:line="240" w:lineRule="auto"/>
              <w:jc w:val="center"/>
              <w:rPr>
                <w:color w:val="004C97"/>
              </w:rPr>
            </w:pPr>
            <w:r>
              <w:rPr>
                <w:color w:val="004C97"/>
              </w:rPr>
              <w:t>C</w:t>
            </w:r>
          </w:p>
        </w:tc>
        <w:tc>
          <w:tcPr>
            <w:tcW w:w="2070" w:type="dxa"/>
          </w:tcPr>
          <w:p w14:paraId="507D0068" w14:textId="0B9FE73E" w:rsidR="00B3643A" w:rsidRDefault="009C6E30" w:rsidP="00334AAA">
            <w:pPr>
              <w:pStyle w:val="NotesBody11pt"/>
              <w:spacing w:line="240" w:lineRule="auto"/>
              <w:jc w:val="center"/>
              <w:rPr>
                <w:color w:val="004C97"/>
              </w:rPr>
            </w:pPr>
            <w:r>
              <w:rPr>
                <w:color w:val="004C97"/>
              </w:rPr>
              <w:t>1-</w:t>
            </w:r>
            <w:r w:rsidR="002377F0">
              <w:rPr>
                <w:color w:val="004C97"/>
              </w:rPr>
              <w:t>16</w:t>
            </w:r>
            <w:r w:rsidR="00B3643A">
              <w:rPr>
                <w:color w:val="004C97"/>
              </w:rPr>
              <w:t>-202</w:t>
            </w:r>
            <w:r>
              <w:rPr>
                <w:color w:val="004C97"/>
              </w:rPr>
              <w:t>4</w:t>
            </w:r>
          </w:p>
        </w:tc>
        <w:tc>
          <w:tcPr>
            <w:tcW w:w="7015" w:type="dxa"/>
          </w:tcPr>
          <w:p w14:paraId="66856E1F" w14:textId="5B5C687E" w:rsidR="00B3643A" w:rsidRDefault="0057485C" w:rsidP="0073303B">
            <w:pPr>
              <w:pStyle w:val="NotesBody11pt"/>
              <w:spacing w:line="240" w:lineRule="auto"/>
              <w:rPr>
                <w:color w:val="004C97"/>
              </w:rPr>
            </w:pPr>
            <w:r>
              <w:rPr>
                <w:color w:val="004C97"/>
              </w:rPr>
              <w:t xml:space="preserve">Changed units from </w:t>
            </w:r>
            <w:r w:rsidR="003A5AD6">
              <w:rPr>
                <w:color w:val="004C97"/>
              </w:rPr>
              <w:t>Torr</w:t>
            </w:r>
            <w:r>
              <w:rPr>
                <w:color w:val="004C97"/>
              </w:rPr>
              <w:t xml:space="preserve"> to mbar. </w:t>
            </w:r>
            <w:r w:rsidR="00C12AE6">
              <w:rPr>
                <w:color w:val="004C97"/>
              </w:rPr>
              <w:t xml:space="preserve">Updated Table 6-1 and Section 9.1interlock requirements. </w:t>
            </w:r>
            <w:r>
              <w:rPr>
                <w:color w:val="004C97"/>
              </w:rPr>
              <w:t>Section 10: r</w:t>
            </w:r>
            <w:r w:rsidR="00072872">
              <w:rPr>
                <w:color w:val="004C97"/>
              </w:rPr>
              <w:t>emoved domestic hardware requirement</w:t>
            </w:r>
            <w:r>
              <w:rPr>
                <w:color w:val="004C97"/>
              </w:rPr>
              <w:t xml:space="preserve">, changed </w:t>
            </w:r>
            <w:r w:rsidR="00CA6D9B">
              <w:rPr>
                <w:color w:val="004C97"/>
              </w:rPr>
              <w:t>SiBr studs to titanium</w:t>
            </w:r>
            <w:r w:rsidR="00C621D3">
              <w:rPr>
                <w:color w:val="004C97"/>
              </w:rPr>
              <w:t>, added magnetic permeability limits, added weld</w:t>
            </w:r>
            <w:r w:rsidR="001973B4">
              <w:rPr>
                <w:color w:val="004C97"/>
              </w:rPr>
              <w:t xml:space="preserve"> </w:t>
            </w:r>
            <w:r w:rsidR="00DC0D08">
              <w:rPr>
                <w:color w:val="004C97"/>
              </w:rPr>
              <w:t>guidance.</w:t>
            </w:r>
            <w:r w:rsidR="00C12AE6">
              <w:rPr>
                <w:color w:val="004C97"/>
              </w:rPr>
              <w:t xml:space="preserve"> </w:t>
            </w:r>
          </w:p>
        </w:tc>
      </w:tr>
    </w:tbl>
    <w:p w14:paraId="15DAA33E" w14:textId="77777777" w:rsidR="00925DFE" w:rsidRDefault="00925DFE" w:rsidP="00C67AFD">
      <w:pPr>
        <w:pStyle w:val="NotesBody11pt"/>
      </w:pPr>
    </w:p>
    <w:p w14:paraId="67A7BCAF" w14:textId="77777777" w:rsidR="009B7D90" w:rsidRPr="009B7D90" w:rsidRDefault="009B7D90" w:rsidP="00F479EF"/>
    <w:p w14:paraId="196CFC5D" w14:textId="1DBA02E5" w:rsidR="009B7D90" w:rsidRDefault="009B7D90" w:rsidP="00334AAA">
      <w:pPr>
        <w:tabs>
          <w:tab w:val="left" w:pos="5925"/>
        </w:tabs>
        <w:rPr>
          <w:rFonts w:ascii="Helvetica" w:hAnsi="Helvetica"/>
          <w:sz w:val="22"/>
          <w:szCs w:val="22"/>
        </w:rPr>
      </w:pPr>
      <w:r>
        <w:rPr>
          <w:rFonts w:ascii="Helvetica" w:hAnsi="Helvetica"/>
          <w:sz w:val="22"/>
          <w:szCs w:val="22"/>
        </w:rPr>
        <w:br w:type="page"/>
      </w:r>
    </w:p>
    <w:p w14:paraId="7806FE7E" w14:textId="579C9162" w:rsidR="009B7D90" w:rsidRDefault="00F479EF" w:rsidP="00F479EF">
      <w:pPr>
        <w:tabs>
          <w:tab w:val="left" w:pos="5925"/>
        </w:tabs>
        <w:jc w:val="center"/>
        <w:rPr>
          <w:rFonts w:ascii="Helvetica" w:hAnsi="Helvetica"/>
          <w:sz w:val="22"/>
          <w:szCs w:val="22"/>
        </w:rPr>
      </w:pPr>
      <w:r>
        <w:rPr>
          <w:rFonts w:ascii="Helvetica" w:hAnsi="Helvetica"/>
          <w:sz w:val="22"/>
          <w:szCs w:val="22"/>
        </w:rPr>
        <w:lastRenderedPageBreak/>
        <w:t>Page left intentionally blank.</w:t>
      </w:r>
    </w:p>
    <w:p w14:paraId="6576D906" w14:textId="245CCF81" w:rsidR="009B7D90" w:rsidRPr="00F479EF" w:rsidRDefault="009B7D90" w:rsidP="00F479EF">
      <w:pPr>
        <w:tabs>
          <w:tab w:val="left" w:pos="5925"/>
        </w:tabs>
        <w:sectPr w:rsidR="009B7D90" w:rsidRPr="00F479EF" w:rsidSect="006013DE">
          <w:headerReference w:type="even" r:id="rId11"/>
          <w:headerReference w:type="default" r:id="rId12"/>
          <w:footerReference w:type="even" r:id="rId13"/>
          <w:footerReference w:type="default" r:id="rId14"/>
          <w:headerReference w:type="first" r:id="rId15"/>
          <w:pgSz w:w="12240" w:h="15840"/>
          <w:pgMar w:top="1800" w:right="1080" w:bottom="1440" w:left="1080" w:header="432" w:footer="389" w:gutter="0"/>
          <w:cols w:space="720"/>
          <w:titlePg/>
          <w:docGrid w:linePitch="360"/>
        </w:sectPr>
      </w:pPr>
      <w:r>
        <w:tab/>
      </w:r>
    </w:p>
    <w:sdt>
      <w:sdtPr>
        <w:rPr>
          <w:rFonts w:ascii="Palatino" w:eastAsia="MS Mincho" w:hAnsi="Palatino"/>
          <w:color w:val="auto"/>
          <w:spacing w:val="0"/>
          <w:kern w:val="0"/>
          <w:sz w:val="20"/>
          <w:szCs w:val="24"/>
        </w:rPr>
        <w:id w:val="290714578"/>
        <w:docPartObj>
          <w:docPartGallery w:val="Table of Contents"/>
          <w:docPartUnique/>
        </w:docPartObj>
      </w:sdtPr>
      <w:sdtEndPr>
        <w:rPr>
          <w:b/>
          <w:bCs/>
          <w:noProof/>
        </w:rPr>
      </w:sdtEndPr>
      <w:sdtContent>
        <w:p w14:paraId="1B709F49" w14:textId="77777777" w:rsidR="00BF44FB" w:rsidRDefault="00BF44FB" w:rsidP="00C67AFD">
          <w:pPr>
            <w:pStyle w:val="TOCHeading"/>
            <w:jc w:val="both"/>
          </w:pPr>
          <w:r>
            <w:t>Table of Contents</w:t>
          </w:r>
        </w:p>
        <w:p w14:paraId="1B1D8A2D" w14:textId="550D5F97" w:rsidR="001062B2" w:rsidRDefault="00FF105E">
          <w:pPr>
            <w:pStyle w:val="TOC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53270084" w:history="1">
            <w:r w:rsidR="001062B2" w:rsidRPr="00887EE6">
              <w:rPr>
                <w:rStyle w:val="Hyperlink"/>
              </w:rPr>
              <w:t>1.</w:t>
            </w:r>
            <w:r w:rsidR="001062B2">
              <w:rPr>
                <w:rFonts w:asciiTheme="minorHAnsi" w:eastAsiaTheme="minorEastAsia" w:hAnsiTheme="minorHAnsi" w:cstheme="minorBidi"/>
                <w:kern w:val="2"/>
                <w:sz w:val="22"/>
                <w:szCs w:val="22"/>
                <w14:ligatures w14:val="standardContextual"/>
              </w:rPr>
              <w:tab/>
            </w:r>
            <w:r w:rsidR="001062B2" w:rsidRPr="00887EE6">
              <w:rPr>
                <w:rStyle w:val="Hyperlink"/>
              </w:rPr>
              <w:t>Purpose</w:t>
            </w:r>
            <w:r w:rsidR="001062B2">
              <w:rPr>
                <w:webHidden/>
              </w:rPr>
              <w:tab/>
            </w:r>
            <w:r w:rsidR="001062B2">
              <w:rPr>
                <w:webHidden/>
              </w:rPr>
              <w:fldChar w:fldCharType="begin"/>
            </w:r>
            <w:r w:rsidR="001062B2">
              <w:rPr>
                <w:webHidden/>
              </w:rPr>
              <w:instrText xml:space="preserve"> PAGEREF _Toc153270084 \h </w:instrText>
            </w:r>
            <w:r w:rsidR="001062B2">
              <w:rPr>
                <w:webHidden/>
              </w:rPr>
            </w:r>
            <w:r w:rsidR="001062B2">
              <w:rPr>
                <w:webHidden/>
              </w:rPr>
              <w:fldChar w:fldCharType="separate"/>
            </w:r>
            <w:r w:rsidR="001062B2">
              <w:rPr>
                <w:webHidden/>
              </w:rPr>
              <w:t>6</w:t>
            </w:r>
            <w:r w:rsidR="001062B2">
              <w:rPr>
                <w:webHidden/>
              </w:rPr>
              <w:fldChar w:fldCharType="end"/>
            </w:r>
          </w:hyperlink>
        </w:p>
        <w:p w14:paraId="574AAE59" w14:textId="236C4F1D" w:rsidR="001062B2" w:rsidRDefault="00365680">
          <w:pPr>
            <w:pStyle w:val="TOC1"/>
            <w:rPr>
              <w:rFonts w:asciiTheme="minorHAnsi" w:eastAsiaTheme="minorEastAsia" w:hAnsiTheme="minorHAnsi" w:cstheme="minorBidi"/>
              <w:kern w:val="2"/>
              <w:sz w:val="22"/>
              <w:szCs w:val="22"/>
              <w14:ligatures w14:val="standardContextual"/>
            </w:rPr>
          </w:pPr>
          <w:hyperlink w:anchor="_Toc153270085" w:history="1">
            <w:r w:rsidR="001062B2" w:rsidRPr="00887EE6">
              <w:rPr>
                <w:rStyle w:val="Hyperlink"/>
              </w:rPr>
              <w:t>2.</w:t>
            </w:r>
            <w:r w:rsidR="001062B2">
              <w:rPr>
                <w:rFonts w:asciiTheme="minorHAnsi" w:eastAsiaTheme="minorEastAsia" w:hAnsiTheme="minorHAnsi" w:cstheme="minorBidi"/>
                <w:kern w:val="2"/>
                <w:sz w:val="22"/>
                <w:szCs w:val="22"/>
                <w14:ligatures w14:val="standardContextual"/>
              </w:rPr>
              <w:tab/>
            </w:r>
            <w:r w:rsidR="001062B2" w:rsidRPr="00887EE6">
              <w:rPr>
                <w:rStyle w:val="Hyperlink"/>
              </w:rPr>
              <w:t>Scope</w:t>
            </w:r>
            <w:r w:rsidR="001062B2">
              <w:rPr>
                <w:webHidden/>
              </w:rPr>
              <w:tab/>
            </w:r>
            <w:r w:rsidR="001062B2">
              <w:rPr>
                <w:webHidden/>
              </w:rPr>
              <w:fldChar w:fldCharType="begin"/>
            </w:r>
            <w:r w:rsidR="001062B2">
              <w:rPr>
                <w:webHidden/>
              </w:rPr>
              <w:instrText xml:space="preserve"> PAGEREF _Toc153270085 \h </w:instrText>
            </w:r>
            <w:r w:rsidR="001062B2">
              <w:rPr>
                <w:webHidden/>
              </w:rPr>
            </w:r>
            <w:r w:rsidR="001062B2">
              <w:rPr>
                <w:webHidden/>
              </w:rPr>
              <w:fldChar w:fldCharType="separate"/>
            </w:r>
            <w:r w:rsidR="001062B2">
              <w:rPr>
                <w:webHidden/>
              </w:rPr>
              <w:t>6</w:t>
            </w:r>
            <w:r w:rsidR="001062B2">
              <w:rPr>
                <w:webHidden/>
              </w:rPr>
              <w:fldChar w:fldCharType="end"/>
            </w:r>
          </w:hyperlink>
        </w:p>
        <w:p w14:paraId="670F698A" w14:textId="1E34D58C" w:rsidR="001062B2" w:rsidRDefault="00365680">
          <w:pPr>
            <w:pStyle w:val="TOC1"/>
            <w:rPr>
              <w:rFonts w:asciiTheme="minorHAnsi" w:eastAsiaTheme="minorEastAsia" w:hAnsiTheme="minorHAnsi" w:cstheme="minorBidi"/>
              <w:kern w:val="2"/>
              <w:sz w:val="22"/>
              <w:szCs w:val="22"/>
              <w14:ligatures w14:val="standardContextual"/>
            </w:rPr>
          </w:pPr>
          <w:hyperlink w:anchor="_Toc153270086" w:history="1">
            <w:r w:rsidR="001062B2" w:rsidRPr="00887EE6">
              <w:rPr>
                <w:rStyle w:val="Hyperlink"/>
              </w:rPr>
              <w:t>3.</w:t>
            </w:r>
            <w:r w:rsidR="001062B2">
              <w:rPr>
                <w:rFonts w:asciiTheme="minorHAnsi" w:eastAsiaTheme="minorEastAsia" w:hAnsiTheme="minorHAnsi" w:cstheme="minorBidi"/>
                <w:kern w:val="2"/>
                <w:sz w:val="22"/>
                <w:szCs w:val="22"/>
                <w14:ligatures w14:val="standardContextual"/>
              </w:rPr>
              <w:tab/>
            </w:r>
            <w:r w:rsidR="001062B2" w:rsidRPr="00887EE6">
              <w:rPr>
                <w:rStyle w:val="Hyperlink"/>
              </w:rPr>
              <w:t>Acronyms</w:t>
            </w:r>
            <w:r w:rsidR="001062B2">
              <w:rPr>
                <w:webHidden/>
              </w:rPr>
              <w:tab/>
            </w:r>
            <w:r w:rsidR="001062B2">
              <w:rPr>
                <w:webHidden/>
              </w:rPr>
              <w:fldChar w:fldCharType="begin"/>
            </w:r>
            <w:r w:rsidR="001062B2">
              <w:rPr>
                <w:webHidden/>
              </w:rPr>
              <w:instrText xml:space="preserve"> PAGEREF _Toc153270086 \h </w:instrText>
            </w:r>
            <w:r w:rsidR="001062B2">
              <w:rPr>
                <w:webHidden/>
              </w:rPr>
            </w:r>
            <w:r w:rsidR="001062B2">
              <w:rPr>
                <w:webHidden/>
              </w:rPr>
              <w:fldChar w:fldCharType="separate"/>
            </w:r>
            <w:r w:rsidR="001062B2">
              <w:rPr>
                <w:webHidden/>
              </w:rPr>
              <w:t>6</w:t>
            </w:r>
            <w:r w:rsidR="001062B2">
              <w:rPr>
                <w:webHidden/>
              </w:rPr>
              <w:fldChar w:fldCharType="end"/>
            </w:r>
          </w:hyperlink>
        </w:p>
        <w:p w14:paraId="5550D1D6" w14:textId="3AE651FF" w:rsidR="001062B2" w:rsidRDefault="00365680">
          <w:pPr>
            <w:pStyle w:val="TOC1"/>
            <w:rPr>
              <w:rFonts w:asciiTheme="minorHAnsi" w:eastAsiaTheme="minorEastAsia" w:hAnsiTheme="minorHAnsi" w:cstheme="minorBidi"/>
              <w:kern w:val="2"/>
              <w:sz w:val="22"/>
              <w:szCs w:val="22"/>
              <w14:ligatures w14:val="standardContextual"/>
            </w:rPr>
          </w:pPr>
          <w:hyperlink w:anchor="_Toc153270087" w:history="1">
            <w:r w:rsidR="001062B2" w:rsidRPr="00887EE6">
              <w:rPr>
                <w:rStyle w:val="Hyperlink"/>
              </w:rPr>
              <w:t>4.</w:t>
            </w:r>
            <w:r w:rsidR="001062B2">
              <w:rPr>
                <w:rFonts w:asciiTheme="minorHAnsi" w:eastAsiaTheme="minorEastAsia" w:hAnsiTheme="minorHAnsi" w:cstheme="minorBidi"/>
                <w:kern w:val="2"/>
                <w:sz w:val="22"/>
                <w:szCs w:val="22"/>
                <w14:ligatures w14:val="standardContextual"/>
              </w:rPr>
              <w:tab/>
            </w:r>
            <w:r w:rsidR="001062B2" w:rsidRPr="00887EE6">
              <w:rPr>
                <w:rStyle w:val="Hyperlink"/>
              </w:rPr>
              <w:t>Overview</w:t>
            </w:r>
            <w:r w:rsidR="001062B2">
              <w:rPr>
                <w:webHidden/>
              </w:rPr>
              <w:tab/>
            </w:r>
            <w:r w:rsidR="001062B2">
              <w:rPr>
                <w:webHidden/>
              </w:rPr>
              <w:fldChar w:fldCharType="begin"/>
            </w:r>
            <w:r w:rsidR="001062B2">
              <w:rPr>
                <w:webHidden/>
              </w:rPr>
              <w:instrText xml:space="preserve"> PAGEREF _Toc153270087 \h </w:instrText>
            </w:r>
            <w:r w:rsidR="001062B2">
              <w:rPr>
                <w:webHidden/>
              </w:rPr>
            </w:r>
            <w:r w:rsidR="001062B2">
              <w:rPr>
                <w:webHidden/>
              </w:rPr>
              <w:fldChar w:fldCharType="separate"/>
            </w:r>
            <w:r w:rsidR="001062B2">
              <w:rPr>
                <w:webHidden/>
              </w:rPr>
              <w:t>7</w:t>
            </w:r>
            <w:r w:rsidR="001062B2">
              <w:rPr>
                <w:webHidden/>
              </w:rPr>
              <w:fldChar w:fldCharType="end"/>
            </w:r>
          </w:hyperlink>
        </w:p>
        <w:p w14:paraId="188EDE81" w14:textId="6080CC73" w:rsidR="001062B2" w:rsidRDefault="00365680">
          <w:pPr>
            <w:pStyle w:val="TOC1"/>
            <w:rPr>
              <w:rFonts w:asciiTheme="minorHAnsi" w:eastAsiaTheme="minorEastAsia" w:hAnsiTheme="minorHAnsi" w:cstheme="minorBidi"/>
              <w:kern w:val="2"/>
              <w:sz w:val="22"/>
              <w:szCs w:val="22"/>
              <w14:ligatures w14:val="standardContextual"/>
            </w:rPr>
          </w:pPr>
          <w:hyperlink w:anchor="_Toc153270088" w:history="1">
            <w:r w:rsidR="001062B2" w:rsidRPr="00887EE6">
              <w:rPr>
                <w:rStyle w:val="Hyperlink"/>
              </w:rPr>
              <w:t>5.</w:t>
            </w:r>
            <w:r w:rsidR="001062B2">
              <w:rPr>
                <w:rFonts w:asciiTheme="minorHAnsi" w:eastAsiaTheme="minorEastAsia" w:hAnsiTheme="minorHAnsi" w:cstheme="minorBidi"/>
                <w:kern w:val="2"/>
                <w:sz w:val="22"/>
                <w:szCs w:val="22"/>
                <w14:ligatures w14:val="standardContextual"/>
              </w:rPr>
              <w:tab/>
            </w:r>
            <w:r w:rsidR="001062B2" w:rsidRPr="00887EE6">
              <w:rPr>
                <w:rStyle w:val="Hyperlink"/>
              </w:rPr>
              <w:t>Basis for the requirements</w:t>
            </w:r>
            <w:r w:rsidR="001062B2">
              <w:rPr>
                <w:webHidden/>
              </w:rPr>
              <w:tab/>
            </w:r>
            <w:r w:rsidR="001062B2">
              <w:rPr>
                <w:webHidden/>
              </w:rPr>
              <w:fldChar w:fldCharType="begin"/>
            </w:r>
            <w:r w:rsidR="001062B2">
              <w:rPr>
                <w:webHidden/>
              </w:rPr>
              <w:instrText xml:space="preserve"> PAGEREF _Toc153270088 \h </w:instrText>
            </w:r>
            <w:r w:rsidR="001062B2">
              <w:rPr>
                <w:webHidden/>
              </w:rPr>
            </w:r>
            <w:r w:rsidR="001062B2">
              <w:rPr>
                <w:webHidden/>
              </w:rPr>
              <w:fldChar w:fldCharType="separate"/>
            </w:r>
            <w:r w:rsidR="001062B2">
              <w:rPr>
                <w:webHidden/>
              </w:rPr>
              <w:t>8</w:t>
            </w:r>
            <w:r w:rsidR="001062B2">
              <w:rPr>
                <w:webHidden/>
              </w:rPr>
              <w:fldChar w:fldCharType="end"/>
            </w:r>
          </w:hyperlink>
        </w:p>
        <w:p w14:paraId="3BFAB396" w14:textId="6617AEDF" w:rsidR="001062B2" w:rsidRDefault="00365680">
          <w:pPr>
            <w:pStyle w:val="TOC1"/>
            <w:rPr>
              <w:rFonts w:asciiTheme="minorHAnsi" w:eastAsiaTheme="minorEastAsia" w:hAnsiTheme="minorHAnsi" w:cstheme="minorBidi"/>
              <w:kern w:val="2"/>
              <w:sz w:val="22"/>
              <w:szCs w:val="22"/>
              <w14:ligatures w14:val="standardContextual"/>
            </w:rPr>
          </w:pPr>
          <w:hyperlink w:anchor="_Toc153270089" w:history="1">
            <w:r w:rsidR="001062B2" w:rsidRPr="00887EE6">
              <w:rPr>
                <w:rStyle w:val="Hyperlink"/>
              </w:rPr>
              <w:t>6.</w:t>
            </w:r>
            <w:r w:rsidR="001062B2">
              <w:rPr>
                <w:rFonts w:asciiTheme="minorHAnsi" w:eastAsiaTheme="minorEastAsia" w:hAnsiTheme="minorHAnsi" w:cstheme="minorBidi"/>
                <w:kern w:val="2"/>
                <w:sz w:val="22"/>
                <w:szCs w:val="22"/>
                <w14:ligatures w14:val="standardContextual"/>
              </w:rPr>
              <w:tab/>
            </w:r>
            <w:r w:rsidR="001062B2" w:rsidRPr="00887EE6">
              <w:rPr>
                <w:rStyle w:val="Hyperlink"/>
              </w:rPr>
              <w:t>Residual Vacuum Pressure Requirements for Beam Line Components</w:t>
            </w:r>
            <w:r w:rsidR="001062B2">
              <w:rPr>
                <w:webHidden/>
              </w:rPr>
              <w:tab/>
            </w:r>
            <w:r w:rsidR="001062B2">
              <w:rPr>
                <w:webHidden/>
              </w:rPr>
              <w:fldChar w:fldCharType="begin"/>
            </w:r>
            <w:r w:rsidR="001062B2">
              <w:rPr>
                <w:webHidden/>
              </w:rPr>
              <w:instrText xml:space="preserve"> PAGEREF _Toc153270089 \h </w:instrText>
            </w:r>
            <w:r w:rsidR="001062B2">
              <w:rPr>
                <w:webHidden/>
              </w:rPr>
            </w:r>
            <w:r w:rsidR="001062B2">
              <w:rPr>
                <w:webHidden/>
              </w:rPr>
              <w:fldChar w:fldCharType="separate"/>
            </w:r>
            <w:r w:rsidR="001062B2">
              <w:rPr>
                <w:webHidden/>
              </w:rPr>
              <w:t>8</w:t>
            </w:r>
            <w:r w:rsidR="001062B2">
              <w:rPr>
                <w:webHidden/>
              </w:rPr>
              <w:fldChar w:fldCharType="end"/>
            </w:r>
          </w:hyperlink>
        </w:p>
        <w:p w14:paraId="1BC8483A" w14:textId="7A651B92" w:rsidR="001062B2" w:rsidRDefault="00365680">
          <w:pPr>
            <w:pStyle w:val="TOC1"/>
            <w:rPr>
              <w:rFonts w:asciiTheme="minorHAnsi" w:eastAsiaTheme="minorEastAsia" w:hAnsiTheme="minorHAnsi" w:cstheme="minorBidi"/>
              <w:kern w:val="2"/>
              <w:sz w:val="22"/>
              <w:szCs w:val="22"/>
              <w14:ligatures w14:val="standardContextual"/>
            </w:rPr>
          </w:pPr>
          <w:hyperlink w:anchor="_Toc153270090" w:history="1">
            <w:r w:rsidR="001062B2" w:rsidRPr="00887EE6">
              <w:rPr>
                <w:rStyle w:val="Hyperlink"/>
              </w:rPr>
              <w:t>7.</w:t>
            </w:r>
            <w:r w:rsidR="001062B2">
              <w:rPr>
                <w:rFonts w:asciiTheme="minorHAnsi" w:eastAsiaTheme="minorEastAsia" w:hAnsiTheme="minorHAnsi" w:cstheme="minorBidi"/>
                <w:kern w:val="2"/>
                <w:sz w:val="22"/>
                <w:szCs w:val="22"/>
                <w14:ligatures w14:val="standardContextual"/>
              </w:rPr>
              <w:tab/>
            </w:r>
            <w:r w:rsidR="001062B2" w:rsidRPr="00887EE6">
              <w:rPr>
                <w:rStyle w:val="Hyperlink"/>
              </w:rPr>
              <w:t>Fast Acting Valves (FAV)</w:t>
            </w:r>
            <w:r w:rsidR="001062B2">
              <w:rPr>
                <w:webHidden/>
              </w:rPr>
              <w:tab/>
            </w:r>
            <w:r w:rsidR="001062B2">
              <w:rPr>
                <w:webHidden/>
              </w:rPr>
              <w:fldChar w:fldCharType="begin"/>
            </w:r>
            <w:r w:rsidR="001062B2">
              <w:rPr>
                <w:webHidden/>
              </w:rPr>
              <w:instrText xml:space="preserve"> PAGEREF _Toc153270090 \h </w:instrText>
            </w:r>
            <w:r w:rsidR="001062B2">
              <w:rPr>
                <w:webHidden/>
              </w:rPr>
            </w:r>
            <w:r w:rsidR="001062B2">
              <w:rPr>
                <w:webHidden/>
              </w:rPr>
              <w:fldChar w:fldCharType="separate"/>
            </w:r>
            <w:r w:rsidR="001062B2">
              <w:rPr>
                <w:webHidden/>
              </w:rPr>
              <w:t>9</w:t>
            </w:r>
            <w:r w:rsidR="001062B2">
              <w:rPr>
                <w:webHidden/>
              </w:rPr>
              <w:fldChar w:fldCharType="end"/>
            </w:r>
          </w:hyperlink>
        </w:p>
        <w:p w14:paraId="6D879E87" w14:textId="012D53E8" w:rsidR="001062B2" w:rsidRDefault="00365680">
          <w:pPr>
            <w:pStyle w:val="TOC1"/>
            <w:rPr>
              <w:rFonts w:asciiTheme="minorHAnsi" w:eastAsiaTheme="minorEastAsia" w:hAnsiTheme="minorHAnsi" w:cstheme="minorBidi"/>
              <w:kern w:val="2"/>
              <w:sz w:val="22"/>
              <w:szCs w:val="22"/>
              <w14:ligatures w14:val="standardContextual"/>
            </w:rPr>
          </w:pPr>
          <w:hyperlink w:anchor="_Toc153270091" w:history="1">
            <w:r w:rsidR="001062B2" w:rsidRPr="00887EE6">
              <w:rPr>
                <w:rStyle w:val="Hyperlink"/>
              </w:rPr>
              <w:t>8.</w:t>
            </w:r>
            <w:r w:rsidR="001062B2">
              <w:rPr>
                <w:rFonts w:asciiTheme="minorHAnsi" w:eastAsiaTheme="minorEastAsia" w:hAnsiTheme="minorHAnsi" w:cstheme="minorBidi"/>
                <w:kern w:val="2"/>
                <w:sz w:val="22"/>
                <w:szCs w:val="22"/>
                <w14:ligatures w14:val="standardContextual"/>
              </w:rPr>
              <w:tab/>
            </w:r>
            <w:r w:rsidR="001062B2" w:rsidRPr="00887EE6">
              <w:rPr>
                <w:rStyle w:val="Hyperlink"/>
              </w:rPr>
              <w:t>Particulate free area definitions</w:t>
            </w:r>
            <w:r w:rsidR="001062B2">
              <w:rPr>
                <w:webHidden/>
              </w:rPr>
              <w:tab/>
            </w:r>
            <w:r w:rsidR="001062B2">
              <w:rPr>
                <w:webHidden/>
              </w:rPr>
              <w:fldChar w:fldCharType="begin"/>
            </w:r>
            <w:r w:rsidR="001062B2">
              <w:rPr>
                <w:webHidden/>
              </w:rPr>
              <w:instrText xml:space="preserve"> PAGEREF _Toc153270091 \h </w:instrText>
            </w:r>
            <w:r w:rsidR="001062B2">
              <w:rPr>
                <w:webHidden/>
              </w:rPr>
            </w:r>
            <w:r w:rsidR="001062B2">
              <w:rPr>
                <w:webHidden/>
              </w:rPr>
              <w:fldChar w:fldCharType="separate"/>
            </w:r>
            <w:r w:rsidR="001062B2">
              <w:rPr>
                <w:webHidden/>
              </w:rPr>
              <w:t>9</w:t>
            </w:r>
            <w:r w:rsidR="001062B2">
              <w:rPr>
                <w:webHidden/>
              </w:rPr>
              <w:fldChar w:fldCharType="end"/>
            </w:r>
          </w:hyperlink>
        </w:p>
        <w:p w14:paraId="06D9897F" w14:textId="2F8606AF" w:rsidR="001062B2" w:rsidRDefault="00365680" w:rsidP="001062B2">
          <w:pPr>
            <w:pStyle w:val="TOC2"/>
            <w:rPr>
              <w:rFonts w:asciiTheme="minorHAnsi" w:eastAsiaTheme="minorEastAsia" w:hAnsiTheme="minorHAnsi" w:cstheme="minorBidi"/>
              <w:kern w:val="2"/>
              <w:szCs w:val="22"/>
              <w14:ligatures w14:val="standardContextual"/>
            </w:rPr>
          </w:pPr>
          <w:hyperlink w:anchor="_Toc153270092" w:history="1">
            <w:r w:rsidR="001062B2" w:rsidRPr="00887EE6">
              <w:rPr>
                <w:rStyle w:val="Hyperlink"/>
              </w:rPr>
              <w:t>8.1.</w:t>
            </w:r>
            <w:r w:rsidR="001062B2">
              <w:rPr>
                <w:rFonts w:asciiTheme="minorHAnsi" w:eastAsiaTheme="minorEastAsia" w:hAnsiTheme="minorHAnsi" w:cstheme="minorBidi"/>
                <w:kern w:val="2"/>
                <w:szCs w:val="22"/>
                <w14:ligatures w14:val="standardContextual"/>
              </w:rPr>
              <w:tab/>
            </w:r>
            <w:r w:rsidR="001062B2" w:rsidRPr="00887EE6">
              <w:rPr>
                <w:rStyle w:val="Hyperlink"/>
              </w:rPr>
              <w:t>Definition of particulate-free environment and procedures</w:t>
            </w:r>
            <w:r w:rsidR="001062B2">
              <w:rPr>
                <w:webHidden/>
              </w:rPr>
              <w:tab/>
            </w:r>
            <w:r w:rsidR="001062B2">
              <w:rPr>
                <w:webHidden/>
              </w:rPr>
              <w:fldChar w:fldCharType="begin"/>
            </w:r>
            <w:r w:rsidR="001062B2">
              <w:rPr>
                <w:webHidden/>
              </w:rPr>
              <w:instrText xml:space="preserve"> PAGEREF _Toc153270092 \h </w:instrText>
            </w:r>
            <w:r w:rsidR="001062B2">
              <w:rPr>
                <w:webHidden/>
              </w:rPr>
            </w:r>
            <w:r w:rsidR="001062B2">
              <w:rPr>
                <w:webHidden/>
              </w:rPr>
              <w:fldChar w:fldCharType="separate"/>
            </w:r>
            <w:r w:rsidR="001062B2">
              <w:rPr>
                <w:webHidden/>
              </w:rPr>
              <w:t>9</w:t>
            </w:r>
            <w:r w:rsidR="001062B2">
              <w:rPr>
                <w:webHidden/>
              </w:rPr>
              <w:fldChar w:fldCharType="end"/>
            </w:r>
          </w:hyperlink>
        </w:p>
        <w:p w14:paraId="627C88B4" w14:textId="458321E6" w:rsidR="001062B2" w:rsidRDefault="00365680" w:rsidP="001062B2">
          <w:pPr>
            <w:pStyle w:val="TOC2"/>
            <w:rPr>
              <w:rFonts w:asciiTheme="minorHAnsi" w:eastAsiaTheme="minorEastAsia" w:hAnsiTheme="minorHAnsi" w:cstheme="minorBidi"/>
              <w:kern w:val="2"/>
              <w:szCs w:val="22"/>
              <w14:ligatures w14:val="standardContextual"/>
            </w:rPr>
          </w:pPr>
          <w:hyperlink w:anchor="_Toc153270093" w:history="1">
            <w:r w:rsidR="001062B2" w:rsidRPr="00887EE6">
              <w:rPr>
                <w:rStyle w:val="Hyperlink"/>
              </w:rPr>
              <w:t>8.2.</w:t>
            </w:r>
            <w:r w:rsidR="001062B2">
              <w:rPr>
                <w:rFonts w:asciiTheme="minorHAnsi" w:eastAsiaTheme="minorEastAsia" w:hAnsiTheme="minorHAnsi" w:cstheme="minorBidi"/>
                <w:kern w:val="2"/>
                <w:szCs w:val="22"/>
                <w14:ligatures w14:val="standardContextual"/>
              </w:rPr>
              <w:tab/>
            </w:r>
            <w:r w:rsidR="001062B2" w:rsidRPr="00887EE6">
              <w:rPr>
                <w:rStyle w:val="Hyperlink"/>
              </w:rPr>
              <w:t>Definition of particulate-free areas in the accelerator</w:t>
            </w:r>
            <w:r w:rsidR="001062B2">
              <w:rPr>
                <w:webHidden/>
              </w:rPr>
              <w:tab/>
            </w:r>
            <w:r w:rsidR="001062B2">
              <w:rPr>
                <w:webHidden/>
              </w:rPr>
              <w:fldChar w:fldCharType="begin"/>
            </w:r>
            <w:r w:rsidR="001062B2">
              <w:rPr>
                <w:webHidden/>
              </w:rPr>
              <w:instrText xml:space="preserve"> PAGEREF _Toc153270093 \h </w:instrText>
            </w:r>
            <w:r w:rsidR="001062B2">
              <w:rPr>
                <w:webHidden/>
              </w:rPr>
            </w:r>
            <w:r w:rsidR="001062B2">
              <w:rPr>
                <w:webHidden/>
              </w:rPr>
              <w:fldChar w:fldCharType="separate"/>
            </w:r>
            <w:r w:rsidR="001062B2">
              <w:rPr>
                <w:webHidden/>
              </w:rPr>
              <w:t>10</w:t>
            </w:r>
            <w:r w:rsidR="001062B2">
              <w:rPr>
                <w:webHidden/>
              </w:rPr>
              <w:fldChar w:fldCharType="end"/>
            </w:r>
          </w:hyperlink>
        </w:p>
        <w:p w14:paraId="5E954ABD" w14:textId="591BEA12" w:rsidR="001062B2" w:rsidRDefault="00365680">
          <w:pPr>
            <w:pStyle w:val="TOC1"/>
            <w:rPr>
              <w:rFonts w:asciiTheme="minorHAnsi" w:eastAsiaTheme="minorEastAsia" w:hAnsiTheme="minorHAnsi" w:cstheme="minorBidi"/>
              <w:kern w:val="2"/>
              <w:sz w:val="22"/>
              <w:szCs w:val="22"/>
              <w14:ligatures w14:val="standardContextual"/>
            </w:rPr>
          </w:pPr>
          <w:hyperlink w:anchor="_Toc153270094" w:history="1">
            <w:r w:rsidR="001062B2" w:rsidRPr="00887EE6">
              <w:rPr>
                <w:rStyle w:val="Hyperlink"/>
              </w:rPr>
              <w:t>9.</w:t>
            </w:r>
            <w:r w:rsidR="001062B2">
              <w:rPr>
                <w:rFonts w:asciiTheme="minorHAnsi" w:eastAsiaTheme="minorEastAsia" w:hAnsiTheme="minorHAnsi" w:cstheme="minorBidi"/>
                <w:kern w:val="2"/>
                <w:sz w:val="22"/>
                <w:szCs w:val="22"/>
                <w14:ligatures w14:val="standardContextual"/>
              </w:rPr>
              <w:tab/>
            </w:r>
            <w:r w:rsidR="001062B2" w:rsidRPr="00887EE6">
              <w:rPr>
                <w:rStyle w:val="Hyperlink"/>
              </w:rPr>
              <w:t>Operational interlock (any sensors must meet this specification) requirements</w:t>
            </w:r>
            <w:r w:rsidR="001062B2">
              <w:rPr>
                <w:webHidden/>
              </w:rPr>
              <w:tab/>
            </w:r>
            <w:r w:rsidR="001062B2">
              <w:rPr>
                <w:webHidden/>
              </w:rPr>
              <w:fldChar w:fldCharType="begin"/>
            </w:r>
            <w:r w:rsidR="001062B2">
              <w:rPr>
                <w:webHidden/>
              </w:rPr>
              <w:instrText xml:space="preserve"> PAGEREF _Toc153270094 \h </w:instrText>
            </w:r>
            <w:r w:rsidR="001062B2">
              <w:rPr>
                <w:webHidden/>
              </w:rPr>
            </w:r>
            <w:r w:rsidR="001062B2">
              <w:rPr>
                <w:webHidden/>
              </w:rPr>
              <w:fldChar w:fldCharType="separate"/>
            </w:r>
            <w:r w:rsidR="001062B2">
              <w:rPr>
                <w:webHidden/>
              </w:rPr>
              <w:t>10</w:t>
            </w:r>
            <w:r w:rsidR="001062B2">
              <w:rPr>
                <w:webHidden/>
              </w:rPr>
              <w:fldChar w:fldCharType="end"/>
            </w:r>
          </w:hyperlink>
        </w:p>
        <w:p w14:paraId="20611D56" w14:textId="28A835BD" w:rsidR="001062B2" w:rsidRDefault="00365680" w:rsidP="001062B2">
          <w:pPr>
            <w:pStyle w:val="TOC2"/>
            <w:rPr>
              <w:rFonts w:asciiTheme="minorHAnsi" w:eastAsiaTheme="minorEastAsia" w:hAnsiTheme="minorHAnsi" w:cstheme="minorBidi"/>
              <w:kern w:val="2"/>
              <w:szCs w:val="22"/>
              <w14:ligatures w14:val="standardContextual"/>
            </w:rPr>
          </w:pPr>
          <w:hyperlink w:anchor="_Toc153270095" w:history="1">
            <w:r w:rsidR="001062B2" w:rsidRPr="00887EE6">
              <w:rPr>
                <w:rStyle w:val="Hyperlink"/>
              </w:rPr>
              <w:t>9.1.</w:t>
            </w:r>
            <w:r w:rsidR="001062B2">
              <w:rPr>
                <w:rFonts w:asciiTheme="minorHAnsi" w:eastAsiaTheme="minorEastAsia" w:hAnsiTheme="minorHAnsi" w:cstheme="minorBidi"/>
                <w:kern w:val="2"/>
                <w:szCs w:val="22"/>
                <w14:ligatures w14:val="standardContextual"/>
              </w:rPr>
              <w:tab/>
            </w:r>
            <w:r w:rsidR="001062B2" w:rsidRPr="00887EE6">
              <w:rPr>
                <w:rStyle w:val="Hyperlink"/>
              </w:rPr>
              <w:t>CM-specific operational vacuum requirements</w:t>
            </w:r>
            <w:r w:rsidR="001062B2">
              <w:rPr>
                <w:webHidden/>
              </w:rPr>
              <w:tab/>
            </w:r>
            <w:r w:rsidR="001062B2">
              <w:rPr>
                <w:webHidden/>
              </w:rPr>
              <w:fldChar w:fldCharType="begin"/>
            </w:r>
            <w:r w:rsidR="001062B2">
              <w:rPr>
                <w:webHidden/>
              </w:rPr>
              <w:instrText xml:space="preserve"> PAGEREF _Toc153270095 \h </w:instrText>
            </w:r>
            <w:r w:rsidR="001062B2">
              <w:rPr>
                <w:webHidden/>
              </w:rPr>
            </w:r>
            <w:r w:rsidR="001062B2">
              <w:rPr>
                <w:webHidden/>
              </w:rPr>
              <w:fldChar w:fldCharType="separate"/>
            </w:r>
            <w:r w:rsidR="001062B2">
              <w:rPr>
                <w:webHidden/>
              </w:rPr>
              <w:t>10</w:t>
            </w:r>
            <w:r w:rsidR="001062B2">
              <w:rPr>
                <w:webHidden/>
              </w:rPr>
              <w:fldChar w:fldCharType="end"/>
            </w:r>
          </w:hyperlink>
        </w:p>
        <w:p w14:paraId="48AF3C91" w14:textId="7F122F21" w:rsidR="001062B2" w:rsidRDefault="00365680" w:rsidP="001062B2">
          <w:pPr>
            <w:pStyle w:val="TOC2"/>
            <w:rPr>
              <w:rFonts w:asciiTheme="minorHAnsi" w:eastAsiaTheme="minorEastAsia" w:hAnsiTheme="minorHAnsi" w:cstheme="minorBidi"/>
              <w:kern w:val="2"/>
              <w:szCs w:val="22"/>
              <w14:ligatures w14:val="standardContextual"/>
            </w:rPr>
          </w:pPr>
          <w:hyperlink w:anchor="_Toc153270096" w:history="1">
            <w:r w:rsidR="001062B2" w:rsidRPr="00887EE6">
              <w:rPr>
                <w:rStyle w:val="Hyperlink"/>
              </w:rPr>
              <w:t>9.2.</w:t>
            </w:r>
            <w:r w:rsidR="001062B2">
              <w:rPr>
                <w:rFonts w:asciiTheme="minorHAnsi" w:eastAsiaTheme="minorEastAsia" w:hAnsiTheme="minorHAnsi" w:cstheme="minorBidi"/>
                <w:kern w:val="2"/>
                <w:szCs w:val="22"/>
                <w14:ligatures w14:val="standardContextual"/>
              </w:rPr>
              <w:tab/>
            </w:r>
            <w:r w:rsidR="001062B2" w:rsidRPr="00887EE6">
              <w:rPr>
                <w:rStyle w:val="Hyperlink"/>
              </w:rPr>
              <w:t>Non-CM beam line operational requirements</w:t>
            </w:r>
            <w:r w:rsidR="001062B2">
              <w:rPr>
                <w:webHidden/>
              </w:rPr>
              <w:tab/>
            </w:r>
            <w:r w:rsidR="001062B2">
              <w:rPr>
                <w:webHidden/>
              </w:rPr>
              <w:fldChar w:fldCharType="begin"/>
            </w:r>
            <w:r w:rsidR="001062B2">
              <w:rPr>
                <w:webHidden/>
              </w:rPr>
              <w:instrText xml:space="preserve"> PAGEREF _Toc153270096 \h </w:instrText>
            </w:r>
            <w:r w:rsidR="001062B2">
              <w:rPr>
                <w:webHidden/>
              </w:rPr>
            </w:r>
            <w:r w:rsidR="001062B2">
              <w:rPr>
                <w:webHidden/>
              </w:rPr>
              <w:fldChar w:fldCharType="separate"/>
            </w:r>
            <w:r w:rsidR="001062B2">
              <w:rPr>
                <w:webHidden/>
              </w:rPr>
              <w:t>10</w:t>
            </w:r>
            <w:r w:rsidR="001062B2">
              <w:rPr>
                <w:webHidden/>
              </w:rPr>
              <w:fldChar w:fldCharType="end"/>
            </w:r>
          </w:hyperlink>
        </w:p>
        <w:p w14:paraId="05B355BB" w14:textId="7CBAEC14" w:rsidR="001062B2" w:rsidRDefault="00365680">
          <w:pPr>
            <w:pStyle w:val="TOC1"/>
            <w:rPr>
              <w:rFonts w:asciiTheme="minorHAnsi" w:eastAsiaTheme="minorEastAsia" w:hAnsiTheme="minorHAnsi" w:cstheme="minorBidi"/>
              <w:kern w:val="2"/>
              <w:sz w:val="22"/>
              <w:szCs w:val="22"/>
              <w14:ligatures w14:val="standardContextual"/>
            </w:rPr>
          </w:pPr>
          <w:hyperlink w:anchor="_Toc153270097" w:history="1">
            <w:r w:rsidR="001062B2" w:rsidRPr="00887EE6">
              <w:rPr>
                <w:rStyle w:val="Hyperlink"/>
              </w:rPr>
              <w:t>10.</w:t>
            </w:r>
            <w:r w:rsidR="001062B2">
              <w:rPr>
                <w:rFonts w:asciiTheme="minorHAnsi" w:eastAsiaTheme="minorEastAsia" w:hAnsiTheme="minorHAnsi" w:cstheme="minorBidi"/>
                <w:kern w:val="2"/>
                <w:sz w:val="22"/>
                <w:szCs w:val="22"/>
                <w14:ligatures w14:val="standardContextual"/>
              </w:rPr>
              <w:tab/>
            </w:r>
            <w:r w:rsidR="001062B2" w:rsidRPr="00887EE6">
              <w:rPr>
                <w:rStyle w:val="Hyperlink"/>
              </w:rPr>
              <w:t>Component and material vacuum requirements</w:t>
            </w:r>
            <w:r w:rsidR="001062B2">
              <w:rPr>
                <w:webHidden/>
              </w:rPr>
              <w:tab/>
            </w:r>
            <w:r w:rsidR="001062B2">
              <w:rPr>
                <w:webHidden/>
              </w:rPr>
              <w:fldChar w:fldCharType="begin"/>
            </w:r>
            <w:r w:rsidR="001062B2">
              <w:rPr>
                <w:webHidden/>
              </w:rPr>
              <w:instrText xml:space="preserve"> PAGEREF _Toc153270097 \h </w:instrText>
            </w:r>
            <w:r w:rsidR="001062B2">
              <w:rPr>
                <w:webHidden/>
              </w:rPr>
            </w:r>
            <w:r w:rsidR="001062B2">
              <w:rPr>
                <w:webHidden/>
              </w:rPr>
              <w:fldChar w:fldCharType="separate"/>
            </w:r>
            <w:r w:rsidR="001062B2">
              <w:rPr>
                <w:webHidden/>
              </w:rPr>
              <w:t>10</w:t>
            </w:r>
            <w:r w:rsidR="001062B2">
              <w:rPr>
                <w:webHidden/>
              </w:rPr>
              <w:fldChar w:fldCharType="end"/>
            </w:r>
          </w:hyperlink>
        </w:p>
        <w:p w14:paraId="4BEC8C3F" w14:textId="2A859ACA" w:rsidR="001062B2" w:rsidRDefault="00365680">
          <w:pPr>
            <w:pStyle w:val="TOC1"/>
            <w:rPr>
              <w:rFonts w:asciiTheme="minorHAnsi" w:eastAsiaTheme="minorEastAsia" w:hAnsiTheme="minorHAnsi" w:cstheme="minorBidi"/>
              <w:kern w:val="2"/>
              <w:sz w:val="22"/>
              <w:szCs w:val="22"/>
              <w14:ligatures w14:val="standardContextual"/>
            </w:rPr>
          </w:pPr>
          <w:hyperlink w:anchor="_Toc153270098" w:history="1">
            <w:r w:rsidR="001062B2" w:rsidRPr="00887EE6">
              <w:rPr>
                <w:rStyle w:val="Hyperlink"/>
              </w:rPr>
              <w:t>11.</w:t>
            </w:r>
            <w:r w:rsidR="001062B2">
              <w:rPr>
                <w:rFonts w:asciiTheme="minorHAnsi" w:eastAsiaTheme="minorEastAsia" w:hAnsiTheme="minorHAnsi" w:cstheme="minorBidi"/>
                <w:kern w:val="2"/>
                <w:sz w:val="22"/>
                <w:szCs w:val="22"/>
                <w14:ligatures w14:val="standardContextual"/>
              </w:rPr>
              <w:tab/>
            </w:r>
            <w:r w:rsidR="001062B2" w:rsidRPr="00887EE6">
              <w:rPr>
                <w:rStyle w:val="Hyperlink"/>
              </w:rPr>
              <w:t>Reference Documents</w:t>
            </w:r>
            <w:r w:rsidR="001062B2">
              <w:rPr>
                <w:webHidden/>
              </w:rPr>
              <w:tab/>
            </w:r>
            <w:r w:rsidR="001062B2">
              <w:rPr>
                <w:webHidden/>
              </w:rPr>
              <w:fldChar w:fldCharType="begin"/>
            </w:r>
            <w:r w:rsidR="001062B2">
              <w:rPr>
                <w:webHidden/>
              </w:rPr>
              <w:instrText xml:space="preserve"> PAGEREF _Toc153270098 \h </w:instrText>
            </w:r>
            <w:r w:rsidR="001062B2">
              <w:rPr>
                <w:webHidden/>
              </w:rPr>
            </w:r>
            <w:r w:rsidR="001062B2">
              <w:rPr>
                <w:webHidden/>
              </w:rPr>
              <w:fldChar w:fldCharType="separate"/>
            </w:r>
            <w:r w:rsidR="001062B2">
              <w:rPr>
                <w:webHidden/>
              </w:rPr>
              <w:t>11</w:t>
            </w:r>
            <w:r w:rsidR="001062B2">
              <w:rPr>
                <w:webHidden/>
              </w:rPr>
              <w:fldChar w:fldCharType="end"/>
            </w:r>
          </w:hyperlink>
        </w:p>
        <w:p w14:paraId="663A35B1" w14:textId="4C1FD49C" w:rsidR="009F247E" w:rsidRPr="00D560C7" w:rsidRDefault="00FF105E" w:rsidP="009F247E">
          <w:pPr>
            <w:jc w:val="both"/>
            <w:rPr>
              <w:rFonts w:ascii="Helvetica" w:hAnsi="Helvetica"/>
              <w:noProof/>
              <w:sz w:val="24"/>
            </w:rPr>
          </w:pPr>
          <w:r>
            <w:rPr>
              <w:rFonts w:ascii="Helvetica" w:hAnsi="Helvetica"/>
              <w:noProof/>
              <w:sz w:val="24"/>
            </w:rPr>
            <w:fldChar w:fldCharType="end"/>
          </w:r>
        </w:p>
      </w:sdtContent>
    </w:sdt>
    <w:bookmarkStart w:id="1" w:name="_Toc514850527" w:displacedByCustomXml="prev"/>
    <w:bookmarkStart w:id="2" w:name="_Toc510692256" w:displacedByCustomXml="prev"/>
    <w:p w14:paraId="612A3885" w14:textId="6EBF5C56" w:rsidR="00D560C7" w:rsidRDefault="00D560C7" w:rsidP="00D560C7">
      <w:pPr>
        <w:pStyle w:val="NotesBody11pt"/>
      </w:pPr>
      <w:bookmarkStart w:id="3" w:name="_Toc509474829"/>
      <w:bookmarkStart w:id="4" w:name="_Toc510692255"/>
      <w:bookmarkStart w:id="5" w:name="_Toc514850526"/>
    </w:p>
    <w:p w14:paraId="3E464FD2" w14:textId="5F1169D7" w:rsidR="00602B08" w:rsidRDefault="00602B08" w:rsidP="00D560C7">
      <w:pPr>
        <w:pStyle w:val="NotesBody11pt"/>
      </w:pPr>
    </w:p>
    <w:p w14:paraId="3A163D9D" w14:textId="02468814" w:rsidR="00602B08" w:rsidRDefault="00602B08" w:rsidP="00D560C7">
      <w:pPr>
        <w:pStyle w:val="NotesBody11pt"/>
      </w:pPr>
    </w:p>
    <w:p w14:paraId="66DF2B26" w14:textId="1A874061" w:rsidR="00602B08" w:rsidRDefault="00602B08" w:rsidP="00D560C7">
      <w:pPr>
        <w:pStyle w:val="NotesBody11pt"/>
      </w:pPr>
    </w:p>
    <w:p w14:paraId="51BD7F1C" w14:textId="6DC24603" w:rsidR="00602B08" w:rsidRDefault="00602B08" w:rsidP="00D560C7">
      <w:pPr>
        <w:pStyle w:val="NotesBody11pt"/>
      </w:pPr>
    </w:p>
    <w:p w14:paraId="5104D00F" w14:textId="40AEA9BD" w:rsidR="00602B08" w:rsidRDefault="00602B08" w:rsidP="00D560C7">
      <w:pPr>
        <w:pStyle w:val="NotesBody11pt"/>
      </w:pPr>
    </w:p>
    <w:p w14:paraId="07B28CC8" w14:textId="67CF9551" w:rsidR="00602B08" w:rsidRDefault="00602B08" w:rsidP="00D560C7">
      <w:pPr>
        <w:pStyle w:val="NotesBody11pt"/>
      </w:pPr>
    </w:p>
    <w:p w14:paraId="21A03B44" w14:textId="1B0E5654" w:rsidR="00602B08" w:rsidRDefault="00602B08" w:rsidP="00D560C7">
      <w:pPr>
        <w:pStyle w:val="NotesBody11pt"/>
      </w:pPr>
    </w:p>
    <w:p w14:paraId="101297F4" w14:textId="345C3166" w:rsidR="00602B08" w:rsidRDefault="00602B08" w:rsidP="00D560C7">
      <w:pPr>
        <w:pStyle w:val="NotesBody11pt"/>
      </w:pPr>
    </w:p>
    <w:p w14:paraId="4FDFF404" w14:textId="07BC4F1C" w:rsidR="00602B08" w:rsidRDefault="00602B08" w:rsidP="00D560C7">
      <w:pPr>
        <w:pStyle w:val="NotesBody11pt"/>
      </w:pPr>
    </w:p>
    <w:p w14:paraId="5E338CCF" w14:textId="7AADBE68" w:rsidR="006C5DE3" w:rsidRDefault="006C5DE3" w:rsidP="00D560C7">
      <w:pPr>
        <w:pStyle w:val="NotesBody11pt"/>
      </w:pPr>
    </w:p>
    <w:p w14:paraId="766E9A7B" w14:textId="77777777" w:rsidR="006C5DE3" w:rsidRDefault="006C5DE3" w:rsidP="00D560C7">
      <w:pPr>
        <w:pStyle w:val="NotesBody11pt"/>
      </w:pPr>
    </w:p>
    <w:p w14:paraId="06BFB8AA" w14:textId="041C0E3B" w:rsidR="00602B08" w:rsidRDefault="00602B08" w:rsidP="00D560C7">
      <w:pPr>
        <w:pStyle w:val="NotesBody11pt"/>
      </w:pPr>
    </w:p>
    <w:p w14:paraId="435A90F3" w14:textId="4987B35B" w:rsidR="00602B08" w:rsidRDefault="00602B08" w:rsidP="00D560C7">
      <w:pPr>
        <w:pStyle w:val="NotesBody11pt"/>
      </w:pPr>
    </w:p>
    <w:p w14:paraId="351182BF" w14:textId="0F055062" w:rsidR="00D560C7" w:rsidRPr="00D560C7" w:rsidRDefault="00D560C7" w:rsidP="00D560C7">
      <w:pPr>
        <w:pStyle w:val="NotesBody11pt"/>
      </w:pPr>
    </w:p>
    <w:p w14:paraId="6BADAE75" w14:textId="2DF0A012" w:rsidR="002E4294" w:rsidRDefault="002E4294" w:rsidP="002E4294">
      <w:pPr>
        <w:pStyle w:val="Heading1"/>
        <w:jc w:val="both"/>
      </w:pPr>
      <w:bookmarkStart w:id="6" w:name="_Toc153270084"/>
      <w:r>
        <w:lastRenderedPageBreak/>
        <w:t>Purpose</w:t>
      </w:r>
      <w:bookmarkEnd w:id="6"/>
    </w:p>
    <w:p w14:paraId="08B6AAC5" w14:textId="05535062" w:rsidR="00C0420B" w:rsidRDefault="004E5ED7" w:rsidP="002E4294">
      <w:pPr>
        <w:pStyle w:val="NotesBody11pt"/>
      </w:pPr>
      <w:r>
        <w:t>Physics Requirement Document</w:t>
      </w:r>
      <w:r w:rsidR="00D231F5">
        <w:t>s</w:t>
      </w:r>
      <w:r>
        <w:t xml:space="preserve"> (PRD</w:t>
      </w:r>
      <w:r w:rsidR="00D231F5">
        <w:t>s</w:t>
      </w:r>
      <w:r>
        <w:t xml:space="preserve">) </w:t>
      </w:r>
      <w:r w:rsidR="00385701">
        <w:t xml:space="preserve">contain the summary parameters and configuration definitions for systems, sub-systems, and devices that impact higher-level </w:t>
      </w:r>
      <w:r w:rsidR="00E62880">
        <w:t>requirements established in the PIP-II Global Requirements Document (GRD)</w:t>
      </w:r>
      <w:r w:rsidR="00B22CA3">
        <w:t xml:space="preserve"> </w:t>
      </w:r>
      <w:r w:rsidR="00EE7204">
        <w:t>[1]</w:t>
      </w:r>
      <w:r w:rsidR="00E62880">
        <w:t>.  PRDs establish a traceable link to lower-level requirements</w:t>
      </w:r>
      <w:r w:rsidR="003F1626">
        <w:t>,</w:t>
      </w:r>
      <w:r w:rsidR="00806EF6">
        <w:t xml:space="preserve"> i.e.</w:t>
      </w:r>
      <w:r w:rsidR="00317FA4">
        <w:t>,</w:t>
      </w:r>
      <w:r w:rsidR="003F1626">
        <w:t xml:space="preserve"> Functional Requirement</w:t>
      </w:r>
      <w:r w:rsidR="003D59D1">
        <w:t>s Specifications (FRSs) and Technical Requirements Specification (TRSs)</w:t>
      </w:r>
      <w:r w:rsidR="00806EF6">
        <w:t>,</w:t>
      </w:r>
      <w:r w:rsidR="00AF64F1">
        <w:t xml:space="preserve"> that affect the PIP-II beam or machine performance.  In the aggreg</w:t>
      </w:r>
      <w:r w:rsidR="002E11BE">
        <w:t>ate, the PRDs for the PIP-II Project contain the essential parameters and configuration developed through the prelimin</w:t>
      </w:r>
      <w:r w:rsidR="002A3EA4">
        <w:t>ary design phase to enable completion of the PIP-II accelerator and complex design.</w:t>
      </w:r>
    </w:p>
    <w:p w14:paraId="05B6B055" w14:textId="0F6F1193" w:rsidR="00D560C7" w:rsidRDefault="00D560C7" w:rsidP="00D560C7">
      <w:pPr>
        <w:pStyle w:val="Heading1"/>
        <w:jc w:val="both"/>
      </w:pPr>
      <w:bookmarkStart w:id="7" w:name="_Toc153270085"/>
      <w:r>
        <w:t>Scope</w:t>
      </w:r>
      <w:bookmarkEnd w:id="3"/>
      <w:bookmarkEnd w:id="4"/>
      <w:bookmarkEnd w:id="5"/>
      <w:bookmarkEnd w:id="7"/>
    </w:p>
    <w:p w14:paraId="08502256" w14:textId="2838E4B8" w:rsidR="00C0420B" w:rsidRPr="009F247E" w:rsidRDefault="00150902" w:rsidP="009F247E">
      <w:pPr>
        <w:pStyle w:val="NotesBody11pt"/>
      </w:pPr>
      <w:r>
        <w:t xml:space="preserve">This document describes the high-level parameters for </w:t>
      </w:r>
      <w:r w:rsidR="007B17F1">
        <w:t xml:space="preserve">the </w:t>
      </w:r>
      <w:r>
        <w:t xml:space="preserve">PIP-II </w:t>
      </w:r>
      <w:r w:rsidR="0094123B">
        <w:t>vacuum</w:t>
      </w:r>
      <w:r w:rsidR="007B17F1">
        <w:t xml:space="preserve"> system</w:t>
      </w:r>
      <w:r w:rsidR="0094123B">
        <w:t>.</w:t>
      </w:r>
    </w:p>
    <w:p w14:paraId="182E9603" w14:textId="1F743A2D" w:rsidR="004636B0" w:rsidRPr="004636B0" w:rsidRDefault="00FA1792" w:rsidP="004636B0">
      <w:pPr>
        <w:pStyle w:val="Heading1"/>
        <w:jc w:val="both"/>
      </w:pPr>
      <w:bookmarkStart w:id="8" w:name="_Toc153270086"/>
      <w:r>
        <w:t>Acronyms</w:t>
      </w:r>
      <w:bookmarkEnd w:id="8"/>
      <w:bookmarkEnd w:id="2"/>
      <w:bookmarkEnd w:id="1"/>
    </w:p>
    <w:tbl>
      <w:tblPr>
        <w:tblStyle w:val="TableGrid"/>
        <w:tblW w:w="0" w:type="auto"/>
        <w:jc w:val="center"/>
        <w:tblLook w:val="04A0" w:firstRow="1" w:lastRow="0" w:firstColumn="1" w:lastColumn="0" w:noHBand="0" w:noVBand="1"/>
      </w:tblPr>
      <w:tblGrid>
        <w:gridCol w:w="2675"/>
        <w:gridCol w:w="6570"/>
      </w:tblGrid>
      <w:tr w:rsidR="008A1ADD" w14:paraId="2BBE890B" w14:textId="77777777" w:rsidTr="00E55A2A">
        <w:trPr>
          <w:jc w:val="center"/>
        </w:trPr>
        <w:tc>
          <w:tcPr>
            <w:tcW w:w="2675" w:type="dxa"/>
          </w:tcPr>
          <w:p w14:paraId="7EC5614B" w14:textId="73AD2C3E" w:rsidR="008A1ADD" w:rsidRDefault="004C37B7" w:rsidP="0063065E">
            <w:pPr>
              <w:pStyle w:val="BodyText"/>
              <w:ind w:left="0" w:firstLine="0"/>
            </w:pPr>
            <w:r>
              <w:t>B</w:t>
            </w:r>
            <w:r w:rsidR="003D3199">
              <w:t>A</w:t>
            </w:r>
            <w:r>
              <w:t>L</w:t>
            </w:r>
          </w:p>
        </w:tc>
        <w:tc>
          <w:tcPr>
            <w:tcW w:w="6570" w:type="dxa"/>
          </w:tcPr>
          <w:p w14:paraId="753274FA" w14:textId="06395066" w:rsidR="008A1ADD" w:rsidRDefault="004C37B7" w:rsidP="0063065E">
            <w:pPr>
              <w:pStyle w:val="BodyText"/>
              <w:ind w:left="0" w:firstLine="71"/>
            </w:pPr>
            <w:r>
              <w:t xml:space="preserve">Beam </w:t>
            </w:r>
            <w:r w:rsidR="00402062">
              <w:t xml:space="preserve">Absorber </w:t>
            </w:r>
            <w:r>
              <w:t>Line</w:t>
            </w:r>
          </w:p>
        </w:tc>
      </w:tr>
      <w:tr w:rsidR="003D3199" w14:paraId="28797B81" w14:textId="77777777" w:rsidTr="00E55A2A">
        <w:trPr>
          <w:jc w:val="center"/>
        </w:trPr>
        <w:tc>
          <w:tcPr>
            <w:tcW w:w="2675" w:type="dxa"/>
          </w:tcPr>
          <w:p w14:paraId="7E7770EA" w14:textId="1624C0FC" w:rsidR="003D3199" w:rsidRDefault="003D3199" w:rsidP="0063065E">
            <w:pPr>
              <w:pStyle w:val="BodyText"/>
              <w:ind w:left="0" w:firstLine="0"/>
            </w:pPr>
            <w:r>
              <w:t>BTL</w:t>
            </w:r>
          </w:p>
        </w:tc>
        <w:tc>
          <w:tcPr>
            <w:tcW w:w="6570" w:type="dxa"/>
          </w:tcPr>
          <w:p w14:paraId="4733C781" w14:textId="4DA337EF" w:rsidR="003D3199" w:rsidRDefault="003D3199" w:rsidP="0063065E">
            <w:pPr>
              <w:pStyle w:val="BodyText"/>
              <w:ind w:left="0" w:firstLine="71"/>
            </w:pPr>
            <w:r>
              <w:t>Beam Transfer Line</w:t>
            </w:r>
          </w:p>
        </w:tc>
      </w:tr>
      <w:tr w:rsidR="004A6E3F" w14:paraId="777574CD" w14:textId="77777777" w:rsidTr="00E55A2A">
        <w:trPr>
          <w:jc w:val="center"/>
        </w:trPr>
        <w:tc>
          <w:tcPr>
            <w:tcW w:w="2675" w:type="dxa"/>
          </w:tcPr>
          <w:p w14:paraId="13DE7A7B" w14:textId="030703B0" w:rsidR="004A6E3F" w:rsidRDefault="004A6E3F" w:rsidP="0063065E">
            <w:pPr>
              <w:pStyle w:val="BodyText"/>
              <w:ind w:left="0" w:firstLine="0"/>
            </w:pPr>
            <w:r>
              <w:t>CC</w:t>
            </w:r>
          </w:p>
        </w:tc>
        <w:tc>
          <w:tcPr>
            <w:tcW w:w="6570" w:type="dxa"/>
          </w:tcPr>
          <w:p w14:paraId="590D8A0A" w14:textId="14F7AA55" w:rsidR="004A6E3F" w:rsidRDefault="004A6E3F" w:rsidP="0063065E">
            <w:pPr>
              <w:pStyle w:val="BodyText"/>
              <w:ind w:left="0" w:firstLine="71"/>
            </w:pPr>
            <w:r>
              <w:t>Cold Cathode</w:t>
            </w:r>
          </w:p>
        </w:tc>
      </w:tr>
      <w:tr w:rsidR="0095345B" w14:paraId="0298281A" w14:textId="77777777" w:rsidTr="00E55A2A">
        <w:trPr>
          <w:jc w:val="center"/>
        </w:trPr>
        <w:tc>
          <w:tcPr>
            <w:tcW w:w="2675" w:type="dxa"/>
          </w:tcPr>
          <w:p w14:paraId="5F0F3F4F" w14:textId="1E22CB46" w:rsidR="0095345B" w:rsidRDefault="0095345B" w:rsidP="0063065E">
            <w:pPr>
              <w:pStyle w:val="BodyText"/>
              <w:ind w:left="0" w:firstLine="0"/>
            </w:pPr>
            <w:r>
              <w:t>CG</w:t>
            </w:r>
          </w:p>
        </w:tc>
        <w:tc>
          <w:tcPr>
            <w:tcW w:w="6570" w:type="dxa"/>
          </w:tcPr>
          <w:p w14:paraId="66FC92C9" w14:textId="27073096" w:rsidR="0095345B" w:rsidRDefault="0095345B" w:rsidP="0063065E">
            <w:pPr>
              <w:pStyle w:val="BodyText"/>
              <w:ind w:left="0" w:firstLine="71"/>
            </w:pPr>
            <w:r>
              <w:t>Convection Gauge</w:t>
            </w:r>
          </w:p>
        </w:tc>
      </w:tr>
      <w:tr w:rsidR="004C37B7" w14:paraId="3B95F187" w14:textId="77777777" w:rsidTr="00E55A2A">
        <w:trPr>
          <w:jc w:val="center"/>
        </w:trPr>
        <w:tc>
          <w:tcPr>
            <w:tcW w:w="2675" w:type="dxa"/>
          </w:tcPr>
          <w:p w14:paraId="7A466187" w14:textId="283FBEE1" w:rsidR="004C37B7" w:rsidRDefault="004C37B7" w:rsidP="0063065E">
            <w:pPr>
              <w:pStyle w:val="BodyText"/>
              <w:ind w:left="0" w:firstLine="0"/>
            </w:pPr>
            <w:r>
              <w:t>CM</w:t>
            </w:r>
          </w:p>
        </w:tc>
        <w:tc>
          <w:tcPr>
            <w:tcW w:w="6570" w:type="dxa"/>
          </w:tcPr>
          <w:p w14:paraId="79187D90" w14:textId="02DF4ABD" w:rsidR="004C37B7" w:rsidRDefault="004C37B7" w:rsidP="0063065E">
            <w:pPr>
              <w:pStyle w:val="BodyText"/>
              <w:ind w:left="0" w:firstLine="71"/>
            </w:pPr>
            <w:r>
              <w:t>Cryomodule</w:t>
            </w:r>
          </w:p>
        </w:tc>
      </w:tr>
      <w:tr w:rsidR="00F71E28" w14:paraId="1BEDAFF0" w14:textId="77777777" w:rsidTr="00E55A2A">
        <w:trPr>
          <w:jc w:val="center"/>
        </w:trPr>
        <w:tc>
          <w:tcPr>
            <w:tcW w:w="2675" w:type="dxa"/>
          </w:tcPr>
          <w:p w14:paraId="4471FFE4" w14:textId="2D3ABBEF" w:rsidR="00F71E28" w:rsidRDefault="00F71E28" w:rsidP="0063065E">
            <w:pPr>
              <w:pStyle w:val="BodyText"/>
              <w:ind w:left="0" w:firstLine="0"/>
            </w:pPr>
            <w:r>
              <w:t>CF</w:t>
            </w:r>
          </w:p>
        </w:tc>
        <w:tc>
          <w:tcPr>
            <w:tcW w:w="6570" w:type="dxa"/>
          </w:tcPr>
          <w:p w14:paraId="64729C93" w14:textId="6094CDE5" w:rsidR="00F71E28" w:rsidRDefault="00F71E28" w:rsidP="0063065E">
            <w:pPr>
              <w:pStyle w:val="BodyText"/>
              <w:ind w:left="0" w:firstLine="71"/>
            </w:pPr>
            <w:r>
              <w:rPr>
                <w:rFonts w:cs="Helvetica"/>
              </w:rPr>
              <w:t>ConFlat</w:t>
            </w:r>
            <w:r>
              <w:t>®</w:t>
            </w:r>
            <w:r w:rsidR="007B2E6D">
              <w:t xml:space="preserve"> Flange</w:t>
            </w:r>
          </w:p>
        </w:tc>
      </w:tr>
      <w:tr w:rsidR="004C37B7" w14:paraId="3E8DB5D4" w14:textId="77777777" w:rsidTr="00E55A2A">
        <w:trPr>
          <w:jc w:val="center"/>
        </w:trPr>
        <w:tc>
          <w:tcPr>
            <w:tcW w:w="2675" w:type="dxa"/>
          </w:tcPr>
          <w:p w14:paraId="1EF0A8E4" w14:textId="53AEDAC6" w:rsidR="004C37B7" w:rsidRDefault="004C37B7" w:rsidP="0063065E">
            <w:pPr>
              <w:pStyle w:val="BodyText"/>
              <w:ind w:left="0" w:firstLine="0"/>
            </w:pPr>
            <w:r>
              <w:t>FAV</w:t>
            </w:r>
          </w:p>
        </w:tc>
        <w:tc>
          <w:tcPr>
            <w:tcW w:w="6570" w:type="dxa"/>
          </w:tcPr>
          <w:p w14:paraId="118BE2EF" w14:textId="4A50623F" w:rsidR="004C37B7" w:rsidRDefault="004C37B7" w:rsidP="0063065E">
            <w:pPr>
              <w:pStyle w:val="BodyText"/>
              <w:ind w:left="0" w:firstLine="71"/>
            </w:pPr>
            <w:r>
              <w:t>Fast Acting Valve</w:t>
            </w:r>
          </w:p>
        </w:tc>
      </w:tr>
      <w:tr w:rsidR="00B2243E" w14:paraId="189EADE7" w14:textId="77777777" w:rsidTr="00E55A2A">
        <w:trPr>
          <w:jc w:val="center"/>
        </w:trPr>
        <w:tc>
          <w:tcPr>
            <w:tcW w:w="2675" w:type="dxa"/>
          </w:tcPr>
          <w:p w14:paraId="00C11A4D" w14:textId="4B75D06D" w:rsidR="00B2243E" w:rsidRDefault="00B2243E" w:rsidP="0063065E">
            <w:pPr>
              <w:pStyle w:val="BodyText"/>
              <w:ind w:left="0" w:firstLine="0"/>
            </w:pPr>
            <w:r>
              <w:t>FRS</w:t>
            </w:r>
          </w:p>
        </w:tc>
        <w:tc>
          <w:tcPr>
            <w:tcW w:w="6570" w:type="dxa"/>
          </w:tcPr>
          <w:p w14:paraId="0B1AA7A9" w14:textId="50DB90EF" w:rsidR="00B2243E" w:rsidRDefault="00B2243E" w:rsidP="0063065E">
            <w:pPr>
              <w:pStyle w:val="BodyText"/>
              <w:ind w:left="0" w:firstLine="71"/>
            </w:pPr>
            <w:r>
              <w:t>Functional Requirements Specification</w:t>
            </w:r>
          </w:p>
        </w:tc>
      </w:tr>
      <w:tr w:rsidR="00620967" w14:paraId="0A8EB3B1" w14:textId="77777777" w:rsidTr="00E55A2A">
        <w:trPr>
          <w:jc w:val="center"/>
        </w:trPr>
        <w:tc>
          <w:tcPr>
            <w:tcW w:w="2675" w:type="dxa"/>
          </w:tcPr>
          <w:p w14:paraId="1F714A1E" w14:textId="1BEC553D" w:rsidR="00620967" w:rsidRDefault="00620967" w:rsidP="0063065E">
            <w:pPr>
              <w:pStyle w:val="BodyText"/>
              <w:ind w:left="0" w:firstLine="0"/>
            </w:pPr>
            <w:r>
              <w:t>GRD</w:t>
            </w:r>
          </w:p>
        </w:tc>
        <w:tc>
          <w:tcPr>
            <w:tcW w:w="6570" w:type="dxa"/>
          </w:tcPr>
          <w:p w14:paraId="583529BA" w14:textId="0CE0AC8A" w:rsidR="00620967" w:rsidRDefault="00620967" w:rsidP="0063065E">
            <w:pPr>
              <w:pStyle w:val="BodyText"/>
              <w:ind w:left="0" w:firstLine="71"/>
            </w:pPr>
            <w:r>
              <w:t>Global Requirements Document</w:t>
            </w:r>
          </w:p>
        </w:tc>
      </w:tr>
      <w:tr w:rsidR="001D19B6" w14:paraId="2833B2F8" w14:textId="77777777" w:rsidTr="00E55A2A">
        <w:trPr>
          <w:jc w:val="center"/>
        </w:trPr>
        <w:tc>
          <w:tcPr>
            <w:tcW w:w="2675" w:type="dxa"/>
          </w:tcPr>
          <w:p w14:paraId="0BEB7C1B" w14:textId="6D0BB254" w:rsidR="001D19B6" w:rsidRDefault="001D19B6" w:rsidP="0063065E">
            <w:pPr>
              <w:pStyle w:val="BodyText"/>
              <w:ind w:left="0" w:firstLine="0"/>
            </w:pPr>
            <w:r>
              <w:t>HB</w:t>
            </w:r>
          </w:p>
        </w:tc>
        <w:tc>
          <w:tcPr>
            <w:tcW w:w="6570" w:type="dxa"/>
          </w:tcPr>
          <w:p w14:paraId="6404D386" w14:textId="37916398" w:rsidR="001D19B6" w:rsidRDefault="001D19B6" w:rsidP="0063065E">
            <w:pPr>
              <w:pStyle w:val="BodyText"/>
              <w:ind w:left="0" w:firstLine="71"/>
            </w:pPr>
            <w:r>
              <w:t>High Beta</w:t>
            </w:r>
          </w:p>
        </w:tc>
      </w:tr>
      <w:tr w:rsidR="00F71E28" w14:paraId="30632BD0" w14:textId="77777777" w:rsidTr="00E55A2A">
        <w:trPr>
          <w:jc w:val="center"/>
        </w:trPr>
        <w:tc>
          <w:tcPr>
            <w:tcW w:w="2675" w:type="dxa"/>
          </w:tcPr>
          <w:p w14:paraId="51958134" w14:textId="4AA7E9C8" w:rsidR="00F71E28" w:rsidRDefault="00F71E28" w:rsidP="0063065E">
            <w:pPr>
              <w:pStyle w:val="BodyText"/>
              <w:ind w:left="0" w:firstLine="0"/>
            </w:pPr>
            <w:r>
              <w:t>HV</w:t>
            </w:r>
          </w:p>
        </w:tc>
        <w:tc>
          <w:tcPr>
            <w:tcW w:w="6570" w:type="dxa"/>
          </w:tcPr>
          <w:p w14:paraId="6F8A86D2" w14:textId="6C2F09B2" w:rsidR="00F71E28" w:rsidRDefault="00F71E28" w:rsidP="0063065E">
            <w:pPr>
              <w:pStyle w:val="BodyText"/>
              <w:ind w:left="0" w:firstLine="71"/>
            </w:pPr>
            <w:r>
              <w:t>High Vacuum</w:t>
            </w:r>
          </w:p>
        </w:tc>
      </w:tr>
      <w:tr w:rsidR="001D19B6" w14:paraId="585A877C" w14:textId="77777777" w:rsidTr="00E55A2A">
        <w:trPr>
          <w:jc w:val="center"/>
        </w:trPr>
        <w:tc>
          <w:tcPr>
            <w:tcW w:w="2675" w:type="dxa"/>
          </w:tcPr>
          <w:p w14:paraId="4C06F311" w14:textId="06FF4B60" w:rsidR="001D19B6" w:rsidRDefault="001D19B6" w:rsidP="0063065E">
            <w:pPr>
              <w:pStyle w:val="BodyText"/>
              <w:ind w:left="0" w:firstLine="0"/>
            </w:pPr>
            <w:r>
              <w:t>HWR</w:t>
            </w:r>
          </w:p>
        </w:tc>
        <w:tc>
          <w:tcPr>
            <w:tcW w:w="6570" w:type="dxa"/>
          </w:tcPr>
          <w:p w14:paraId="41A7AB11" w14:textId="3D5A6CD2" w:rsidR="001D19B6" w:rsidRDefault="001D19B6" w:rsidP="0063065E">
            <w:pPr>
              <w:pStyle w:val="BodyText"/>
              <w:ind w:left="0" w:firstLine="71"/>
            </w:pPr>
            <w:r>
              <w:t>Half Wave Resonator</w:t>
            </w:r>
          </w:p>
        </w:tc>
      </w:tr>
      <w:tr w:rsidR="004A6E3F" w14:paraId="57DFA774" w14:textId="77777777" w:rsidTr="004A6E3F">
        <w:trPr>
          <w:jc w:val="center"/>
        </w:trPr>
        <w:tc>
          <w:tcPr>
            <w:tcW w:w="2675" w:type="dxa"/>
          </w:tcPr>
          <w:p w14:paraId="1AF1522E" w14:textId="2B2D9651" w:rsidR="004A6E3F" w:rsidRDefault="004A6E3F" w:rsidP="0063065E">
            <w:pPr>
              <w:pStyle w:val="BodyText"/>
              <w:ind w:left="0" w:firstLine="0"/>
            </w:pPr>
            <w:r>
              <w:t>IG</w:t>
            </w:r>
          </w:p>
        </w:tc>
        <w:tc>
          <w:tcPr>
            <w:tcW w:w="6570" w:type="dxa"/>
          </w:tcPr>
          <w:p w14:paraId="36EA5C31" w14:textId="097FEF70" w:rsidR="004A6E3F" w:rsidRDefault="004A6E3F" w:rsidP="0063065E">
            <w:pPr>
              <w:pStyle w:val="BodyText"/>
              <w:ind w:left="0" w:firstLine="71"/>
            </w:pPr>
            <w:r>
              <w:t>Ion Gauge</w:t>
            </w:r>
          </w:p>
        </w:tc>
      </w:tr>
      <w:tr w:rsidR="005B03DB" w14:paraId="246B4042" w14:textId="77777777" w:rsidTr="00E55A2A">
        <w:trPr>
          <w:jc w:val="center"/>
        </w:trPr>
        <w:tc>
          <w:tcPr>
            <w:tcW w:w="2675" w:type="dxa"/>
          </w:tcPr>
          <w:p w14:paraId="3B7EF251" w14:textId="570F2253" w:rsidR="005B03DB" w:rsidRDefault="005B03DB" w:rsidP="0063065E">
            <w:pPr>
              <w:pStyle w:val="BodyText"/>
              <w:ind w:left="0" w:firstLine="0"/>
            </w:pPr>
            <w:r>
              <w:t>L2</w:t>
            </w:r>
          </w:p>
        </w:tc>
        <w:tc>
          <w:tcPr>
            <w:tcW w:w="6570" w:type="dxa"/>
          </w:tcPr>
          <w:p w14:paraId="1022DC54" w14:textId="203CF367" w:rsidR="005B03DB" w:rsidRDefault="005B03DB" w:rsidP="0063065E">
            <w:pPr>
              <w:pStyle w:val="BodyText"/>
              <w:ind w:left="0" w:firstLine="71"/>
            </w:pPr>
            <w:r>
              <w:t>WBS Level 2</w:t>
            </w:r>
            <w:r w:rsidR="00D048C3">
              <w:t xml:space="preserve"> System</w:t>
            </w:r>
          </w:p>
        </w:tc>
      </w:tr>
      <w:tr w:rsidR="00D048C3" w14:paraId="07E48C2C" w14:textId="77777777" w:rsidTr="00E55A2A">
        <w:trPr>
          <w:jc w:val="center"/>
        </w:trPr>
        <w:tc>
          <w:tcPr>
            <w:tcW w:w="2675" w:type="dxa"/>
          </w:tcPr>
          <w:p w14:paraId="063F3F31" w14:textId="30052C0F" w:rsidR="00D048C3" w:rsidRDefault="00D048C3" w:rsidP="0063065E">
            <w:pPr>
              <w:pStyle w:val="BodyText"/>
              <w:ind w:left="0" w:firstLine="0"/>
            </w:pPr>
            <w:r>
              <w:t>L3</w:t>
            </w:r>
          </w:p>
        </w:tc>
        <w:tc>
          <w:tcPr>
            <w:tcW w:w="6570" w:type="dxa"/>
          </w:tcPr>
          <w:p w14:paraId="43680069" w14:textId="03AE3D2C" w:rsidR="00D048C3" w:rsidRDefault="00D048C3" w:rsidP="0063065E">
            <w:pPr>
              <w:pStyle w:val="BodyText"/>
              <w:ind w:left="0" w:firstLine="71"/>
            </w:pPr>
            <w:r>
              <w:t>WBS Level 3 System</w:t>
            </w:r>
          </w:p>
        </w:tc>
      </w:tr>
      <w:tr w:rsidR="001D19B6" w:rsidDel="00EE7204" w14:paraId="3CA856F5" w14:textId="77777777" w:rsidTr="00E55A2A">
        <w:trPr>
          <w:jc w:val="center"/>
        </w:trPr>
        <w:tc>
          <w:tcPr>
            <w:tcW w:w="2675" w:type="dxa"/>
          </w:tcPr>
          <w:p w14:paraId="5E3FFE8C" w14:textId="6A62F8B0" w:rsidR="001D19B6" w:rsidDel="00EE7204" w:rsidRDefault="001D19B6" w:rsidP="0063065E">
            <w:pPr>
              <w:pStyle w:val="BodyText"/>
              <w:ind w:left="0" w:firstLine="0"/>
            </w:pPr>
            <w:r>
              <w:t>LB</w:t>
            </w:r>
          </w:p>
        </w:tc>
        <w:tc>
          <w:tcPr>
            <w:tcW w:w="6570" w:type="dxa"/>
          </w:tcPr>
          <w:p w14:paraId="58151A8C" w14:textId="2C7FCD29" w:rsidR="001D19B6" w:rsidDel="00EE7204" w:rsidRDefault="001D19B6" w:rsidP="0063065E">
            <w:pPr>
              <w:pStyle w:val="BodyText"/>
              <w:ind w:left="0" w:firstLine="71"/>
            </w:pPr>
            <w:r>
              <w:t>Low Beta</w:t>
            </w:r>
          </w:p>
        </w:tc>
      </w:tr>
      <w:tr w:rsidR="00EE7204" w:rsidDel="00EE7204" w14:paraId="767D6A74" w14:textId="77777777" w:rsidTr="00E55A2A">
        <w:trPr>
          <w:jc w:val="center"/>
        </w:trPr>
        <w:tc>
          <w:tcPr>
            <w:tcW w:w="2675" w:type="dxa"/>
          </w:tcPr>
          <w:p w14:paraId="531B22DD" w14:textId="733CC4C3" w:rsidR="00EE7204" w:rsidDel="00EE7204" w:rsidRDefault="00EE7204" w:rsidP="0063065E">
            <w:pPr>
              <w:pStyle w:val="BodyText"/>
              <w:ind w:left="0" w:firstLine="0"/>
            </w:pPr>
            <w:r>
              <w:t>LEBT</w:t>
            </w:r>
          </w:p>
        </w:tc>
        <w:tc>
          <w:tcPr>
            <w:tcW w:w="6570" w:type="dxa"/>
          </w:tcPr>
          <w:p w14:paraId="531562D5" w14:textId="14D6B822" w:rsidR="00EE7204" w:rsidDel="00EE7204" w:rsidRDefault="00EE7204" w:rsidP="0063065E">
            <w:pPr>
              <w:pStyle w:val="BodyText"/>
              <w:ind w:left="0" w:firstLine="71"/>
            </w:pPr>
            <w:r>
              <w:t>Low Energy Beam Transport</w:t>
            </w:r>
          </w:p>
        </w:tc>
      </w:tr>
      <w:tr w:rsidR="00DA7A1A" w:rsidDel="00EE7204" w14:paraId="423E5BDB" w14:textId="77777777" w:rsidTr="00E55A2A">
        <w:trPr>
          <w:jc w:val="center"/>
        </w:trPr>
        <w:tc>
          <w:tcPr>
            <w:tcW w:w="2675" w:type="dxa"/>
          </w:tcPr>
          <w:p w14:paraId="3A33E851" w14:textId="178A8773" w:rsidR="00DA7A1A" w:rsidRDefault="00DA7A1A" w:rsidP="0063065E">
            <w:pPr>
              <w:pStyle w:val="BodyText"/>
              <w:ind w:left="0" w:firstLine="0"/>
            </w:pPr>
            <w:r>
              <w:t>MEBT</w:t>
            </w:r>
          </w:p>
        </w:tc>
        <w:tc>
          <w:tcPr>
            <w:tcW w:w="6570" w:type="dxa"/>
          </w:tcPr>
          <w:p w14:paraId="74642DCF" w14:textId="74AF7C92" w:rsidR="00DA7A1A" w:rsidRDefault="00DA7A1A" w:rsidP="0063065E">
            <w:pPr>
              <w:pStyle w:val="BodyText"/>
              <w:ind w:left="0" w:firstLine="71"/>
            </w:pPr>
            <w:r>
              <w:t>Medium Energy Beam Transport</w:t>
            </w:r>
          </w:p>
        </w:tc>
      </w:tr>
      <w:tr w:rsidR="006D0A9D" w:rsidDel="00EE7204" w14:paraId="3E6F168F" w14:textId="77777777" w:rsidTr="00E55A2A">
        <w:trPr>
          <w:jc w:val="center"/>
        </w:trPr>
        <w:tc>
          <w:tcPr>
            <w:tcW w:w="2675" w:type="dxa"/>
          </w:tcPr>
          <w:p w14:paraId="13BD7F0C" w14:textId="3CE09C09" w:rsidR="006D0A9D" w:rsidRDefault="006D0A9D" w:rsidP="0063065E">
            <w:pPr>
              <w:pStyle w:val="BodyText"/>
              <w:ind w:left="0" w:firstLine="0"/>
            </w:pPr>
            <w:r>
              <w:t>PIP2IT</w:t>
            </w:r>
          </w:p>
        </w:tc>
        <w:tc>
          <w:tcPr>
            <w:tcW w:w="6570" w:type="dxa"/>
          </w:tcPr>
          <w:p w14:paraId="67BFA6CE" w14:textId="1A0D980B" w:rsidR="006D0A9D" w:rsidRDefault="006D0A9D" w:rsidP="0063065E">
            <w:pPr>
              <w:pStyle w:val="BodyText"/>
              <w:ind w:left="0" w:firstLine="71"/>
            </w:pPr>
            <w:r>
              <w:t>PIP-II Injector Test</w:t>
            </w:r>
          </w:p>
        </w:tc>
      </w:tr>
      <w:tr w:rsidR="0073303B" w14:paraId="4505356F" w14:textId="77777777" w:rsidTr="00E55A2A">
        <w:trPr>
          <w:jc w:val="center"/>
        </w:trPr>
        <w:tc>
          <w:tcPr>
            <w:tcW w:w="2675" w:type="dxa"/>
          </w:tcPr>
          <w:p w14:paraId="4B4C4D70" w14:textId="46E87F1B" w:rsidR="0073303B" w:rsidRDefault="0073303B" w:rsidP="0063065E">
            <w:pPr>
              <w:pStyle w:val="BodyText"/>
              <w:ind w:left="0" w:firstLine="0"/>
            </w:pPr>
            <w:r>
              <w:t>PIP-II</w:t>
            </w:r>
          </w:p>
        </w:tc>
        <w:tc>
          <w:tcPr>
            <w:tcW w:w="6570" w:type="dxa"/>
          </w:tcPr>
          <w:p w14:paraId="4943B1B4" w14:textId="4461DEAC" w:rsidR="0073303B" w:rsidRDefault="0073303B" w:rsidP="0063065E">
            <w:pPr>
              <w:pStyle w:val="BodyText"/>
              <w:ind w:left="0" w:firstLine="71"/>
            </w:pPr>
            <w:r>
              <w:t>Proton Improvement Plan II Project</w:t>
            </w:r>
          </w:p>
        </w:tc>
      </w:tr>
      <w:tr w:rsidR="00BF24A2" w14:paraId="4C576066" w14:textId="77777777" w:rsidTr="00E55A2A">
        <w:trPr>
          <w:jc w:val="center"/>
        </w:trPr>
        <w:tc>
          <w:tcPr>
            <w:tcW w:w="2675" w:type="dxa"/>
          </w:tcPr>
          <w:p w14:paraId="20F11BB0" w14:textId="29BE9DDD" w:rsidR="00BF24A2" w:rsidRDefault="00BF24A2" w:rsidP="0063065E">
            <w:pPr>
              <w:pStyle w:val="BodyText"/>
              <w:ind w:left="0" w:firstLine="0"/>
            </w:pPr>
            <w:r>
              <w:t>PRD</w:t>
            </w:r>
          </w:p>
        </w:tc>
        <w:tc>
          <w:tcPr>
            <w:tcW w:w="6570" w:type="dxa"/>
          </w:tcPr>
          <w:p w14:paraId="5CBFFCF0" w14:textId="6D5D600B" w:rsidR="00BF24A2" w:rsidRDefault="00BF24A2" w:rsidP="0063065E">
            <w:pPr>
              <w:pStyle w:val="BodyText"/>
              <w:ind w:left="0" w:firstLine="71"/>
            </w:pPr>
            <w:r>
              <w:t>Physics Requirements Document</w:t>
            </w:r>
          </w:p>
        </w:tc>
      </w:tr>
      <w:tr w:rsidR="00DA7A1A" w14:paraId="2BE6D648" w14:textId="77777777" w:rsidTr="00E55A2A">
        <w:trPr>
          <w:jc w:val="center"/>
        </w:trPr>
        <w:tc>
          <w:tcPr>
            <w:tcW w:w="2675" w:type="dxa"/>
          </w:tcPr>
          <w:p w14:paraId="2AD2DE55" w14:textId="303314F4" w:rsidR="00DA7A1A" w:rsidRDefault="00DA7A1A" w:rsidP="0063065E">
            <w:pPr>
              <w:pStyle w:val="BodyText"/>
              <w:ind w:left="0" w:firstLine="0"/>
            </w:pPr>
            <w:r>
              <w:lastRenderedPageBreak/>
              <w:t>RFQ</w:t>
            </w:r>
          </w:p>
        </w:tc>
        <w:tc>
          <w:tcPr>
            <w:tcW w:w="6570" w:type="dxa"/>
          </w:tcPr>
          <w:p w14:paraId="76A826D6" w14:textId="56C55BFE" w:rsidR="00DA7A1A" w:rsidRDefault="00DA7A1A" w:rsidP="0063065E">
            <w:pPr>
              <w:pStyle w:val="BodyText"/>
              <w:ind w:left="0" w:firstLine="71"/>
            </w:pPr>
            <w:r>
              <w:t>Radio Frequency Quadrupole</w:t>
            </w:r>
          </w:p>
        </w:tc>
      </w:tr>
      <w:tr w:rsidR="00E06ABC" w14:paraId="4C8AC93C" w14:textId="77777777" w:rsidTr="004A6E3F">
        <w:trPr>
          <w:jc w:val="center"/>
        </w:trPr>
        <w:tc>
          <w:tcPr>
            <w:tcW w:w="2675" w:type="dxa"/>
          </w:tcPr>
          <w:p w14:paraId="559E8357" w14:textId="4CA46A4C" w:rsidR="00E06ABC" w:rsidRDefault="00E06ABC" w:rsidP="0063065E">
            <w:pPr>
              <w:pStyle w:val="BodyText"/>
              <w:ind w:left="0" w:firstLine="0"/>
            </w:pPr>
            <w:r>
              <w:t>RGS</w:t>
            </w:r>
          </w:p>
        </w:tc>
        <w:tc>
          <w:tcPr>
            <w:tcW w:w="6570" w:type="dxa"/>
          </w:tcPr>
          <w:p w14:paraId="3D21962B" w14:textId="47DA55D4" w:rsidR="00E06ABC" w:rsidRDefault="00E06ABC" w:rsidP="0063065E">
            <w:pPr>
              <w:pStyle w:val="BodyText"/>
              <w:ind w:left="0" w:firstLine="71"/>
            </w:pPr>
            <w:r>
              <w:t>Residual Gas Analyzer</w:t>
            </w:r>
          </w:p>
        </w:tc>
      </w:tr>
      <w:tr w:rsidR="004C37B7" w14:paraId="4F1706BB" w14:textId="77777777" w:rsidTr="00E55A2A">
        <w:trPr>
          <w:jc w:val="center"/>
        </w:trPr>
        <w:tc>
          <w:tcPr>
            <w:tcW w:w="2675" w:type="dxa"/>
          </w:tcPr>
          <w:p w14:paraId="6970429E" w14:textId="77543D53" w:rsidR="004C37B7" w:rsidRDefault="004C37B7" w:rsidP="0063065E">
            <w:pPr>
              <w:pStyle w:val="BodyText"/>
              <w:ind w:left="0" w:firstLine="0"/>
            </w:pPr>
            <w:r>
              <w:t>SRF</w:t>
            </w:r>
          </w:p>
        </w:tc>
        <w:tc>
          <w:tcPr>
            <w:tcW w:w="6570" w:type="dxa"/>
          </w:tcPr>
          <w:p w14:paraId="12B89ACB" w14:textId="24774556" w:rsidR="004C37B7" w:rsidRDefault="00AE1F54" w:rsidP="0063065E">
            <w:pPr>
              <w:pStyle w:val="BodyText"/>
              <w:ind w:left="0" w:firstLine="71"/>
            </w:pPr>
            <w:r>
              <w:t>Superconducting Radio Frequency</w:t>
            </w:r>
          </w:p>
        </w:tc>
      </w:tr>
      <w:tr w:rsidR="001D19B6" w14:paraId="4B6738B1" w14:textId="77777777" w:rsidTr="00E55A2A">
        <w:trPr>
          <w:jc w:val="center"/>
        </w:trPr>
        <w:tc>
          <w:tcPr>
            <w:tcW w:w="2675" w:type="dxa"/>
          </w:tcPr>
          <w:p w14:paraId="09B873D9" w14:textId="784DE28D" w:rsidR="001D19B6" w:rsidRDefault="001D19B6" w:rsidP="0063065E">
            <w:pPr>
              <w:pStyle w:val="BodyText"/>
              <w:ind w:left="0" w:firstLine="0"/>
            </w:pPr>
            <w:r>
              <w:t>SSR</w:t>
            </w:r>
          </w:p>
        </w:tc>
        <w:tc>
          <w:tcPr>
            <w:tcW w:w="6570" w:type="dxa"/>
          </w:tcPr>
          <w:p w14:paraId="0440F798" w14:textId="4ABD4848" w:rsidR="001D19B6" w:rsidRDefault="001D19B6" w:rsidP="0063065E">
            <w:pPr>
              <w:pStyle w:val="BodyText"/>
              <w:ind w:left="0" w:firstLine="71"/>
            </w:pPr>
            <w:r>
              <w:t>Single Spoke Resonator</w:t>
            </w:r>
          </w:p>
        </w:tc>
      </w:tr>
      <w:tr w:rsidR="004A6E3F" w14:paraId="7D985EEB" w14:textId="77777777" w:rsidTr="004A6E3F">
        <w:trPr>
          <w:jc w:val="center"/>
        </w:trPr>
        <w:tc>
          <w:tcPr>
            <w:tcW w:w="2675" w:type="dxa"/>
          </w:tcPr>
          <w:p w14:paraId="7CBDCD74" w14:textId="6168303F" w:rsidR="004A6E3F" w:rsidRDefault="004A6E3F" w:rsidP="0063065E">
            <w:pPr>
              <w:pStyle w:val="BodyText"/>
              <w:ind w:left="0" w:firstLine="0"/>
            </w:pPr>
            <w:r>
              <w:t>TC</w:t>
            </w:r>
          </w:p>
        </w:tc>
        <w:tc>
          <w:tcPr>
            <w:tcW w:w="6570" w:type="dxa"/>
          </w:tcPr>
          <w:p w14:paraId="187FE59C" w14:textId="663B3D75" w:rsidR="004A6E3F" w:rsidRDefault="004A6E3F" w:rsidP="0063065E">
            <w:pPr>
              <w:pStyle w:val="BodyText"/>
              <w:ind w:left="0" w:firstLine="71"/>
            </w:pPr>
            <w:r>
              <w:t>Thermocouple</w:t>
            </w:r>
          </w:p>
        </w:tc>
      </w:tr>
      <w:tr w:rsidR="00E71AEB" w14:paraId="33502039" w14:textId="77777777" w:rsidTr="00E55A2A">
        <w:trPr>
          <w:jc w:val="center"/>
        </w:trPr>
        <w:tc>
          <w:tcPr>
            <w:tcW w:w="2675" w:type="dxa"/>
          </w:tcPr>
          <w:p w14:paraId="225716D1" w14:textId="73766E7D" w:rsidR="00E71AEB" w:rsidRDefault="00E71AEB" w:rsidP="0063065E">
            <w:pPr>
              <w:pStyle w:val="BodyText"/>
              <w:ind w:left="0" w:firstLine="0"/>
            </w:pPr>
            <w:r>
              <w:t>TRS</w:t>
            </w:r>
          </w:p>
        </w:tc>
        <w:tc>
          <w:tcPr>
            <w:tcW w:w="6570" w:type="dxa"/>
          </w:tcPr>
          <w:p w14:paraId="021323C6" w14:textId="4DF0EB55" w:rsidR="00E71AEB" w:rsidRDefault="00E71AEB" w:rsidP="0063065E">
            <w:pPr>
              <w:pStyle w:val="BodyText"/>
              <w:ind w:left="0" w:firstLine="71"/>
            </w:pPr>
            <w:r>
              <w:t>Technical Requirements Specification</w:t>
            </w:r>
          </w:p>
        </w:tc>
      </w:tr>
      <w:tr w:rsidR="000B6F17" w14:paraId="243018C7" w14:textId="77777777" w:rsidTr="00E55A2A">
        <w:trPr>
          <w:jc w:val="center"/>
        </w:trPr>
        <w:tc>
          <w:tcPr>
            <w:tcW w:w="2675" w:type="dxa"/>
          </w:tcPr>
          <w:p w14:paraId="10DE7824" w14:textId="1D6BA05A" w:rsidR="000B6F17" w:rsidRDefault="000B6F17" w:rsidP="0063065E">
            <w:pPr>
              <w:pStyle w:val="BodyText"/>
              <w:ind w:left="0" w:firstLine="0"/>
            </w:pPr>
            <w:r>
              <w:t>UHV</w:t>
            </w:r>
          </w:p>
        </w:tc>
        <w:tc>
          <w:tcPr>
            <w:tcW w:w="6570" w:type="dxa"/>
          </w:tcPr>
          <w:p w14:paraId="41B3A790" w14:textId="534A160D" w:rsidR="000B6F17" w:rsidRDefault="000B6F17" w:rsidP="0063065E">
            <w:pPr>
              <w:pStyle w:val="BodyText"/>
              <w:ind w:left="0" w:firstLine="71"/>
            </w:pPr>
            <w:r>
              <w:t>Ultra-High Vacuum</w:t>
            </w:r>
          </w:p>
        </w:tc>
      </w:tr>
      <w:tr w:rsidR="00EE7204" w14:paraId="612F823C" w14:textId="77777777" w:rsidTr="00E55A2A">
        <w:trPr>
          <w:jc w:val="center"/>
        </w:trPr>
        <w:tc>
          <w:tcPr>
            <w:tcW w:w="2675" w:type="dxa"/>
          </w:tcPr>
          <w:p w14:paraId="484D086C" w14:textId="1C6A942C" w:rsidR="00EE7204" w:rsidRDefault="00EE7204" w:rsidP="0063065E">
            <w:pPr>
              <w:pStyle w:val="BodyText"/>
              <w:ind w:left="0" w:firstLine="0"/>
            </w:pPr>
            <w:r>
              <w:t>WFE</w:t>
            </w:r>
          </w:p>
        </w:tc>
        <w:tc>
          <w:tcPr>
            <w:tcW w:w="6570" w:type="dxa"/>
          </w:tcPr>
          <w:p w14:paraId="4E48FD70" w14:textId="3334557A" w:rsidR="00EE7204" w:rsidRDefault="00EE7204" w:rsidP="0063065E">
            <w:pPr>
              <w:pStyle w:val="BodyText"/>
              <w:ind w:left="0" w:firstLine="71"/>
            </w:pPr>
            <w:r>
              <w:t>Warm Front End</w:t>
            </w:r>
          </w:p>
        </w:tc>
      </w:tr>
    </w:tbl>
    <w:p w14:paraId="78F05B89" w14:textId="77777777" w:rsidR="00C0420B" w:rsidRPr="0083243E" w:rsidRDefault="00C0420B" w:rsidP="0063065E">
      <w:pPr>
        <w:jc w:val="both"/>
        <w:rPr>
          <w:rFonts w:ascii="Helvetica" w:hAnsi="Helvetica" w:cs="Helvetica"/>
          <w:sz w:val="22"/>
          <w:szCs w:val="22"/>
        </w:rPr>
      </w:pPr>
      <w:bookmarkStart w:id="9" w:name="_Toc509474831"/>
      <w:bookmarkStart w:id="10" w:name="_Toc510692259"/>
      <w:bookmarkStart w:id="11" w:name="_Toc514850530"/>
    </w:p>
    <w:p w14:paraId="72CBA5C3" w14:textId="2930CD6B" w:rsidR="00331B0E" w:rsidRDefault="00700894" w:rsidP="00331B0E">
      <w:pPr>
        <w:pStyle w:val="Heading1"/>
        <w:jc w:val="both"/>
      </w:pPr>
      <w:bookmarkStart w:id="12" w:name="_Toc153270087"/>
      <w:bookmarkEnd w:id="9"/>
      <w:bookmarkEnd w:id="10"/>
      <w:bookmarkEnd w:id="11"/>
      <w:r>
        <w:t>Overview</w:t>
      </w:r>
      <w:bookmarkEnd w:id="12"/>
    </w:p>
    <w:p w14:paraId="63F50F7B" w14:textId="13317835" w:rsidR="000D621D" w:rsidRDefault="0094123B" w:rsidP="00DB06BD">
      <w:pPr>
        <w:pStyle w:val="NotesBody11pt"/>
      </w:pPr>
      <w:r>
        <w:t>This d</w:t>
      </w:r>
      <w:r w:rsidR="000D621D">
        <w:t xml:space="preserve">ocument describes </w:t>
      </w:r>
      <w:r w:rsidR="005B63D8">
        <w:t xml:space="preserve">high-level </w:t>
      </w:r>
      <w:r w:rsidR="009D4B8A">
        <w:t>requirements for</w:t>
      </w:r>
      <w:r w:rsidR="000D621D">
        <w:t xml:space="preserve"> </w:t>
      </w:r>
      <w:r w:rsidR="009F4E5E">
        <w:t>the</w:t>
      </w:r>
      <w:r w:rsidR="00984967">
        <w:t xml:space="preserve"> </w:t>
      </w:r>
      <w:r w:rsidR="005C74A5">
        <w:t xml:space="preserve">vacuum </w:t>
      </w:r>
      <w:r w:rsidR="006D0A9D">
        <w:t>systems for</w:t>
      </w:r>
      <w:r w:rsidR="005C74A5">
        <w:t xml:space="preserve"> the PIP</w:t>
      </w:r>
      <w:r>
        <w:t>-II</w:t>
      </w:r>
      <w:r w:rsidR="005C74A5">
        <w:t xml:space="preserve"> </w:t>
      </w:r>
      <w:r>
        <w:t>L</w:t>
      </w:r>
      <w:r w:rsidR="005C74A5">
        <w:t xml:space="preserve">inac, including the </w:t>
      </w:r>
      <w:r w:rsidR="00984967">
        <w:t xml:space="preserve">warm </w:t>
      </w:r>
      <w:r w:rsidR="005C74A5">
        <w:t xml:space="preserve">front end </w:t>
      </w:r>
      <w:r w:rsidR="00984967">
        <w:t xml:space="preserve">(WFE) </w:t>
      </w:r>
      <w:r w:rsidR="005C74A5">
        <w:t>and the beam transfer lin</w:t>
      </w:r>
      <w:r w:rsidR="00DB06BD">
        <w:t>e</w:t>
      </w:r>
      <w:r w:rsidR="007B17F1">
        <w:t xml:space="preserve"> (BTL)</w:t>
      </w:r>
      <w:r w:rsidR="00DB06BD">
        <w:t xml:space="preserve">. </w:t>
      </w:r>
      <w:r w:rsidR="006D0A9D">
        <w:t xml:space="preserve">Operating vacuum pressures are included. </w:t>
      </w:r>
      <w:r w:rsidR="00DB06BD">
        <w:t xml:space="preserve">The vacuum requirements will be used as input </w:t>
      </w:r>
      <w:r w:rsidR="006D0A9D">
        <w:t>for</w:t>
      </w:r>
      <w:r w:rsidR="00DB06BD">
        <w:t xml:space="preserve"> </w:t>
      </w:r>
      <w:r w:rsidR="00FC1A54">
        <w:t xml:space="preserve">the </w:t>
      </w:r>
      <w:r w:rsidR="00DB06BD">
        <w:t>vacuum systems design.</w:t>
      </w:r>
    </w:p>
    <w:p w14:paraId="323FA519" w14:textId="77777777" w:rsidR="00547CF8" w:rsidRDefault="00547CF8" w:rsidP="00DB06BD">
      <w:pPr>
        <w:pStyle w:val="NotesBody11pt"/>
      </w:pPr>
    </w:p>
    <w:p w14:paraId="30E21A5A" w14:textId="33E278E7" w:rsidR="00BA53E5" w:rsidRDefault="00F03B4F" w:rsidP="00F03B4F">
      <w:pPr>
        <w:pStyle w:val="NotesBody11pt"/>
        <w:rPr>
          <w:rFonts w:cs="Helvetica"/>
        </w:rPr>
      </w:pPr>
      <w:r w:rsidRPr="00BF3994">
        <w:rPr>
          <w:rFonts w:cs="Helvetica"/>
        </w:rPr>
        <w:t>The PIP</w:t>
      </w:r>
      <w:r>
        <w:rPr>
          <w:rFonts w:cs="Helvetica"/>
        </w:rPr>
        <w:t>-</w:t>
      </w:r>
      <w:r w:rsidRPr="00BF3994">
        <w:rPr>
          <w:rFonts w:cs="Helvetica"/>
        </w:rPr>
        <w:t xml:space="preserve">II </w:t>
      </w:r>
      <w:r w:rsidR="007B17F1">
        <w:rPr>
          <w:rFonts w:cs="Helvetica"/>
        </w:rPr>
        <w:t>l</w:t>
      </w:r>
      <w:r w:rsidRPr="00BF3994">
        <w:rPr>
          <w:rFonts w:cs="Helvetica"/>
        </w:rPr>
        <w:t xml:space="preserve">inear </w:t>
      </w:r>
      <w:r w:rsidR="007B17F1">
        <w:rPr>
          <w:rFonts w:cs="Helvetica"/>
        </w:rPr>
        <w:t>a</w:t>
      </w:r>
      <w:r w:rsidRPr="00BF3994">
        <w:rPr>
          <w:rFonts w:cs="Helvetica"/>
        </w:rPr>
        <w:t xml:space="preserve">ccelerator has assorted vacuum </w:t>
      </w:r>
      <w:r w:rsidR="00984967">
        <w:rPr>
          <w:rFonts w:cs="Helvetica"/>
        </w:rPr>
        <w:t>needs</w:t>
      </w:r>
      <w:r w:rsidR="00984967" w:rsidRPr="00BF3994">
        <w:rPr>
          <w:rFonts w:cs="Helvetica"/>
        </w:rPr>
        <w:t xml:space="preserve"> </w:t>
      </w:r>
      <w:r w:rsidRPr="00BF3994">
        <w:rPr>
          <w:rFonts w:cs="Helvetica"/>
        </w:rPr>
        <w:t>from the Ion Source through the various accelerating stages to the beamline that carries the H</w:t>
      </w:r>
      <w:r w:rsidRPr="00BF3994">
        <w:rPr>
          <w:rFonts w:cs="Helvetica"/>
          <w:vertAlign w:val="superscript"/>
        </w:rPr>
        <w:t>-</w:t>
      </w:r>
      <w:r w:rsidRPr="00BF3994">
        <w:rPr>
          <w:rFonts w:cs="Helvetica"/>
        </w:rPr>
        <w:t xml:space="preserve"> particles to the Booster </w:t>
      </w:r>
      <w:r w:rsidR="007B17F1">
        <w:rPr>
          <w:rFonts w:cs="Helvetica"/>
        </w:rPr>
        <w:t>a</w:t>
      </w:r>
      <w:r w:rsidRPr="00BF3994">
        <w:rPr>
          <w:rFonts w:cs="Helvetica"/>
        </w:rPr>
        <w:t xml:space="preserve">ccelerator including the Beam Dump.  </w:t>
      </w:r>
      <w:r w:rsidR="00BA53E5">
        <w:rPr>
          <w:rFonts w:cs="Helvetica"/>
        </w:rPr>
        <w:t>The high</w:t>
      </w:r>
      <w:r w:rsidR="007F5DD2">
        <w:rPr>
          <w:rFonts w:cs="Helvetica"/>
        </w:rPr>
        <w:t>-</w:t>
      </w:r>
      <w:r w:rsidR="00BA53E5">
        <w:rPr>
          <w:rFonts w:cs="Helvetica"/>
        </w:rPr>
        <w:t xml:space="preserve">level drivers for the </w:t>
      </w:r>
      <w:r w:rsidR="005678B7">
        <w:rPr>
          <w:rFonts w:cs="Helvetica"/>
        </w:rPr>
        <w:t>v</w:t>
      </w:r>
      <w:r w:rsidR="00BA53E5">
        <w:rPr>
          <w:rFonts w:cs="Helvetica"/>
        </w:rPr>
        <w:t xml:space="preserve">acuum </w:t>
      </w:r>
      <w:r w:rsidR="005678B7">
        <w:rPr>
          <w:rFonts w:cs="Helvetica"/>
        </w:rPr>
        <w:t>s</w:t>
      </w:r>
      <w:r w:rsidR="00BA53E5">
        <w:rPr>
          <w:rFonts w:cs="Helvetica"/>
        </w:rPr>
        <w:t xml:space="preserve">ystem are its impact on the beam performance (stripping, scattering, residual radiation) as well as the integrity of the superconducting </w:t>
      </w:r>
      <w:r w:rsidR="00A750BF">
        <w:rPr>
          <w:rFonts w:cs="Helvetica"/>
        </w:rPr>
        <w:t>radiofrequency (</w:t>
      </w:r>
      <w:r w:rsidR="006D0A9D">
        <w:rPr>
          <w:rFonts w:cs="Helvetica"/>
        </w:rPr>
        <w:t>RF</w:t>
      </w:r>
      <w:r w:rsidR="003E204A">
        <w:rPr>
          <w:rFonts w:cs="Helvetica"/>
        </w:rPr>
        <w:t>)</w:t>
      </w:r>
      <w:r w:rsidR="006D0A9D">
        <w:rPr>
          <w:rFonts w:cs="Helvetica"/>
        </w:rPr>
        <w:t xml:space="preserve"> cryo</w:t>
      </w:r>
      <w:r w:rsidR="00BA53E5">
        <w:rPr>
          <w:rFonts w:cs="Helvetica"/>
        </w:rPr>
        <w:t>modules</w:t>
      </w:r>
      <w:r w:rsidR="003E204A">
        <w:rPr>
          <w:rFonts w:cs="Helvetica"/>
        </w:rPr>
        <w:t xml:space="preserve"> (CM),</w:t>
      </w:r>
      <w:r w:rsidR="00BA53E5">
        <w:rPr>
          <w:rFonts w:cs="Helvetica"/>
        </w:rPr>
        <w:t xml:space="preserve"> due to the presence of particulate</w:t>
      </w:r>
      <w:r w:rsidR="007B17F1">
        <w:rPr>
          <w:rFonts w:cs="Helvetica"/>
        </w:rPr>
        <w:t>s</w:t>
      </w:r>
      <w:r w:rsidR="00BA53E5">
        <w:rPr>
          <w:rFonts w:cs="Helvetica"/>
        </w:rPr>
        <w:t xml:space="preserve"> and accumulation of gases.</w:t>
      </w:r>
    </w:p>
    <w:p w14:paraId="7A715612" w14:textId="77777777" w:rsidR="007F5DD2" w:rsidRDefault="007F5DD2" w:rsidP="00F03B4F">
      <w:pPr>
        <w:pStyle w:val="NotesBody11pt"/>
        <w:rPr>
          <w:rFonts w:cs="Helvetica"/>
        </w:rPr>
      </w:pPr>
    </w:p>
    <w:p w14:paraId="3CA6E780" w14:textId="38634DEB" w:rsidR="007F5DD2" w:rsidRDefault="00F03B4F" w:rsidP="00F03B4F">
      <w:pPr>
        <w:pStyle w:val="NotesBody11pt"/>
        <w:rPr>
          <w:rFonts w:cs="Helvetica"/>
        </w:rPr>
      </w:pPr>
      <w:r w:rsidRPr="00BF3994">
        <w:rPr>
          <w:rFonts w:cs="Helvetica"/>
        </w:rPr>
        <w:t>The complete PIP</w:t>
      </w:r>
      <w:r>
        <w:rPr>
          <w:rFonts w:cs="Helvetica"/>
        </w:rPr>
        <w:t>-</w:t>
      </w:r>
      <w:r w:rsidRPr="00BF3994">
        <w:rPr>
          <w:rFonts w:cs="Helvetica"/>
        </w:rPr>
        <w:t xml:space="preserve">II </w:t>
      </w:r>
      <w:r w:rsidR="007B17F1">
        <w:rPr>
          <w:rFonts w:cs="Helvetica"/>
        </w:rPr>
        <w:t>v</w:t>
      </w:r>
      <w:r w:rsidRPr="00BF3994">
        <w:rPr>
          <w:rFonts w:cs="Helvetica"/>
        </w:rPr>
        <w:t>acuum system consists of three regions</w:t>
      </w:r>
      <w:r w:rsidR="00A25642">
        <w:rPr>
          <w:rFonts w:cs="Helvetica"/>
        </w:rPr>
        <w:t xml:space="preserve">, </w:t>
      </w:r>
      <w:r w:rsidR="00362E55">
        <w:rPr>
          <w:rFonts w:cs="Helvetica"/>
        </w:rPr>
        <w:t xml:space="preserve">see </w:t>
      </w:r>
      <w:r w:rsidR="00EE489C">
        <w:rPr>
          <w:rFonts w:cs="Helvetica"/>
        </w:rPr>
        <w:fldChar w:fldCharType="begin"/>
      </w:r>
      <w:r w:rsidR="00EE489C">
        <w:rPr>
          <w:rFonts w:cs="Helvetica"/>
        </w:rPr>
        <w:instrText xml:space="preserve"> REF _Ref23928260 \h </w:instrText>
      </w:r>
      <w:r w:rsidR="00EE489C">
        <w:rPr>
          <w:rFonts w:cs="Helvetica"/>
        </w:rPr>
      </w:r>
      <w:r w:rsidR="00EE489C">
        <w:rPr>
          <w:rFonts w:cs="Helvetica"/>
        </w:rPr>
        <w:fldChar w:fldCharType="separate"/>
      </w:r>
      <w:r w:rsidR="00EE489C">
        <w:t xml:space="preserve">Figure </w:t>
      </w:r>
      <w:r w:rsidR="00EE489C">
        <w:rPr>
          <w:noProof/>
        </w:rPr>
        <w:t>4</w:t>
      </w:r>
      <w:r w:rsidR="00EE489C">
        <w:noBreakHyphen/>
      </w:r>
      <w:r w:rsidR="00EE489C">
        <w:rPr>
          <w:noProof/>
        </w:rPr>
        <w:t>1</w:t>
      </w:r>
      <w:r w:rsidR="00EE489C">
        <w:rPr>
          <w:rFonts w:cs="Helvetica"/>
        </w:rPr>
        <w:fldChar w:fldCharType="end"/>
      </w:r>
      <w:r w:rsidRPr="00BF3994">
        <w:rPr>
          <w:rFonts w:cs="Helvetica"/>
        </w:rPr>
        <w:t>:</w:t>
      </w:r>
    </w:p>
    <w:p w14:paraId="11F409E4" w14:textId="77777777" w:rsidR="0014375D" w:rsidRDefault="0014375D" w:rsidP="00F03B4F">
      <w:pPr>
        <w:pStyle w:val="NotesBody11pt"/>
        <w:rPr>
          <w:rFonts w:cs="Helvetica"/>
        </w:rPr>
      </w:pPr>
    </w:p>
    <w:p w14:paraId="1C04E7F7" w14:textId="77777777" w:rsidR="0014375D" w:rsidRDefault="0014375D" w:rsidP="0014375D">
      <w:pPr>
        <w:pStyle w:val="NotesBody11pt"/>
        <w:jc w:val="center"/>
      </w:pPr>
      <w:r>
        <w:rPr>
          <w:noProof/>
        </w:rPr>
        <w:drawing>
          <wp:inline distT="0" distB="0" distL="0" distR="0" wp14:anchorId="56256C3E" wp14:editId="352FBB51">
            <wp:extent cx="6148747" cy="1958082"/>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902431" cy="2198094"/>
                    </a:xfrm>
                    <a:prstGeom prst="rect">
                      <a:avLst/>
                    </a:prstGeom>
                  </pic:spPr>
                </pic:pic>
              </a:graphicData>
            </a:graphic>
          </wp:inline>
        </w:drawing>
      </w:r>
    </w:p>
    <w:p w14:paraId="70619206" w14:textId="77777777" w:rsidR="00CC5014" w:rsidRDefault="00CC5014" w:rsidP="0014375D">
      <w:pPr>
        <w:pStyle w:val="Caption"/>
        <w:jc w:val="center"/>
      </w:pPr>
      <w:bookmarkStart w:id="13" w:name="_Ref23928260"/>
    </w:p>
    <w:p w14:paraId="0343ABE0" w14:textId="4D487948" w:rsidR="0014375D" w:rsidRDefault="0014375D" w:rsidP="0014375D">
      <w:pPr>
        <w:pStyle w:val="Caption"/>
        <w:jc w:val="center"/>
      </w:pPr>
      <w:r>
        <w:t xml:space="preserve">Figure </w:t>
      </w:r>
      <w:r>
        <w:rPr>
          <w:noProof/>
        </w:rPr>
        <w:fldChar w:fldCharType="begin"/>
      </w:r>
      <w:r>
        <w:rPr>
          <w:noProof/>
        </w:rPr>
        <w:instrText xml:space="preserve"> STYLEREF 1 \s </w:instrText>
      </w:r>
      <w:r>
        <w:rPr>
          <w:noProof/>
        </w:rPr>
        <w:fldChar w:fldCharType="separate"/>
      </w:r>
      <w:r>
        <w:rPr>
          <w:noProof/>
        </w:rPr>
        <w:t>4</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bookmarkEnd w:id="13"/>
      <w:r>
        <w:t>.  PIP-II Vacuum System Regions</w:t>
      </w:r>
    </w:p>
    <w:p w14:paraId="38D344D8" w14:textId="77777777" w:rsidR="0014375D" w:rsidRPr="00BF3994" w:rsidRDefault="0014375D" w:rsidP="00F03B4F">
      <w:pPr>
        <w:pStyle w:val="NotesBody11pt"/>
        <w:rPr>
          <w:rFonts w:cs="Helvetica"/>
        </w:rPr>
      </w:pPr>
    </w:p>
    <w:p w14:paraId="45752B49" w14:textId="14EB83A4" w:rsidR="00EC4E36" w:rsidRPr="007D14D3" w:rsidRDefault="00F03B4F" w:rsidP="007D14D3">
      <w:pPr>
        <w:pStyle w:val="NotesBody11pt"/>
        <w:numPr>
          <w:ilvl w:val="0"/>
          <w:numId w:val="30"/>
        </w:numPr>
        <w:rPr>
          <w:rFonts w:cs="Helvetica"/>
        </w:rPr>
      </w:pPr>
      <w:r w:rsidRPr="00BF3994">
        <w:rPr>
          <w:rFonts w:cs="Helvetica"/>
        </w:rPr>
        <w:lastRenderedPageBreak/>
        <w:t>W</w:t>
      </w:r>
      <w:r w:rsidR="007B17F1">
        <w:rPr>
          <w:rFonts w:cs="Helvetica"/>
        </w:rPr>
        <w:t>FE</w:t>
      </w:r>
      <w:r w:rsidRPr="00BF3994">
        <w:rPr>
          <w:rFonts w:cs="Helvetica"/>
        </w:rPr>
        <w:t xml:space="preserve">, which </w:t>
      </w:r>
      <w:r>
        <w:rPr>
          <w:rFonts w:cs="Helvetica"/>
        </w:rPr>
        <w:t xml:space="preserve">is </w:t>
      </w:r>
      <w:r w:rsidRPr="00BF3994">
        <w:rPr>
          <w:rFonts w:cs="Helvetica"/>
        </w:rPr>
        <w:t>compose</w:t>
      </w:r>
      <w:r>
        <w:rPr>
          <w:rFonts w:cs="Helvetica"/>
        </w:rPr>
        <w:t>d</w:t>
      </w:r>
      <w:r w:rsidRPr="00BF3994">
        <w:rPr>
          <w:rFonts w:cs="Helvetica"/>
        </w:rPr>
        <w:t xml:space="preserve"> of </w:t>
      </w:r>
      <w:r>
        <w:rPr>
          <w:rFonts w:cs="Helvetica"/>
        </w:rPr>
        <w:t xml:space="preserve">the </w:t>
      </w:r>
      <w:r w:rsidRPr="00BF3994">
        <w:rPr>
          <w:rFonts w:cs="Helvetica"/>
        </w:rPr>
        <w:t xml:space="preserve">Ion source, </w:t>
      </w:r>
      <w:r w:rsidR="00C94DC7">
        <w:rPr>
          <w:rFonts w:cs="Helvetica"/>
        </w:rPr>
        <w:t>Low Energy Beam Transport (</w:t>
      </w:r>
      <w:r w:rsidRPr="00BF3994">
        <w:rPr>
          <w:rFonts w:cs="Helvetica"/>
        </w:rPr>
        <w:t>LEBT</w:t>
      </w:r>
      <w:r w:rsidR="00C94DC7">
        <w:rPr>
          <w:rFonts w:cs="Helvetica"/>
        </w:rPr>
        <w:t>)</w:t>
      </w:r>
      <w:r w:rsidRPr="00BF3994">
        <w:rPr>
          <w:rFonts w:cs="Helvetica"/>
        </w:rPr>
        <w:t xml:space="preserve">, </w:t>
      </w:r>
      <w:r w:rsidR="00C94DC7">
        <w:rPr>
          <w:rFonts w:cs="Helvetica"/>
        </w:rPr>
        <w:t>Radio</w:t>
      </w:r>
      <w:r w:rsidR="00341682">
        <w:rPr>
          <w:rFonts w:cs="Helvetica"/>
        </w:rPr>
        <w:t xml:space="preserve"> F</w:t>
      </w:r>
      <w:r w:rsidR="00C94DC7">
        <w:rPr>
          <w:rFonts w:cs="Helvetica"/>
        </w:rPr>
        <w:t xml:space="preserve">requency </w:t>
      </w:r>
      <w:r w:rsidR="00341682">
        <w:rPr>
          <w:rFonts w:cs="Helvetica"/>
        </w:rPr>
        <w:t xml:space="preserve">Quadrupole </w:t>
      </w:r>
      <w:r w:rsidR="00C94DC7">
        <w:rPr>
          <w:rFonts w:cs="Helvetica"/>
        </w:rPr>
        <w:t>(</w:t>
      </w:r>
      <w:r w:rsidRPr="00BF3994">
        <w:rPr>
          <w:rFonts w:cs="Helvetica"/>
        </w:rPr>
        <w:t>RFQ</w:t>
      </w:r>
      <w:r w:rsidR="00C94DC7">
        <w:rPr>
          <w:rFonts w:cs="Helvetica"/>
        </w:rPr>
        <w:t>)</w:t>
      </w:r>
      <w:r w:rsidR="00341682">
        <w:rPr>
          <w:rFonts w:cs="Helvetica"/>
        </w:rPr>
        <w:t xml:space="preserve"> and</w:t>
      </w:r>
      <w:r w:rsidRPr="00BF3994">
        <w:rPr>
          <w:rFonts w:cs="Helvetica"/>
        </w:rPr>
        <w:t xml:space="preserve"> </w:t>
      </w:r>
      <w:r w:rsidR="00341682">
        <w:rPr>
          <w:rFonts w:cs="Helvetica"/>
        </w:rPr>
        <w:t>Medium Energy Beam Transport (</w:t>
      </w:r>
      <w:r w:rsidRPr="00BF3994">
        <w:rPr>
          <w:rFonts w:cs="Helvetica"/>
        </w:rPr>
        <w:t>MEBT</w:t>
      </w:r>
      <w:r w:rsidR="00341682">
        <w:rPr>
          <w:rFonts w:cs="Helvetica"/>
        </w:rPr>
        <w:t>)</w:t>
      </w:r>
      <w:r w:rsidRPr="00BF3994">
        <w:rPr>
          <w:rFonts w:cs="Helvetica"/>
        </w:rPr>
        <w:t>.</w:t>
      </w:r>
    </w:p>
    <w:p w14:paraId="77C424C5" w14:textId="48393F2D" w:rsidR="00EC4E36" w:rsidRPr="007D14D3" w:rsidRDefault="00F03B4F" w:rsidP="00EC4E36">
      <w:pPr>
        <w:pStyle w:val="NotesBody11pt"/>
        <w:numPr>
          <w:ilvl w:val="0"/>
          <w:numId w:val="30"/>
        </w:numPr>
        <w:rPr>
          <w:rFonts w:cs="Helvetica"/>
        </w:rPr>
      </w:pPr>
      <w:r w:rsidRPr="00BF3994">
        <w:rPr>
          <w:rFonts w:cs="Helvetica"/>
        </w:rPr>
        <w:t>SRF L</w:t>
      </w:r>
      <w:r w:rsidR="003D3199">
        <w:rPr>
          <w:rFonts w:cs="Helvetica"/>
        </w:rPr>
        <w:t>inac</w:t>
      </w:r>
      <w:r w:rsidRPr="00BF3994">
        <w:rPr>
          <w:rFonts w:cs="Helvetica"/>
        </w:rPr>
        <w:t xml:space="preserve">, which </w:t>
      </w:r>
      <w:r>
        <w:rPr>
          <w:rFonts w:cs="Helvetica"/>
        </w:rPr>
        <w:t xml:space="preserve">is </w:t>
      </w:r>
      <w:r w:rsidRPr="00BF3994">
        <w:rPr>
          <w:rFonts w:cs="Helvetica"/>
        </w:rPr>
        <w:t>compose</w:t>
      </w:r>
      <w:r>
        <w:rPr>
          <w:rFonts w:cs="Helvetica"/>
        </w:rPr>
        <w:t>d</w:t>
      </w:r>
      <w:r w:rsidRPr="00BF3994">
        <w:rPr>
          <w:rFonts w:cs="Helvetica"/>
        </w:rPr>
        <w:t xml:space="preserve"> </w:t>
      </w:r>
      <w:r>
        <w:rPr>
          <w:rFonts w:cs="Helvetica"/>
        </w:rPr>
        <w:t>of the</w:t>
      </w:r>
      <w:r w:rsidRPr="00BF3994">
        <w:rPr>
          <w:rFonts w:cs="Helvetica"/>
        </w:rPr>
        <w:t xml:space="preserve"> HWR, SSR1, SSR2, LB650</w:t>
      </w:r>
      <w:r w:rsidR="007B17F1">
        <w:rPr>
          <w:rFonts w:cs="Helvetica"/>
        </w:rPr>
        <w:t xml:space="preserve"> and</w:t>
      </w:r>
      <w:r>
        <w:rPr>
          <w:rFonts w:cs="Helvetica"/>
        </w:rPr>
        <w:t xml:space="preserve"> </w:t>
      </w:r>
      <w:r w:rsidRPr="00BF3994">
        <w:rPr>
          <w:rFonts w:cs="Helvetica"/>
        </w:rPr>
        <w:t>H</w:t>
      </w:r>
      <w:r>
        <w:rPr>
          <w:rFonts w:cs="Helvetica"/>
        </w:rPr>
        <w:t>B</w:t>
      </w:r>
      <w:r w:rsidRPr="00BF3994">
        <w:rPr>
          <w:rFonts w:cs="Helvetica"/>
        </w:rPr>
        <w:t>650</w:t>
      </w:r>
      <w:r w:rsidR="007B17F1">
        <w:rPr>
          <w:rFonts w:cs="Helvetica"/>
        </w:rPr>
        <w:t xml:space="preserve"> </w:t>
      </w:r>
      <w:r w:rsidR="00C94DC7">
        <w:rPr>
          <w:rFonts w:cs="Helvetica"/>
        </w:rPr>
        <w:t>CMs</w:t>
      </w:r>
      <w:r w:rsidRPr="00BF3994">
        <w:rPr>
          <w:rFonts w:cs="Helvetica"/>
        </w:rPr>
        <w:t xml:space="preserve"> </w:t>
      </w:r>
      <w:r>
        <w:rPr>
          <w:rFonts w:cs="Helvetica"/>
        </w:rPr>
        <w:t>and the warm units in between the CMs.</w:t>
      </w:r>
    </w:p>
    <w:p w14:paraId="513EA895" w14:textId="146D316C" w:rsidR="00045CDC" w:rsidRPr="007505B9" w:rsidRDefault="00F03B4F" w:rsidP="00F03B4F">
      <w:pPr>
        <w:pStyle w:val="NotesBody11pt"/>
        <w:numPr>
          <w:ilvl w:val="0"/>
          <w:numId w:val="30"/>
        </w:numPr>
        <w:rPr>
          <w:rFonts w:cs="Helvetica"/>
        </w:rPr>
      </w:pPr>
      <w:r w:rsidRPr="00BF3994">
        <w:rPr>
          <w:rFonts w:cs="Helvetica"/>
        </w:rPr>
        <w:t>B</w:t>
      </w:r>
      <w:r w:rsidR="007B17F1">
        <w:rPr>
          <w:rFonts w:cs="Helvetica"/>
        </w:rPr>
        <w:t>TL</w:t>
      </w:r>
      <w:r w:rsidRPr="00BF3994">
        <w:rPr>
          <w:rFonts w:cs="Helvetica"/>
        </w:rPr>
        <w:t xml:space="preserve"> to Booster and </w:t>
      </w:r>
      <w:r w:rsidR="007B17F1">
        <w:rPr>
          <w:rFonts w:cs="Helvetica"/>
        </w:rPr>
        <w:t>b</w:t>
      </w:r>
      <w:r w:rsidRPr="00BF3994">
        <w:rPr>
          <w:rFonts w:cs="Helvetica"/>
        </w:rPr>
        <w:t>eam abort line</w:t>
      </w:r>
      <w:r w:rsidR="007B17F1">
        <w:rPr>
          <w:rFonts w:cs="Helvetica"/>
        </w:rPr>
        <w:t xml:space="preserve"> (BAL)</w:t>
      </w:r>
      <w:r w:rsidRPr="00BF3994">
        <w:rPr>
          <w:rFonts w:cs="Helvetica"/>
        </w:rPr>
        <w:t>.</w:t>
      </w:r>
    </w:p>
    <w:p w14:paraId="3479B5D6" w14:textId="77777777" w:rsidR="0064496D" w:rsidRDefault="0064496D" w:rsidP="0064496D">
      <w:pPr>
        <w:pStyle w:val="NotesBody11pt"/>
        <w:rPr>
          <w:rFonts w:cs="Helvetica"/>
        </w:rPr>
      </w:pPr>
    </w:p>
    <w:p w14:paraId="28089100" w14:textId="74C7EA70" w:rsidR="0064496D" w:rsidRPr="00BF3994" w:rsidRDefault="0064496D" w:rsidP="0064496D">
      <w:pPr>
        <w:pStyle w:val="NotesBody11pt"/>
        <w:rPr>
          <w:rFonts w:cs="Helvetica"/>
        </w:rPr>
      </w:pPr>
      <w:r w:rsidRPr="00BF3994">
        <w:rPr>
          <w:rFonts w:cs="Helvetica"/>
        </w:rPr>
        <w:t xml:space="preserve">The first two regions have been prototyped in an experiment referred to here as PIP2IT.  As PIP2IT is a prototype of the PIP-II front end, it will be used to validate the design concept and </w:t>
      </w:r>
      <w:r>
        <w:rPr>
          <w:rFonts w:cs="Helvetica"/>
        </w:rPr>
        <w:t xml:space="preserve">help </w:t>
      </w:r>
      <w:r w:rsidRPr="00BF3994">
        <w:rPr>
          <w:rFonts w:cs="Helvetica"/>
        </w:rPr>
        <w:t xml:space="preserve">decrease technical risks.  PIP2IT’s vacuum system design philosophy will also be validated and will provide design guidance for PIP-II, especially the quantitative requirement of low particulate vacuum. </w:t>
      </w:r>
    </w:p>
    <w:p w14:paraId="6BAF6378" w14:textId="77777777" w:rsidR="0064496D" w:rsidRDefault="0064496D" w:rsidP="0064496D">
      <w:pPr>
        <w:pStyle w:val="NotesBody11pt"/>
        <w:rPr>
          <w:rFonts w:cs="Helvetica"/>
        </w:rPr>
      </w:pPr>
    </w:p>
    <w:p w14:paraId="4486E46C" w14:textId="66C8342B" w:rsidR="007D14D3" w:rsidRPr="0014375D" w:rsidRDefault="0064496D" w:rsidP="00F03B4F">
      <w:pPr>
        <w:pStyle w:val="NotesBody11pt"/>
        <w:rPr>
          <w:rFonts w:cs="Helvetica"/>
        </w:rPr>
      </w:pPr>
      <w:r>
        <w:rPr>
          <w:rFonts w:cs="Helvetica"/>
        </w:rPr>
        <w:t>The environments adjacent to the CMs must be designed to preclude a significant particle influx in the event of an unexpected loss of vacuum.  This is driven by the need to ensure the performance of the CMs over the long run but still be practical and cost effective.</w:t>
      </w:r>
    </w:p>
    <w:p w14:paraId="30F80AD3" w14:textId="497A1522" w:rsidR="00A04457" w:rsidRDefault="00012041" w:rsidP="003637ED">
      <w:pPr>
        <w:pStyle w:val="Heading1"/>
      </w:pPr>
      <w:bookmarkStart w:id="14" w:name="_Toc153270088"/>
      <w:r>
        <w:t xml:space="preserve">Basis </w:t>
      </w:r>
      <w:r w:rsidR="003F5523">
        <w:t>for the requirements</w:t>
      </w:r>
      <w:bookmarkEnd w:id="14"/>
    </w:p>
    <w:p w14:paraId="43A289DD" w14:textId="5FCDFD3E" w:rsidR="00C66CE4" w:rsidRDefault="004F08FE" w:rsidP="00FA1E1D">
      <w:pPr>
        <w:pStyle w:val="NotesBody11pt"/>
      </w:pPr>
      <w:r>
        <w:t>Based on</w:t>
      </w:r>
      <w:r w:rsidR="00B16B86">
        <w:t xml:space="preserve"> beam loss due </w:t>
      </w:r>
      <w:r w:rsidR="00984967">
        <w:t>to H</w:t>
      </w:r>
      <w:r w:rsidRPr="0076593F">
        <w:rPr>
          <w:vertAlign w:val="superscript"/>
        </w:rPr>
        <w:t>-</w:t>
      </w:r>
      <w:r>
        <w:t xml:space="preserve"> strip</w:t>
      </w:r>
      <w:r w:rsidR="00464787">
        <w:t>p</w:t>
      </w:r>
      <w:r>
        <w:t>ing</w:t>
      </w:r>
      <w:r w:rsidR="00CB0E36">
        <w:t xml:space="preserve"> [3]</w:t>
      </w:r>
      <w:r w:rsidR="00B16B86">
        <w:t>, the general residual gas (H</w:t>
      </w:r>
      <w:r w:rsidR="00B16B86" w:rsidRPr="0076593F">
        <w:rPr>
          <w:vertAlign w:val="subscript"/>
        </w:rPr>
        <w:t>2</w:t>
      </w:r>
      <w:r w:rsidR="00A4510B">
        <w:t>-</w:t>
      </w:r>
      <w:r w:rsidR="00B16B86">
        <w:t xml:space="preserve">dominated) </w:t>
      </w:r>
      <w:r w:rsidR="001C59C5">
        <w:t xml:space="preserve">upper </w:t>
      </w:r>
      <w:r w:rsidR="00B16B86">
        <w:t>pressure</w:t>
      </w:r>
      <w:r w:rsidR="001C59C5">
        <w:t xml:space="preserve"> limits </w:t>
      </w:r>
      <w:r w:rsidR="00B16B86">
        <w:t>were set</w:t>
      </w:r>
      <w:r w:rsidR="00695EA8">
        <w:t xml:space="preserve"> to a range of</w:t>
      </w:r>
      <w:r w:rsidR="00B16B86">
        <w:t xml:space="preserve"> </w:t>
      </w:r>
      <w:r w:rsidR="0076593F">
        <w:t>1x10</w:t>
      </w:r>
      <w:r w:rsidR="00B16B86" w:rsidRPr="0076593F">
        <w:rPr>
          <w:vertAlign w:val="superscript"/>
        </w:rPr>
        <w:t>-</w:t>
      </w:r>
      <w:r w:rsidR="00695EA8" w:rsidRPr="0076593F">
        <w:rPr>
          <w:vertAlign w:val="superscript"/>
        </w:rPr>
        <w:t>2</w:t>
      </w:r>
      <w:r w:rsidR="00B16B86">
        <w:t xml:space="preserve"> </w:t>
      </w:r>
      <w:r w:rsidR="00D351AB">
        <w:t>mbar</w:t>
      </w:r>
      <w:r w:rsidR="00B16B86">
        <w:t xml:space="preserve"> </w:t>
      </w:r>
      <w:r w:rsidR="00695EA8">
        <w:t xml:space="preserve">to </w:t>
      </w:r>
      <w:r w:rsidR="0076593F">
        <w:t>1x10</w:t>
      </w:r>
      <w:r w:rsidR="00695EA8" w:rsidRPr="0076593F">
        <w:rPr>
          <w:vertAlign w:val="superscript"/>
        </w:rPr>
        <w:t>-</w:t>
      </w:r>
      <w:r w:rsidR="00EE2739" w:rsidRPr="0076593F">
        <w:rPr>
          <w:vertAlign w:val="superscript"/>
        </w:rPr>
        <w:t>7</w:t>
      </w:r>
      <w:r w:rsidR="00695EA8">
        <w:t xml:space="preserve"> </w:t>
      </w:r>
      <w:r w:rsidR="00D351AB">
        <w:t>mbar</w:t>
      </w:r>
      <w:r w:rsidR="00695EA8">
        <w:t xml:space="preserve"> </w:t>
      </w:r>
      <w:r w:rsidR="00B16B86">
        <w:t xml:space="preserve">for </w:t>
      </w:r>
      <w:r w:rsidR="00573A73">
        <w:t xml:space="preserve">the </w:t>
      </w:r>
      <w:r w:rsidR="007B17F1">
        <w:t>WFE</w:t>
      </w:r>
      <w:r w:rsidR="00B16B86">
        <w:t xml:space="preserve"> and </w:t>
      </w:r>
      <w:r w:rsidR="0076593F">
        <w:t>5x10</w:t>
      </w:r>
      <w:r w:rsidR="00B16B86" w:rsidRPr="0076593F">
        <w:rPr>
          <w:vertAlign w:val="superscript"/>
        </w:rPr>
        <w:t>-</w:t>
      </w:r>
      <w:r w:rsidR="00605D40" w:rsidRPr="0076593F">
        <w:rPr>
          <w:vertAlign w:val="superscript"/>
        </w:rPr>
        <w:t>8</w:t>
      </w:r>
      <w:r w:rsidR="00B16B86">
        <w:t xml:space="preserve"> </w:t>
      </w:r>
      <w:r w:rsidR="00D351AB">
        <w:t>mbar</w:t>
      </w:r>
      <w:r w:rsidR="00B16B86">
        <w:t xml:space="preserve"> for </w:t>
      </w:r>
      <w:r w:rsidR="00573A73">
        <w:t xml:space="preserve">the </w:t>
      </w:r>
      <w:r w:rsidR="007B17F1">
        <w:t>BTL</w:t>
      </w:r>
      <w:r w:rsidR="00BF20F5">
        <w:t>.</w:t>
      </w:r>
      <w:r w:rsidR="00CB0E36">
        <w:t xml:space="preserve"> </w:t>
      </w:r>
    </w:p>
    <w:p w14:paraId="1CD337C2" w14:textId="77777777" w:rsidR="00C66CE4" w:rsidRDefault="00C66CE4" w:rsidP="00FA1E1D">
      <w:pPr>
        <w:pStyle w:val="NotesBody11pt"/>
      </w:pPr>
    </w:p>
    <w:p w14:paraId="46E0D489" w14:textId="3B47E011" w:rsidR="007D14D3" w:rsidRDefault="00B16B86" w:rsidP="00FA1E1D">
      <w:pPr>
        <w:pStyle w:val="NotesBody11pt"/>
      </w:pPr>
      <w:r>
        <w:t xml:space="preserve">However, in the areas adjacent </w:t>
      </w:r>
      <w:r w:rsidR="00380AF0">
        <w:t xml:space="preserve">to </w:t>
      </w:r>
      <w:r w:rsidR="007B17F1">
        <w:t xml:space="preserve">the </w:t>
      </w:r>
      <w:r w:rsidR="00874F92">
        <w:t>CMs</w:t>
      </w:r>
      <w:r>
        <w:t xml:space="preserve">, the pressure will </w:t>
      </w:r>
      <w:r w:rsidR="00984967">
        <w:t xml:space="preserve">be </w:t>
      </w:r>
      <w:r>
        <w:t>limit</w:t>
      </w:r>
      <w:r w:rsidR="00984967">
        <w:t>ed</w:t>
      </w:r>
      <w:r>
        <w:t xml:space="preserve"> to</w:t>
      </w:r>
      <w:r w:rsidR="00CD5591">
        <w:t xml:space="preserve"> </w:t>
      </w:r>
      <w:r w:rsidR="0076593F">
        <w:t>1x10</w:t>
      </w:r>
      <w:r w:rsidR="005F25D1" w:rsidRPr="0076593F">
        <w:rPr>
          <w:vertAlign w:val="superscript"/>
        </w:rPr>
        <w:t>-7</w:t>
      </w:r>
      <w:r w:rsidR="005F25D1">
        <w:t xml:space="preserve"> </w:t>
      </w:r>
      <w:r w:rsidR="00D351AB">
        <w:t>mbar</w:t>
      </w:r>
      <w:r w:rsidR="001517B4">
        <w:t xml:space="preserve"> </w:t>
      </w:r>
      <w:r w:rsidR="005F25D1">
        <w:t xml:space="preserve">at room temperature, and </w:t>
      </w:r>
      <w:r w:rsidR="0076593F">
        <w:t>1x10</w:t>
      </w:r>
      <w:r w:rsidRPr="0076593F">
        <w:rPr>
          <w:vertAlign w:val="superscript"/>
        </w:rPr>
        <w:t>-9</w:t>
      </w:r>
      <w:r>
        <w:t xml:space="preserve"> </w:t>
      </w:r>
      <w:r w:rsidR="00D351AB">
        <w:t>mbar</w:t>
      </w:r>
      <w:r>
        <w:t xml:space="preserve"> </w:t>
      </w:r>
      <w:r w:rsidR="005F25D1">
        <w:t>when at 4</w:t>
      </w:r>
      <w:r w:rsidR="003F657D">
        <w:t xml:space="preserve"> </w:t>
      </w:r>
      <w:r w:rsidR="005F25D1">
        <w:t xml:space="preserve">K </w:t>
      </w:r>
      <w:r w:rsidR="005825AF">
        <w:t xml:space="preserve">and </w:t>
      </w:r>
      <w:r w:rsidR="006D0A9D">
        <w:t>colder</w:t>
      </w:r>
      <w:r w:rsidR="005825AF">
        <w:t xml:space="preserve"> </w:t>
      </w:r>
      <w:r>
        <w:t xml:space="preserve">in order to reduce the gas flux entering </w:t>
      </w:r>
      <w:r w:rsidR="006D0A9D">
        <w:t xml:space="preserve">the </w:t>
      </w:r>
      <w:r w:rsidR="00874F92">
        <w:t>CMs</w:t>
      </w:r>
      <w:r>
        <w:t xml:space="preserve"> and condens</w:t>
      </w:r>
      <w:r w:rsidR="006D0A9D">
        <w:t>ing</w:t>
      </w:r>
      <w:r>
        <w:t xml:space="preserve"> on </w:t>
      </w:r>
      <w:r w:rsidR="007B17F1">
        <w:t xml:space="preserve">the </w:t>
      </w:r>
      <w:r>
        <w:t xml:space="preserve">surfaces of </w:t>
      </w:r>
      <w:r w:rsidR="006D0A9D">
        <w:t xml:space="preserve">the </w:t>
      </w:r>
      <w:r>
        <w:t>SRF cavities</w:t>
      </w:r>
      <w:r w:rsidR="00802EAA">
        <w:t xml:space="preserve">, based on the results </w:t>
      </w:r>
      <w:r w:rsidR="00984967">
        <w:t xml:space="preserve">of a </w:t>
      </w:r>
      <w:r w:rsidR="00D351AB">
        <w:t>Molflow</w:t>
      </w:r>
      <w:r w:rsidR="00802EAA">
        <w:t xml:space="preserve"> simulation.</w:t>
      </w:r>
      <w:r w:rsidR="00C30B16">
        <w:t xml:space="preserve">  The results of this simulation can be found in </w:t>
      </w:r>
      <w:r w:rsidR="00D40886">
        <w:t>reference [4]</w:t>
      </w:r>
      <w:r w:rsidR="00401C84">
        <w:t>.</w:t>
      </w:r>
    </w:p>
    <w:p w14:paraId="1AC6FF72" w14:textId="77777777" w:rsidR="001F3486" w:rsidRDefault="001F3486" w:rsidP="00FA1E1D">
      <w:pPr>
        <w:pStyle w:val="NotesBody11pt"/>
      </w:pPr>
    </w:p>
    <w:p w14:paraId="44B35E9F" w14:textId="2453B4CF" w:rsidR="001F3486" w:rsidRPr="00FA1E1D" w:rsidRDefault="001F3486" w:rsidP="00FA1E1D">
      <w:pPr>
        <w:pStyle w:val="NotesBody11pt"/>
      </w:pPr>
      <w:r>
        <w:t>The cold sections of the SCL are the scope of SRF Cryo</w:t>
      </w:r>
      <w:r w:rsidR="004C59A4">
        <w:t>genics</w:t>
      </w:r>
      <w:r>
        <w:t>.</w:t>
      </w:r>
    </w:p>
    <w:p w14:paraId="1A87F7F8" w14:textId="12FDF003" w:rsidR="007F69B3" w:rsidRDefault="00DB06BD" w:rsidP="007F69B3">
      <w:pPr>
        <w:pStyle w:val="Heading1"/>
      </w:pPr>
      <w:bookmarkStart w:id="15" w:name="_Toc153270089"/>
      <w:r>
        <w:t>Residual Vacuum Pressure Requirements for Beam Line Components</w:t>
      </w:r>
      <w:bookmarkEnd w:id="15"/>
    </w:p>
    <w:p w14:paraId="0F58E566" w14:textId="1BF3ABE4" w:rsidR="00F4201B" w:rsidRDefault="00DB06BD" w:rsidP="00C96B45">
      <w:pPr>
        <w:pStyle w:val="NotesBody11pt"/>
      </w:pPr>
      <w:r>
        <w:t>The pressure</w:t>
      </w:r>
      <w:r w:rsidR="00984967">
        <w:t>s</w:t>
      </w:r>
      <w:r>
        <w:t xml:space="preserve"> shown </w:t>
      </w:r>
      <w:r w:rsidR="00984967">
        <w:t xml:space="preserve">in </w:t>
      </w:r>
      <w:r w:rsidR="004479D9">
        <w:fldChar w:fldCharType="begin"/>
      </w:r>
      <w:r w:rsidR="004479D9">
        <w:instrText xml:space="preserve"> REF _Ref22196891 \h </w:instrText>
      </w:r>
      <w:r w:rsidR="004479D9">
        <w:fldChar w:fldCharType="separate"/>
      </w:r>
      <w:r w:rsidR="004479D9">
        <w:t xml:space="preserve">Table </w:t>
      </w:r>
      <w:r w:rsidR="004479D9">
        <w:rPr>
          <w:noProof/>
        </w:rPr>
        <w:t>6</w:t>
      </w:r>
      <w:r w:rsidR="004479D9">
        <w:noBreakHyphen/>
      </w:r>
      <w:r w:rsidR="004479D9">
        <w:rPr>
          <w:noProof/>
        </w:rPr>
        <w:t>1</w:t>
      </w:r>
      <w:r w:rsidR="004479D9">
        <w:fldChar w:fldCharType="end"/>
      </w:r>
      <w:r w:rsidR="00984967">
        <w:t xml:space="preserve"> </w:t>
      </w:r>
      <w:r w:rsidR="00234E91">
        <w:t xml:space="preserve">should serve as a design goal </w:t>
      </w:r>
      <w:r w:rsidR="003A607D">
        <w:t xml:space="preserve">for </w:t>
      </w:r>
      <w:r w:rsidR="00234E91">
        <w:t xml:space="preserve">the vacuum system. The numbers assume </w:t>
      </w:r>
      <w:r>
        <w:t>beam operations</w:t>
      </w:r>
      <w:r w:rsidR="00021989">
        <w:t xml:space="preserve"> with cold cryomodules,</w:t>
      </w:r>
      <w:r w:rsidR="00234E91">
        <w:t xml:space="preserve"> after initial outgassing and component break-in are complete. The residual pressure without beam should not exceed the specified numbers. </w:t>
      </w:r>
    </w:p>
    <w:p w14:paraId="59FD04DC" w14:textId="77777777" w:rsidR="004C59A4" w:rsidRDefault="004C59A4" w:rsidP="00C96B45">
      <w:pPr>
        <w:pStyle w:val="NotesBody11pt"/>
      </w:pPr>
    </w:p>
    <w:p w14:paraId="37BBD826" w14:textId="77777777" w:rsidR="004C59A4" w:rsidRDefault="004C59A4" w:rsidP="00C96B45">
      <w:pPr>
        <w:pStyle w:val="NotesBody11pt"/>
      </w:pPr>
    </w:p>
    <w:p w14:paraId="4B9815AE" w14:textId="77777777" w:rsidR="004C59A4" w:rsidRDefault="004C59A4" w:rsidP="00C96B45">
      <w:pPr>
        <w:pStyle w:val="NotesBody11pt"/>
      </w:pPr>
    </w:p>
    <w:p w14:paraId="0DB48A1A" w14:textId="77777777" w:rsidR="004C59A4" w:rsidRDefault="004C59A4" w:rsidP="00C96B45">
      <w:pPr>
        <w:pStyle w:val="NotesBody11pt"/>
      </w:pPr>
    </w:p>
    <w:p w14:paraId="6C04A366" w14:textId="77777777" w:rsidR="004C59A4" w:rsidRDefault="004C59A4" w:rsidP="00C96B45">
      <w:pPr>
        <w:pStyle w:val="NotesBody11pt"/>
      </w:pPr>
    </w:p>
    <w:p w14:paraId="008FF155" w14:textId="77777777" w:rsidR="004C59A4" w:rsidRDefault="004C59A4" w:rsidP="00C96B45">
      <w:pPr>
        <w:pStyle w:val="NotesBody11pt"/>
      </w:pPr>
    </w:p>
    <w:p w14:paraId="3C235DAD" w14:textId="77777777" w:rsidR="004C59A4" w:rsidRDefault="004C59A4" w:rsidP="00C96B45">
      <w:pPr>
        <w:pStyle w:val="NotesBody11pt"/>
      </w:pPr>
    </w:p>
    <w:p w14:paraId="6F072067" w14:textId="77777777" w:rsidR="004C59A4" w:rsidRDefault="004C59A4" w:rsidP="00C96B45">
      <w:pPr>
        <w:pStyle w:val="NotesBody11pt"/>
      </w:pPr>
    </w:p>
    <w:p w14:paraId="03786BDE" w14:textId="77777777" w:rsidR="00D737FE" w:rsidRDefault="00D737FE" w:rsidP="00C96B45">
      <w:pPr>
        <w:pStyle w:val="NotesBody11pt"/>
      </w:pPr>
    </w:p>
    <w:p w14:paraId="20877373" w14:textId="512BB72F" w:rsidR="00D218CA" w:rsidRPr="00B950FA" w:rsidRDefault="00D218CA" w:rsidP="00D218CA">
      <w:pPr>
        <w:pStyle w:val="Caption"/>
        <w:jc w:val="center"/>
        <w:rPr>
          <w:rFonts w:cs="Helvetica"/>
          <w:szCs w:val="22"/>
        </w:rPr>
      </w:pPr>
      <w:bookmarkStart w:id="16" w:name="_Ref22196891"/>
      <w:r>
        <w:lastRenderedPageBreak/>
        <w:t xml:space="preserve">Table </w:t>
      </w:r>
      <w:r w:rsidR="001F4D5B">
        <w:rPr>
          <w:noProof/>
        </w:rPr>
        <w:fldChar w:fldCharType="begin"/>
      </w:r>
      <w:r w:rsidR="001F4D5B">
        <w:rPr>
          <w:noProof/>
        </w:rPr>
        <w:instrText xml:space="preserve"> STYLEREF 1 \s </w:instrText>
      </w:r>
      <w:r w:rsidR="001F4D5B">
        <w:rPr>
          <w:noProof/>
        </w:rPr>
        <w:fldChar w:fldCharType="separate"/>
      </w:r>
      <w:r w:rsidR="00D67BB6">
        <w:rPr>
          <w:noProof/>
        </w:rPr>
        <w:t>6</w:t>
      </w:r>
      <w:r w:rsidR="001F4D5B">
        <w:rPr>
          <w:noProof/>
        </w:rPr>
        <w:fldChar w:fldCharType="end"/>
      </w:r>
      <w:r>
        <w:noBreakHyphen/>
      </w:r>
      <w:r w:rsidR="001F4D5B">
        <w:rPr>
          <w:noProof/>
        </w:rPr>
        <w:fldChar w:fldCharType="begin"/>
      </w:r>
      <w:r w:rsidR="001F4D5B">
        <w:rPr>
          <w:noProof/>
        </w:rPr>
        <w:instrText xml:space="preserve"> SEQ Table \* ARABIC \s 1 </w:instrText>
      </w:r>
      <w:r w:rsidR="001F4D5B">
        <w:rPr>
          <w:noProof/>
        </w:rPr>
        <w:fldChar w:fldCharType="separate"/>
      </w:r>
      <w:r w:rsidR="00D67BB6">
        <w:rPr>
          <w:noProof/>
        </w:rPr>
        <w:t>1</w:t>
      </w:r>
      <w:r w:rsidR="001F4D5B">
        <w:rPr>
          <w:noProof/>
        </w:rPr>
        <w:fldChar w:fldCharType="end"/>
      </w:r>
      <w:bookmarkEnd w:id="16"/>
      <w:r>
        <w:t xml:space="preserve">. Beam vacuum </w:t>
      </w:r>
      <w:r w:rsidR="004320F6">
        <w:t xml:space="preserve">operational </w:t>
      </w:r>
      <w:r>
        <w:t>requirements.</w:t>
      </w:r>
    </w:p>
    <w:tbl>
      <w:tblPr>
        <w:tblStyle w:val="TableGrid1"/>
        <w:tblW w:w="10435" w:type="dxa"/>
        <w:jc w:val="center"/>
        <w:tblLayout w:type="fixed"/>
        <w:tblLook w:val="04A0" w:firstRow="1" w:lastRow="0" w:firstColumn="1" w:lastColumn="0" w:noHBand="0" w:noVBand="1"/>
      </w:tblPr>
      <w:tblGrid>
        <w:gridCol w:w="1435"/>
        <w:gridCol w:w="995"/>
        <w:gridCol w:w="985"/>
        <w:gridCol w:w="990"/>
        <w:gridCol w:w="980"/>
        <w:gridCol w:w="10"/>
        <w:gridCol w:w="1015"/>
        <w:gridCol w:w="930"/>
        <w:gridCol w:w="1025"/>
        <w:gridCol w:w="1080"/>
        <w:gridCol w:w="990"/>
      </w:tblGrid>
      <w:tr w:rsidR="00D218CA" w14:paraId="6FA7D1AA" w14:textId="77777777" w:rsidTr="002377F0">
        <w:trPr>
          <w:trHeight w:val="360"/>
          <w:jc w:val="center"/>
        </w:trPr>
        <w:tc>
          <w:tcPr>
            <w:tcW w:w="1435" w:type="dxa"/>
            <w:vAlign w:val="center"/>
          </w:tcPr>
          <w:p w14:paraId="0764D281" w14:textId="77777777" w:rsidR="00D218CA" w:rsidRPr="00C0669E" w:rsidRDefault="00D218CA" w:rsidP="007B17F1">
            <w:pPr>
              <w:jc w:val="center"/>
              <w:rPr>
                <w:rFonts w:ascii="Helvetica" w:hAnsi="Helvetica" w:cs="Helvetica"/>
                <w:b/>
                <w:sz w:val="22"/>
                <w:szCs w:val="22"/>
              </w:rPr>
            </w:pPr>
          </w:p>
        </w:tc>
        <w:tc>
          <w:tcPr>
            <w:tcW w:w="995" w:type="dxa"/>
            <w:vAlign w:val="center"/>
          </w:tcPr>
          <w:p w14:paraId="41EC5C88" w14:textId="77777777" w:rsidR="00D218CA" w:rsidRPr="00C0669E" w:rsidRDefault="00D218CA" w:rsidP="007B17F1">
            <w:pPr>
              <w:jc w:val="center"/>
              <w:rPr>
                <w:rFonts w:ascii="Helvetica" w:hAnsi="Helvetica" w:cs="Helvetica"/>
                <w:b/>
                <w:sz w:val="22"/>
                <w:szCs w:val="22"/>
              </w:rPr>
            </w:pPr>
            <w:r>
              <w:rPr>
                <w:rFonts w:ascii="Helvetica" w:hAnsi="Helvetica" w:cs="Helvetica"/>
                <w:b/>
                <w:sz w:val="22"/>
                <w:szCs w:val="22"/>
              </w:rPr>
              <w:t>Ion Source</w:t>
            </w:r>
          </w:p>
        </w:tc>
        <w:tc>
          <w:tcPr>
            <w:tcW w:w="985" w:type="dxa"/>
            <w:vAlign w:val="center"/>
          </w:tcPr>
          <w:p w14:paraId="23A693B1" w14:textId="77777777" w:rsidR="00D218CA" w:rsidRPr="00C0669E" w:rsidRDefault="00D218CA" w:rsidP="007B17F1">
            <w:pPr>
              <w:jc w:val="center"/>
              <w:rPr>
                <w:rFonts w:ascii="Helvetica" w:hAnsi="Helvetica" w:cs="Helvetica"/>
                <w:b/>
                <w:sz w:val="22"/>
                <w:szCs w:val="22"/>
              </w:rPr>
            </w:pPr>
            <w:r>
              <w:rPr>
                <w:rFonts w:ascii="Helvetica" w:hAnsi="Helvetica" w:cs="Helvetica"/>
                <w:b/>
                <w:sz w:val="22"/>
                <w:szCs w:val="22"/>
              </w:rPr>
              <w:t>LEBT</w:t>
            </w:r>
          </w:p>
        </w:tc>
        <w:tc>
          <w:tcPr>
            <w:tcW w:w="990" w:type="dxa"/>
            <w:vAlign w:val="center"/>
          </w:tcPr>
          <w:p w14:paraId="487CAF50" w14:textId="77777777" w:rsidR="00D218CA" w:rsidRPr="00C0669E" w:rsidRDefault="00D218CA" w:rsidP="007B17F1">
            <w:pPr>
              <w:jc w:val="center"/>
              <w:rPr>
                <w:rFonts w:ascii="Helvetica" w:hAnsi="Helvetica" w:cs="Helvetica"/>
                <w:b/>
                <w:sz w:val="22"/>
                <w:szCs w:val="22"/>
              </w:rPr>
            </w:pPr>
            <w:r>
              <w:rPr>
                <w:rFonts w:ascii="Helvetica" w:hAnsi="Helvetica" w:cs="Helvetica"/>
                <w:b/>
                <w:sz w:val="22"/>
                <w:szCs w:val="22"/>
              </w:rPr>
              <w:t>RFQ</w:t>
            </w:r>
          </w:p>
        </w:tc>
        <w:tc>
          <w:tcPr>
            <w:tcW w:w="990" w:type="dxa"/>
            <w:gridSpan w:val="2"/>
            <w:vAlign w:val="center"/>
          </w:tcPr>
          <w:p w14:paraId="725E6ADF" w14:textId="77777777" w:rsidR="00D218CA" w:rsidRPr="00C0669E" w:rsidRDefault="00D218CA" w:rsidP="007B17F1">
            <w:pPr>
              <w:jc w:val="center"/>
              <w:rPr>
                <w:rFonts w:ascii="Helvetica" w:hAnsi="Helvetica" w:cs="Helvetica"/>
                <w:b/>
                <w:sz w:val="22"/>
                <w:szCs w:val="22"/>
              </w:rPr>
            </w:pPr>
            <w:r>
              <w:rPr>
                <w:rFonts w:ascii="Helvetica" w:hAnsi="Helvetica" w:cs="Helvetica"/>
                <w:b/>
                <w:sz w:val="22"/>
                <w:szCs w:val="22"/>
              </w:rPr>
              <w:t>MEBT</w:t>
            </w:r>
          </w:p>
        </w:tc>
        <w:tc>
          <w:tcPr>
            <w:tcW w:w="1015" w:type="dxa"/>
            <w:vAlign w:val="center"/>
          </w:tcPr>
          <w:p w14:paraId="2B36F2E9" w14:textId="77777777" w:rsidR="00D218CA" w:rsidRPr="00C0669E" w:rsidRDefault="00D218CA" w:rsidP="007B17F1">
            <w:pPr>
              <w:jc w:val="center"/>
              <w:rPr>
                <w:rFonts w:ascii="Helvetica" w:hAnsi="Helvetica" w:cs="Helvetica"/>
                <w:b/>
                <w:sz w:val="22"/>
                <w:szCs w:val="22"/>
              </w:rPr>
            </w:pPr>
            <w:r>
              <w:rPr>
                <w:rFonts w:ascii="Helvetica" w:hAnsi="Helvetica" w:cs="Helvetica"/>
                <w:b/>
                <w:sz w:val="22"/>
                <w:szCs w:val="22"/>
              </w:rPr>
              <w:t>MEBT-DS</w:t>
            </w:r>
          </w:p>
        </w:tc>
        <w:tc>
          <w:tcPr>
            <w:tcW w:w="930" w:type="dxa"/>
            <w:vAlign w:val="center"/>
          </w:tcPr>
          <w:p w14:paraId="76119EE5" w14:textId="17B80AB5" w:rsidR="00D218CA" w:rsidRPr="00C0669E" w:rsidRDefault="00D218CA" w:rsidP="007B17F1">
            <w:pPr>
              <w:jc w:val="center"/>
              <w:rPr>
                <w:rFonts w:ascii="Helvetica" w:hAnsi="Helvetica" w:cs="Helvetica"/>
                <w:b/>
                <w:sz w:val="22"/>
                <w:szCs w:val="22"/>
              </w:rPr>
            </w:pPr>
            <w:r>
              <w:rPr>
                <w:rFonts w:ascii="Helvetica" w:hAnsi="Helvetica" w:cs="Helvetica"/>
                <w:b/>
                <w:sz w:val="22"/>
                <w:szCs w:val="22"/>
              </w:rPr>
              <w:t>CMs</w:t>
            </w:r>
          </w:p>
        </w:tc>
        <w:tc>
          <w:tcPr>
            <w:tcW w:w="1025" w:type="dxa"/>
            <w:vAlign w:val="center"/>
          </w:tcPr>
          <w:p w14:paraId="1D09B79F" w14:textId="3A4C2F1C" w:rsidR="00D218CA" w:rsidRPr="00C0669E" w:rsidRDefault="00D218CA" w:rsidP="007B17F1">
            <w:pPr>
              <w:jc w:val="center"/>
              <w:rPr>
                <w:rFonts w:ascii="Helvetica" w:hAnsi="Helvetica" w:cs="Helvetica"/>
                <w:b/>
                <w:sz w:val="22"/>
                <w:szCs w:val="22"/>
              </w:rPr>
            </w:pPr>
            <w:r>
              <w:rPr>
                <w:rFonts w:ascii="Helvetica" w:hAnsi="Helvetica" w:cs="Helvetica"/>
                <w:b/>
                <w:sz w:val="22"/>
                <w:szCs w:val="22"/>
              </w:rPr>
              <w:t>Warm Units</w:t>
            </w:r>
          </w:p>
        </w:tc>
        <w:tc>
          <w:tcPr>
            <w:tcW w:w="1080" w:type="dxa"/>
            <w:vAlign w:val="center"/>
          </w:tcPr>
          <w:p w14:paraId="18D60F21" w14:textId="77777777" w:rsidR="00D218CA" w:rsidRDefault="00D218CA" w:rsidP="007B17F1">
            <w:pPr>
              <w:jc w:val="center"/>
              <w:rPr>
                <w:rFonts w:ascii="Helvetica" w:hAnsi="Helvetica" w:cs="Helvetica"/>
                <w:b/>
                <w:sz w:val="22"/>
                <w:szCs w:val="22"/>
              </w:rPr>
            </w:pPr>
            <w:r>
              <w:rPr>
                <w:rFonts w:ascii="Helvetica" w:hAnsi="Helvetica" w:cs="Helvetica"/>
                <w:b/>
                <w:sz w:val="22"/>
                <w:szCs w:val="22"/>
              </w:rPr>
              <w:t>Trans.</w:t>
            </w:r>
          </w:p>
          <w:p w14:paraId="670F1996" w14:textId="77777777" w:rsidR="00D218CA" w:rsidRPr="00C0669E" w:rsidRDefault="00D218CA" w:rsidP="007B17F1">
            <w:pPr>
              <w:jc w:val="center"/>
              <w:rPr>
                <w:rFonts w:ascii="Helvetica" w:hAnsi="Helvetica" w:cs="Helvetica"/>
                <w:b/>
                <w:sz w:val="22"/>
                <w:szCs w:val="22"/>
              </w:rPr>
            </w:pPr>
            <w:r>
              <w:rPr>
                <w:rFonts w:ascii="Helvetica" w:hAnsi="Helvetica" w:cs="Helvetica"/>
                <w:b/>
                <w:sz w:val="22"/>
                <w:szCs w:val="22"/>
              </w:rPr>
              <w:t>Section</w:t>
            </w:r>
          </w:p>
        </w:tc>
        <w:tc>
          <w:tcPr>
            <w:tcW w:w="990" w:type="dxa"/>
            <w:vAlign w:val="center"/>
          </w:tcPr>
          <w:p w14:paraId="49557CF6" w14:textId="77777777" w:rsidR="00D218CA" w:rsidRPr="00C0669E" w:rsidRDefault="00D218CA" w:rsidP="007B17F1">
            <w:pPr>
              <w:jc w:val="center"/>
              <w:rPr>
                <w:rFonts w:ascii="Helvetica" w:hAnsi="Helvetica" w:cs="Helvetica"/>
                <w:b/>
                <w:sz w:val="22"/>
                <w:szCs w:val="22"/>
              </w:rPr>
            </w:pPr>
            <w:r>
              <w:rPr>
                <w:rFonts w:ascii="Helvetica" w:hAnsi="Helvetica" w:cs="Helvetica"/>
                <w:b/>
                <w:sz w:val="22"/>
                <w:szCs w:val="22"/>
              </w:rPr>
              <w:t>BTL</w:t>
            </w:r>
          </w:p>
        </w:tc>
      </w:tr>
      <w:tr w:rsidR="00D218CA" w14:paraId="14D8C3E0" w14:textId="77777777" w:rsidTr="002377F0">
        <w:trPr>
          <w:trHeight w:val="360"/>
          <w:jc w:val="center"/>
        </w:trPr>
        <w:tc>
          <w:tcPr>
            <w:tcW w:w="1435" w:type="dxa"/>
            <w:vAlign w:val="center"/>
          </w:tcPr>
          <w:p w14:paraId="142360F8" w14:textId="4F3869F6" w:rsidR="00D218CA" w:rsidRDefault="00D218CA" w:rsidP="007B17F1">
            <w:pPr>
              <w:jc w:val="center"/>
              <w:rPr>
                <w:rFonts w:ascii="Helvetica" w:hAnsi="Helvetica" w:cs="Helvetica"/>
                <w:sz w:val="22"/>
                <w:szCs w:val="22"/>
              </w:rPr>
            </w:pPr>
            <w:r>
              <w:rPr>
                <w:rFonts w:ascii="Helvetica" w:hAnsi="Helvetica" w:cs="Helvetica"/>
                <w:sz w:val="22"/>
                <w:szCs w:val="22"/>
              </w:rPr>
              <w:t>Pressure (</w:t>
            </w:r>
            <w:r w:rsidR="00D351AB">
              <w:rPr>
                <w:rFonts w:ascii="Helvetica" w:hAnsi="Helvetica" w:cs="Helvetica"/>
                <w:sz w:val="22"/>
                <w:szCs w:val="22"/>
              </w:rPr>
              <w:t>mbar</w:t>
            </w:r>
            <w:r>
              <w:rPr>
                <w:rFonts w:ascii="Helvetica" w:hAnsi="Helvetica" w:cs="Helvetica"/>
                <w:sz w:val="22"/>
                <w:szCs w:val="22"/>
              </w:rPr>
              <w:t>)</w:t>
            </w:r>
          </w:p>
        </w:tc>
        <w:tc>
          <w:tcPr>
            <w:tcW w:w="995" w:type="dxa"/>
            <w:vAlign w:val="center"/>
          </w:tcPr>
          <w:p w14:paraId="2C4BC776" w14:textId="4245D0F8" w:rsidR="00D218CA" w:rsidRPr="000E6AAD" w:rsidRDefault="005B6FB2" w:rsidP="007B17F1">
            <w:pPr>
              <w:jc w:val="center"/>
              <w:rPr>
                <w:rFonts w:ascii="Helvetica" w:hAnsi="Helvetica" w:cs="Helvetica"/>
                <w:sz w:val="22"/>
                <w:szCs w:val="22"/>
              </w:rPr>
            </w:pPr>
            <w:r>
              <w:rPr>
                <w:rFonts w:ascii="Helvetica" w:hAnsi="Helvetica" w:cs="Helvetica"/>
                <w:sz w:val="22"/>
                <w:szCs w:val="22"/>
              </w:rPr>
              <w:t>&lt;</w:t>
            </w:r>
            <w:r w:rsidR="00D218CA">
              <w:rPr>
                <w:rFonts w:ascii="Helvetica" w:hAnsi="Helvetica" w:cs="Helvetica"/>
                <w:sz w:val="22"/>
                <w:szCs w:val="22"/>
              </w:rPr>
              <w:t>10</w:t>
            </w:r>
            <w:r w:rsidR="00D218CA" w:rsidRPr="00731126">
              <w:rPr>
                <w:rFonts w:ascii="Helvetica" w:hAnsi="Helvetica" w:cs="Helvetica"/>
                <w:sz w:val="22"/>
                <w:szCs w:val="22"/>
                <w:vertAlign w:val="superscript"/>
              </w:rPr>
              <w:t>-2</w:t>
            </w:r>
          </w:p>
        </w:tc>
        <w:tc>
          <w:tcPr>
            <w:tcW w:w="985" w:type="dxa"/>
            <w:vAlign w:val="center"/>
          </w:tcPr>
          <w:p w14:paraId="722FCAA3" w14:textId="450352B1" w:rsidR="00D218CA" w:rsidRDefault="00965703" w:rsidP="007B17F1">
            <w:pPr>
              <w:jc w:val="center"/>
              <w:rPr>
                <w:rFonts w:ascii="Helvetica" w:hAnsi="Helvetica" w:cs="Helvetica"/>
                <w:sz w:val="22"/>
                <w:szCs w:val="22"/>
              </w:rPr>
            </w:pPr>
            <w:r>
              <w:rPr>
                <w:rFonts w:ascii="Helvetica" w:hAnsi="Helvetica" w:cs="Helvetica"/>
                <w:sz w:val="22"/>
                <w:szCs w:val="22"/>
              </w:rPr>
              <w:t>&lt;</w:t>
            </w:r>
            <w:r w:rsidR="0009663E">
              <w:rPr>
                <w:rFonts w:ascii="Helvetica" w:hAnsi="Helvetica" w:cs="Helvetica"/>
                <w:sz w:val="22"/>
                <w:szCs w:val="22"/>
              </w:rPr>
              <w:t>5</w:t>
            </w:r>
            <w:r>
              <w:rPr>
                <w:rFonts w:ascii="Helvetica" w:hAnsi="Helvetica" w:cs="Helvetica"/>
                <w:sz w:val="22"/>
                <w:szCs w:val="22"/>
              </w:rPr>
              <w:t>x</w:t>
            </w:r>
            <w:r w:rsidR="00D218CA">
              <w:rPr>
                <w:rFonts w:ascii="Helvetica" w:hAnsi="Helvetica" w:cs="Helvetica"/>
                <w:sz w:val="22"/>
                <w:szCs w:val="22"/>
              </w:rPr>
              <w:t>10</w:t>
            </w:r>
            <w:r w:rsidR="0018133B">
              <w:rPr>
                <w:rFonts w:ascii="Helvetica" w:hAnsi="Helvetica" w:cs="Helvetica"/>
                <w:sz w:val="22"/>
                <w:szCs w:val="22"/>
                <w:vertAlign w:val="superscript"/>
              </w:rPr>
              <w:t>-7</w:t>
            </w:r>
          </w:p>
        </w:tc>
        <w:tc>
          <w:tcPr>
            <w:tcW w:w="990" w:type="dxa"/>
            <w:vAlign w:val="center"/>
          </w:tcPr>
          <w:p w14:paraId="2E7DC813" w14:textId="0A3F5193" w:rsidR="00D218CA" w:rsidRDefault="00965703" w:rsidP="007B17F1">
            <w:pPr>
              <w:jc w:val="center"/>
              <w:rPr>
                <w:rFonts w:ascii="Helvetica" w:hAnsi="Helvetica" w:cs="Helvetica"/>
                <w:sz w:val="22"/>
                <w:szCs w:val="22"/>
              </w:rPr>
            </w:pPr>
            <w:r>
              <w:rPr>
                <w:rFonts w:ascii="Helvetica" w:hAnsi="Helvetica" w:cs="Helvetica"/>
                <w:sz w:val="22"/>
                <w:szCs w:val="22"/>
              </w:rPr>
              <w:t>&lt;</w:t>
            </w:r>
            <w:r w:rsidR="00334AAA">
              <w:rPr>
                <w:rFonts w:ascii="Helvetica" w:hAnsi="Helvetica" w:cs="Helvetica"/>
                <w:sz w:val="22"/>
                <w:szCs w:val="22"/>
              </w:rPr>
              <w:t>5</w:t>
            </w:r>
            <w:r>
              <w:rPr>
                <w:rFonts w:ascii="Helvetica" w:hAnsi="Helvetica" w:cs="Helvetica"/>
                <w:sz w:val="22"/>
                <w:szCs w:val="22"/>
              </w:rPr>
              <w:t>x10</w:t>
            </w:r>
            <w:r w:rsidRPr="008C37EC">
              <w:rPr>
                <w:rFonts w:ascii="Helvetica" w:hAnsi="Helvetica" w:cs="Helvetica"/>
                <w:sz w:val="22"/>
                <w:szCs w:val="22"/>
                <w:vertAlign w:val="superscript"/>
              </w:rPr>
              <w:t>-</w:t>
            </w:r>
            <w:r w:rsidR="0018133B">
              <w:rPr>
                <w:rFonts w:ascii="Helvetica" w:hAnsi="Helvetica" w:cs="Helvetica"/>
                <w:sz w:val="22"/>
                <w:szCs w:val="22"/>
                <w:vertAlign w:val="superscript"/>
              </w:rPr>
              <w:t>7</w:t>
            </w:r>
          </w:p>
        </w:tc>
        <w:tc>
          <w:tcPr>
            <w:tcW w:w="990" w:type="dxa"/>
            <w:gridSpan w:val="2"/>
            <w:vAlign w:val="center"/>
          </w:tcPr>
          <w:p w14:paraId="2A715A4B" w14:textId="58CECA31" w:rsidR="00D218CA" w:rsidRDefault="00965703" w:rsidP="007B17F1">
            <w:pPr>
              <w:jc w:val="center"/>
              <w:rPr>
                <w:rFonts w:ascii="Helvetica" w:hAnsi="Helvetica" w:cs="Helvetica"/>
                <w:sz w:val="22"/>
                <w:szCs w:val="22"/>
              </w:rPr>
            </w:pPr>
            <w:r>
              <w:rPr>
                <w:rFonts w:ascii="Helvetica" w:hAnsi="Helvetica" w:cs="Helvetica"/>
                <w:sz w:val="22"/>
                <w:szCs w:val="22"/>
              </w:rPr>
              <w:t>&lt;</w:t>
            </w:r>
            <w:r w:rsidR="00334AAA">
              <w:rPr>
                <w:rFonts w:ascii="Helvetica" w:hAnsi="Helvetica" w:cs="Helvetica"/>
                <w:sz w:val="22"/>
                <w:szCs w:val="22"/>
              </w:rPr>
              <w:t>5</w:t>
            </w:r>
            <w:r>
              <w:rPr>
                <w:rFonts w:ascii="Helvetica" w:hAnsi="Helvetica" w:cs="Helvetica"/>
                <w:sz w:val="22"/>
                <w:szCs w:val="22"/>
              </w:rPr>
              <w:t>x10</w:t>
            </w:r>
            <w:r w:rsidRPr="008C37EC">
              <w:rPr>
                <w:rFonts w:ascii="Helvetica" w:hAnsi="Helvetica" w:cs="Helvetica"/>
                <w:sz w:val="22"/>
                <w:szCs w:val="22"/>
                <w:vertAlign w:val="superscript"/>
              </w:rPr>
              <w:t>-</w:t>
            </w:r>
            <w:r w:rsidR="0018133B">
              <w:rPr>
                <w:rFonts w:ascii="Helvetica" w:hAnsi="Helvetica" w:cs="Helvetica"/>
                <w:sz w:val="22"/>
                <w:szCs w:val="22"/>
                <w:vertAlign w:val="superscript"/>
              </w:rPr>
              <w:t>7</w:t>
            </w:r>
          </w:p>
        </w:tc>
        <w:tc>
          <w:tcPr>
            <w:tcW w:w="1015" w:type="dxa"/>
            <w:vAlign w:val="center"/>
          </w:tcPr>
          <w:p w14:paraId="59A1BD78" w14:textId="0752634E" w:rsidR="00D218CA" w:rsidRDefault="006114B3" w:rsidP="007B17F1">
            <w:pPr>
              <w:jc w:val="center"/>
              <w:rPr>
                <w:rFonts w:ascii="Helvetica" w:hAnsi="Helvetica" w:cs="Helvetica"/>
                <w:sz w:val="22"/>
                <w:szCs w:val="22"/>
              </w:rPr>
            </w:pPr>
            <w:r>
              <w:rPr>
                <w:rFonts w:ascii="Helvetica" w:hAnsi="Helvetica" w:cs="Helvetica"/>
                <w:sz w:val="22"/>
                <w:szCs w:val="22"/>
              </w:rPr>
              <w:t>&lt;1x10</w:t>
            </w:r>
            <w:r w:rsidRPr="008C37EC">
              <w:rPr>
                <w:rFonts w:ascii="Helvetica" w:hAnsi="Helvetica" w:cs="Helvetica"/>
                <w:sz w:val="22"/>
                <w:szCs w:val="22"/>
                <w:vertAlign w:val="superscript"/>
              </w:rPr>
              <w:t>-</w:t>
            </w:r>
            <w:r>
              <w:rPr>
                <w:rFonts w:ascii="Helvetica" w:hAnsi="Helvetica" w:cs="Helvetica"/>
                <w:sz w:val="22"/>
                <w:szCs w:val="22"/>
                <w:vertAlign w:val="superscript"/>
              </w:rPr>
              <w:t>9</w:t>
            </w:r>
          </w:p>
        </w:tc>
        <w:tc>
          <w:tcPr>
            <w:tcW w:w="930" w:type="dxa"/>
            <w:vAlign w:val="center"/>
          </w:tcPr>
          <w:p w14:paraId="2CEE96B6" w14:textId="2EEF986A" w:rsidR="00D218CA" w:rsidRDefault="005032C5" w:rsidP="007B17F1">
            <w:pPr>
              <w:jc w:val="center"/>
              <w:rPr>
                <w:rFonts w:ascii="Helvetica" w:hAnsi="Helvetica" w:cs="Helvetica"/>
                <w:sz w:val="22"/>
                <w:szCs w:val="22"/>
              </w:rPr>
            </w:pPr>
            <w:r>
              <w:rPr>
                <w:rFonts w:ascii="Helvetica" w:hAnsi="Helvetica" w:cs="Helvetica"/>
                <w:sz w:val="22"/>
                <w:szCs w:val="22"/>
              </w:rPr>
              <w:t>&lt;</w:t>
            </w:r>
            <w:r w:rsidR="00D218CA">
              <w:rPr>
                <w:rFonts w:ascii="Helvetica" w:hAnsi="Helvetica" w:cs="Helvetica"/>
                <w:sz w:val="22"/>
                <w:szCs w:val="22"/>
              </w:rPr>
              <w:t>10</w:t>
            </w:r>
            <w:r w:rsidR="00D218CA" w:rsidRPr="008C37EC">
              <w:rPr>
                <w:rFonts w:ascii="Helvetica" w:hAnsi="Helvetica" w:cs="Helvetica"/>
                <w:sz w:val="22"/>
                <w:szCs w:val="22"/>
                <w:vertAlign w:val="superscript"/>
              </w:rPr>
              <w:t>-10</w:t>
            </w:r>
          </w:p>
        </w:tc>
        <w:tc>
          <w:tcPr>
            <w:tcW w:w="1025" w:type="dxa"/>
            <w:vAlign w:val="center"/>
          </w:tcPr>
          <w:p w14:paraId="58189018" w14:textId="7EB85E08" w:rsidR="00D218CA" w:rsidRDefault="00A1267D" w:rsidP="007B17F1">
            <w:pPr>
              <w:jc w:val="center"/>
              <w:rPr>
                <w:rFonts w:ascii="Helvetica" w:hAnsi="Helvetica" w:cs="Helvetica"/>
                <w:sz w:val="22"/>
                <w:szCs w:val="22"/>
              </w:rPr>
            </w:pPr>
            <w:r>
              <w:rPr>
                <w:rFonts w:ascii="Helvetica" w:hAnsi="Helvetica" w:cs="Helvetica"/>
                <w:sz w:val="22"/>
                <w:szCs w:val="22"/>
              </w:rPr>
              <w:t>&lt;1x</w:t>
            </w:r>
            <w:r w:rsidR="00D218CA">
              <w:rPr>
                <w:rFonts w:ascii="Helvetica" w:hAnsi="Helvetica" w:cs="Helvetica"/>
                <w:sz w:val="22"/>
                <w:szCs w:val="22"/>
              </w:rPr>
              <w:t>10</w:t>
            </w:r>
            <w:r w:rsidR="00D218CA" w:rsidRPr="008C37EC">
              <w:rPr>
                <w:rFonts w:ascii="Helvetica" w:hAnsi="Helvetica" w:cs="Helvetica"/>
                <w:sz w:val="22"/>
                <w:szCs w:val="22"/>
                <w:vertAlign w:val="superscript"/>
              </w:rPr>
              <w:t>-</w:t>
            </w:r>
            <w:r>
              <w:rPr>
                <w:rFonts w:ascii="Helvetica" w:hAnsi="Helvetica" w:cs="Helvetica"/>
                <w:sz w:val="22"/>
                <w:szCs w:val="22"/>
                <w:vertAlign w:val="superscript"/>
              </w:rPr>
              <w:t>9</w:t>
            </w:r>
          </w:p>
        </w:tc>
        <w:tc>
          <w:tcPr>
            <w:tcW w:w="1080" w:type="dxa"/>
            <w:vAlign w:val="center"/>
          </w:tcPr>
          <w:p w14:paraId="415CC99A" w14:textId="71A3481B" w:rsidR="00D218CA" w:rsidRDefault="002A1DAD" w:rsidP="007B17F1">
            <w:pPr>
              <w:jc w:val="center"/>
              <w:rPr>
                <w:rFonts w:ascii="Helvetica" w:hAnsi="Helvetica" w:cs="Helvetica"/>
                <w:sz w:val="22"/>
                <w:szCs w:val="22"/>
              </w:rPr>
            </w:pPr>
            <w:r>
              <w:rPr>
                <w:rFonts w:ascii="Helvetica" w:hAnsi="Helvetica" w:cs="Helvetica"/>
                <w:sz w:val="22"/>
                <w:szCs w:val="22"/>
              </w:rPr>
              <w:t>&lt;</w:t>
            </w:r>
            <w:r w:rsidR="00327C5E">
              <w:rPr>
                <w:rFonts w:ascii="Helvetica" w:hAnsi="Helvetica" w:cs="Helvetica"/>
                <w:sz w:val="22"/>
                <w:szCs w:val="22"/>
              </w:rPr>
              <w:t>1</w:t>
            </w:r>
            <w:r w:rsidR="00160F17">
              <w:rPr>
                <w:rFonts w:ascii="Helvetica" w:hAnsi="Helvetica" w:cs="Helvetica"/>
                <w:sz w:val="22"/>
                <w:szCs w:val="22"/>
              </w:rPr>
              <w:t>x</w:t>
            </w:r>
            <w:r w:rsidR="00D218CA">
              <w:rPr>
                <w:rFonts w:ascii="Helvetica" w:hAnsi="Helvetica" w:cs="Helvetica"/>
                <w:sz w:val="22"/>
                <w:szCs w:val="22"/>
              </w:rPr>
              <w:t>10</w:t>
            </w:r>
            <w:r w:rsidR="00327C5E">
              <w:rPr>
                <w:rFonts w:ascii="Helvetica" w:hAnsi="Helvetica" w:cs="Helvetica"/>
                <w:sz w:val="22"/>
                <w:szCs w:val="22"/>
                <w:vertAlign w:val="superscript"/>
              </w:rPr>
              <w:t>-9</w:t>
            </w:r>
          </w:p>
        </w:tc>
        <w:tc>
          <w:tcPr>
            <w:tcW w:w="990" w:type="dxa"/>
            <w:vAlign w:val="center"/>
          </w:tcPr>
          <w:p w14:paraId="1FAEED77" w14:textId="648D331E" w:rsidR="00D218CA" w:rsidRDefault="00B2605D" w:rsidP="007B17F1">
            <w:pPr>
              <w:jc w:val="center"/>
              <w:rPr>
                <w:rFonts w:ascii="Helvetica" w:hAnsi="Helvetica" w:cs="Helvetica"/>
                <w:sz w:val="22"/>
                <w:szCs w:val="22"/>
              </w:rPr>
            </w:pPr>
            <w:r>
              <w:rPr>
                <w:rFonts w:ascii="Helvetica" w:hAnsi="Helvetica" w:cs="Helvetica"/>
                <w:sz w:val="22"/>
                <w:szCs w:val="22"/>
              </w:rPr>
              <w:t>&lt;</w:t>
            </w:r>
            <w:r w:rsidR="00EE3D7A">
              <w:rPr>
                <w:rFonts w:ascii="Helvetica" w:hAnsi="Helvetica" w:cs="Helvetica"/>
                <w:sz w:val="22"/>
                <w:szCs w:val="22"/>
              </w:rPr>
              <w:t>5</w:t>
            </w:r>
            <w:r>
              <w:rPr>
                <w:rFonts w:ascii="Helvetica" w:hAnsi="Helvetica" w:cs="Helvetica"/>
                <w:sz w:val="22"/>
                <w:szCs w:val="22"/>
              </w:rPr>
              <w:t>x</w:t>
            </w:r>
            <w:r w:rsidR="00D218CA">
              <w:rPr>
                <w:rFonts w:ascii="Helvetica" w:hAnsi="Helvetica" w:cs="Helvetica"/>
                <w:sz w:val="22"/>
                <w:szCs w:val="22"/>
              </w:rPr>
              <w:t>10</w:t>
            </w:r>
            <w:r w:rsidR="00D218CA" w:rsidRPr="008C37EC">
              <w:rPr>
                <w:rFonts w:ascii="Helvetica" w:hAnsi="Helvetica" w:cs="Helvetica"/>
                <w:sz w:val="22"/>
                <w:szCs w:val="22"/>
                <w:vertAlign w:val="superscript"/>
              </w:rPr>
              <w:t>-</w:t>
            </w:r>
            <w:r w:rsidR="00834B15">
              <w:rPr>
                <w:rFonts w:ascii="Helvetica" w:hAnsi="Helvetica" w:cs="Helvetica"/>
                <w:sz w:val="22"/>
                <w:szCs w:val="22"/>
                <w:vertAlign w:val="superscript"/>
              </w:rPr>
              <w:t>8</w:t>
            </w:r>
          </w:p>
        </w:tc>
      </w:tr>
      <w:tr w:rsidR="00D218CA" w14:paraId="408F8700" w14:textId="77777777" w:rsidTr="002377F0">
        <w:trPr>
          <w:trHeight w:val="360"/>
          <w:jc w:val="center"/>
        </w:trPr>
        <w:tc>
          <w:tcPr>
            <w:tcW w:w="1435" w:type="dxa"/>
            <w:vAlign w:val="center"/>
          </w:tcPr>
          <w:p w14:paraId="5ADF3374" w14:textId="77777777" w:rsidR="00D218CA" w:rsidRDefault="00D218CA" w:rsidP="007B17F1">
            <w:pPr>
              <w:jc w:val="center"/>
              <w:rPr>
                <w:rFonts w:ascii="Helvetica" w:hAnsi="Helvetica" w:cs="Helvetica"/>
                <w:sz w:val="22"/>
                <w:szCs w:val="22"/>
              </w:rPr>
            </w:pPr>
            <w:r>
              <w:rPr>
                <w:rFonts w:ascii="Helvetica" w:hAnsi="Helvetica" w:cs="Helvetica"/>
                <w:sz w:val="22"/>
                <w:szCs w:val="22"/>
              </w:rPr>
              <w:t xml:space="preserve">Leak check sensitivity </w:t>
            </w:r>
          </w:p>
          <w:p w14:paraId="3FC5C321" w14:textId="77777777" w:rsidR="00D218CA" w:rsidRDefault="00D218CA" w:rsidP="007B17F1">
            <w:pPr>
              <w:jc w:val="center"/>
              <w:rPr>
                <w:rFonts w:ascii="Helvetica" w:hAnsi="Helvetica" w:cs="Helvetica"/>
                <w:sz w:val="22"/>
                <w:szCs w:val="22"/>
              </w:rPr>
            </w:pPr>
            <w:r>
              <w:rPr>
                <w:rFonts w:ascii="Helvetica" w:hAnsi="Helvetica" w:cs="Helvetica"/>
                <w:sz w:val="22"/>
                <w:szCs w:val="22"/>
              </w:rPr>
              <w:t>(mbar-l/s)</w:t>
            </w:r>
          </w:p>
        </w:tc>
        <w:tc>
          <w:tcPr>
            <w:tcW w:w="995" w:type="dxa"/>
            <w:vAlign w:val="center"/>
          </w:tcPr>
          <w:p w14:paraId="20DBA899" w14:textId="77777777" w:rsidR="00D218CA" w:rsidRPr="00AE0E76" w:rsidRDefault="00D218CA" w:rsidP="007B17F1">
            <w:pPr>
              <w:jc w:val="center"/>
              <w:rPr>
                <w:rFonts w:ascii="Helvetica" w:hAnsi="Helvetica" w:cs="Helvetica"/>
                <w:sz w:val="22"/>
                <w:szCs w:val="22"/>
              </w:rPr>
            </w:pPr>
            <w:r>
              <w:rPr>
                <w:rFonts w:ascii="Helvetica" w:hAnsi="Helvetica" w:cs="Helvetica"/>
                <w:sz w:val="22"/>
                <w:szCs w:val="22"/>
              </w:rPr>
              <w:t>2x10</w:t>
            </w:r>
            <w:r w:rsidRPr="00FF07B7">
              <w:rPr>
                <w:rFonts w:ascii="Helvetica" w:hAnsi="Helvetica" w:cs="Helvetica"/>
                <w:sz w:val="22"/>
                <w:szCs w:val="22"/>
                <w:vertAlign w:val="superscript"/>
              </w:rPr>
              <w:t>-9</w:t>
            </w:r>
          </w:p>
        </w:tc>
        <w:tc>
          <w:tcPr>
            <w:tcW w:w="985" w:type="dxa"/>
            <w:vAlign w:val="center"/>
          </w:tcPr>
          <w:p w14:paraId="25DFC6BB" w14:textId="77777777" w:rsidR="00D218CA" w:rsidRDefault="00D218CA" w:rsidP="007B17F1">
            <w:pPr>
              <w:jc w:val="center"/>
              <w:rPr>
                <w:rFonts w:ascii="Helvetica" w:hAnsi="Helvetica" w:cs="Helvetica"/>
                <w:sz w:val="22"/>
                <w:szCs w:val="22"/>
              </w:rPr>
            </w:pPr>
            <w:r>
              <w:rPr>
                <w:rFonts w:ascii="Helvetica" w:hAnsi="Helvetica" w:cs="Helvetica"/>
                <w:sz w:val="22"/>
                <w:szCs w:val="22"/>
              </w:rPr>
              <w:t>2x10</w:t>
            </w:r>
            <w:r w:rsidRPr="00FF07B7">
              <w:rPr>
                <w:rFonts w:ascii="Helvetica" w:hAnsi="Helvetica" w:cs="Helvetica"/>
                <w:sz w:val="22"/>
                <w:szCs w:val="22"/>
                <w:vertAlign w:val="superscript"/>
              </w:rPr>
              <w:t>-9</w:t>
            </w:r>
          </w:p>
        </w:tc>
        <w:tc>
          <w:tcPr>
            <w:tcW w:w="990" w:type="dxa"/>
            <w:vAlign w:val="center"/>
          </w:tcPr>
          <w:p w14:paraId="14D7C2E9" w14:textId="77777777" w:rsidR="00D218CA" w:rsidRDefault="00D218CA" w:rsidP="007B17F1">
            <w:pPr>
              <w:jc w:val="center"/>
              <w:rPr>
                <w:rFonts w:ascii="Helvetica" w:hAnsi="Helvetica" w:cs="Helvetica"/>
                <w:sz w:val="22"/>
                <w:szCs w:val="22"/>
              </w:rPr>
            </w:pPr>
            <w:r>
              <w:rPr>
                <w:rFonts w:ascii="Helvetica" w:hAnsi="Helvetica" w:cs="Helvetica"/>
                <w:sz w:val="22"/>
                <w:szCs w:val="22"/>
              </w:rPr>
              <w:t>2x10</w:t>
            </w:r>
            <w:r w:rsidRPr="00FF07B7">
              <w:rPr>
                <w:rFonts w:ascii="Helvetica" w:hAnsi="Helvetica" w:cs="Helvetica"/>
                <w:sz w:val="22"/>
                <w:szCs w:val="22"/>
                <w:vertAlign w:val="superscript"/>
              </w:rPr>
              <w:t>-9</w:t>
            </w:r>
          </w:p>
        </w:tc>
        <w:tc>
          <w:tcPr>
            <w:tcW w:w="990" w:type="dxa"/>
            <w:gridSpan w:val="2"/>
            <w:vAlign w:val="center"/>
          </w:tcPr>
          <w:p w14:paraId="345D295B" w14:textId="77777777" w:rsidR="00D218CA" w:rsidRDefault="00D218CA" w:rsidP="007B17F1">
            <w:pPr>
              <w:jc w:val="center"/>
              <w:rPr>
                <w:rFonts w:ascii="Helvetica" w:hAnsi="Helvetica" w:cs="Helvetica"/>
                <w:sz w:val="22"/>
                <w:szCs w:val="22"/>
              </w:rPr>
            </w:pPr>
            <w:r>
              <w:rPr>
                <w:rFonts w:ascii="Helvetica" w:hAnsi="Helvetica" w:cs="Helvetica"/>
                <w:sz w:val="22"/>
                <w:szCs w:val="22"/>
              </w:rPr>
              <w:t>2x10</w:t>
            </w:r>
            <w:r w:rsidRPr="00FF07B7">
              <w:rPr>
                <w:rFonts w:ascii="Helvetica" w:hAnsi="Helvetica" w:cs="Helvetica"/>
                <w:sz w:val="22"/>
                <w:szCs w:val="22"/>
                <w:vertAlign w:val="superscript"/>
              </w:rPr>
              <w:t>-9</w:t>
            </w:r>
          </w:p>
        </w:tc>
        <w:tc>
          <w:tcPr>
            <w:tcW w:w="1015" w:type="dxa"/>
            <w:vAlign w:val="center"/>
          </w:tcPr>
          <w:p w14:paraId="75085130" w14:textId="77648CBF" w:rsidR="00D218CA" w:rsidRDefault="00D218CA" w:rsidP="007B17F1">
            <w:pPr>
              <w:jc w:val="center"/>
              <w:rPr>
                <w:rFonts w:ascii="Helvetica" w:hAnsi="Helvetica" w:cs="Helvetica"/>
                <w:sz w:val="22"/>
                <w:szCs w:val="22"/>
              </w:rPr>
            </w:pPr>
            <w:r>
              <w:rPr>
                <w:rFonts w:ascii="Helvetica" w:hAnsi="Helvetica" w:cs="Helvetica"/>
                <w:sz w:val="22"/>
                <w:szCs w:val="22"/>
              </w:rPr>
              <w:t>2x10</w:t>
            </w:r>
            <w:r w:rsidRPr="00FF07B7">
              <w:rPr>
                <w:rFonts w:ascii="Helvetica" w:hAnsi="Helvetica" w:cs="Helvetica"/>
                <w:sz w:val="22"/>
                <w:szCs w:val="22"/>
                <w:vertAlign w:val="superscript"/>
              </w:rPr>
              <w:t>-</w:t>
            </w:r>
            <w:r w:rsidR="00C862A0">
              <w:rPr>
                <w:rFonts w:ascii="Helvetica" w:hAnsi="Helvetica" w:cs="Helvetica"/>
                <w:sz w:val="22"/>
                <w:szCs w:val="22"/>
                <w:vertAlign w:val="superscript"/>
              </w:rPr>
              <w:t>10</w:t>
            </w:r>
          </w:p>
        </w:tc>
        <w:tc>
          <w:tcPr>
            <w:tcW w:w="930" w:type="dxa"/>
            <w:vAlign w:val="center"/>
          </w:tcPr>
          <w:p w14:paraId="5B1F8311" w14:textId="595C7555" w:rsidR="00D218CA" w:rsidRDefault="00D218CA" w:rsidP="007B17F1">
            <w:pPr>
              <w:jc w:val="center"/>
              <w:rPr>
                <w:rFonts w:ascii="Helvetica" w:hAnsi="Helvetica" w:cs="Helvetica"/>
                <w:sz w:val="22"/>
                <w:szCs w:val="22"/>
              </w:rPr>
            </w:pPr>
            <w:r>
              <w:rPr>
                <w:rFonts w:ascii="Helvetica" w:hAnsi="Helvetica" w:cs="Helvetica"/>
                <w:sz w:val="22"/>
                <w:szCs w:val="22"/>
              </w:rPr>
              <w:t>2x10</w:t>
            </w:r>
            <w:r w:rsidRPr="00FF07B7">
              <w:rPr>
                <w:rFonts w:ascii="Helvetica" w:hAnsi="Helvetica" w:cs="Helvetica"/>
                <w:sz w:val="22"/>
                <w:szCs w:val="22"/>
                <w:vertAlign w:val="superscript"/>
              </w:rPr>
              <w:t>-</w:t>
            </w:r>
            <w:r w:rsidR="00C862A0">
              <w:rPr>
                <w:rFonts w:ascii="Helvetica" w:hAnsi="Helvetica" w:cs="Helvetica"/>
                <w:sz w:val="22"/>
                <w:szCs w:val="22"/>
                <w:vertAlign w:val="superscript"/>
              </w:rPr>
              <w:t>10</w:t>
            </w:r>
          </w:p>
        </w:tc>
        <w:tc>
          <w:tcPr>
            <w:tcW w:w="1025" w:type="dxa"/>
            <w:vAlign w:val="center"/>
          </w:tcPr>
          <w:p w14:paraId="62F3FAEA" w14:textId="5423BC30" w:rsidR="00D218CA" w:rsidRDefault="00D218CA" w:rsidP="007B17F1">
            <w:pPr>
              <w:jc w:val="center"/>
              <w:rPr>
                <w:rFonts w:ascii="Helvetica" w:hAnsi="Helvetica" w:cs="Helvetica"/>
                <w:sz w:val="22"/>
                <w:szCs w:val="22"/>
              </w:rPr>
            </w:pPr>
            <w:r>
              <w:rPr>
                <w:rFonts w:ascii="Helvetica" w:hAnsi="Helvetica" w:cs="Helvetica"/>
                <w:sz w:val="22"/>
                <w:szCs w:val="22"/>
              </w:rPr>
              <w:t>2x10</w:t>
            </w:r>
            <w:r w:rsidRPr="00FF07B7">
              <w:rPr>
                <w:rFonts w:ascii="Helvetica" w:hAnsi="Helvetica" w:cs="Helvetica"/>
                <w:sz w:val="22"/>
                <w:szCs w:val="22"/>
                <w:vertAlign w:val="superscript"/>
              </w:rPr>
              <w:t>-</w:t>
            </w:r>
            <w:r w:rsidR="00C862A0">
              <w:rPr>
                <w:rFonts w:ascii="Helvetica" w:hAnsi="Helvetica" w:cs="Helvetica"/>
                <w:sz w:val="22"/>
                <w:szCs w:val="22"/>
                <w:vertAlign w:val="superscript"/>
              </w:rPr>
              <w:t>10</w:t>
            </w:r>
          </w:p>
        </w:tc>
        <w:tc>
          <w:tcPr>
            <w:tcW w:w="1080" w:type="dxa"/>
            <w:vAlign w:val="center"/>
          </w:tcPr>
          <w:p w14:paraId="44EDD7BF" w14:textId="77777777" w:rsidR="00D218CA" w:rsidRDefault="00D218CA" w:rsidP="007B17F1">
            <w:pPr>
              <w:jc w:val="center"/>
              <w:rPr>
                <w:rFonts w:ascii="Helvetica" w:hAnsi="Helvetica" w:cs="Helvetica"/>
                <w:sz w:val="22"/>
                <w:szCs w:val="22"/>
              </w:rPr>
            </w:pPr>
            <w:r>
              <w:rPr>
                <w:rFonts w:ascii="Helvetica" w:hAnsi="Helvetica" w:cs="Helvetica"/>
                <w:sz w:val="22"/>
                <w:szCs w:val="22"/>
              </w:rPr>
              <w:t>2x10</w:t>
            </w:r>
            <w:r w:rsidRPr="00FF07B7">
              <w:rPr>
                <w:rFonts w:ascii="Helvetica" w:hAnsi="Helvetica" w:cs="Helvetica"/>
                <w:sz w:val="22"/>
                <w:szCs w:val="22"/>
                <w:vertAlign w:val="superscript"/>
              </w:rPr>
              <w:t>-10</w:t>
            </w:r>
          </w:p>
        </w:tc>
        <w:tc>
          <w:tcPr>
            <w:tcW w:w="990" w:type="dxa"/>
            <w:vAlign w:val="center"/>
          </w:tcPr>
          <w:p w14:paraId="737A9413" w14:textId="05B3AF4E" w:rsidR="00D218CA" w:rsidRDefault="00D218CA" w:rsidP="007B17F1">
            <w:pPr>
              <w:jc w:val="center"/>
              <w:rPr>
                <w:rFonts w:ascii="Helvetica" w:hAnsi="Helvetica" w:cs="Helvetica"/>
                <w:sz w:val="22"/>
                <w:szCs w:val="22"/>
              </w:rPr>
            </w:pPr>
            <w:r>
              <w:rPr>
                <w:rFonts w:ascii="Helvetica" w:hAnsi="Helvetica" w:cs="Helvetica"/>
                <w:sz w:val="22"/>
                <w:szCs w:val="22"/>
              </w:rPr>
              <w:t>2x10</w:t>
            </w:r>
            <w:r w:rsidRPr="00FF07B7">
              <w:rPr>
                <w:rFonts w:ascii="Helvetica" w:hAnsi="Helvetica" w:cs="Helvetica"/>
                <w:sz w:val="22"/>
                <w:szCs w:val="22"/>
                <w:vertAlign w:val="superscript"/>
              </w:rPr>
              <w:t>-</w:t>
            </w:r>
            <w:r w:rsidR="00970BAD">
              <w:rPr>
                <w:rFonts w:ascii="Helvetica" w:hAnsi="Helvetica" w:cs="Helvetica"/>
                <w:sz w:val="22"/>
                <w:szCs w:val="22"/>
                <w:vertAlign w:val="superscript"/>
              </w:rPr>
              <w:t>10</w:t>
            </w:r>
          </w:p>
        </w:tc>
      </w:tr>
      <w:tr w:rsidR="00622A69" w14:paraId="00CE34FE" w14:textId="77777777" w:rsidTr="002377F0">
        <w:trPr>
          <w:trHeight w:val="360"/>
          <w:jc w:val="center"/>
        </w:trPr>
        <w:tc>
          <w:tcPr>
            <w:tcW w:w="1435" w:type="dxa"/>
            <w:vAlign w:val="center"/>
          </w:tcPr>
          <w:p w14:paraId="779CE250" w14:textId="799EA263" w:rsidR="00622A69" w:rsidRDefault="00622A69" w:rsidP="007B17F1">
            <w:pPr>
              <w:jc w:val="center"/>
              <w:rPr>
                <w:rFonts w:ascii="Helvetica" w:hAnsi="Helvetica" w:cs="Helvetica"/>
                <w:sz w:val="22"/>
                <w:szCs w:val="22"/>
              </w:rPr>
            </w:pPr>
            <w:r>
              <w:rPr>
                <w:rFonts w:ascii="Helvetica" w:hAnsi="Helvetica" w:cs="Helvetica"/>
                <w:sz w:val="22"/>
                <w:szCs w:val="22"/>
              </w:rPr>
              <w:t>Vacuum seals</w:t>
            </w:r>
            <w:r w:rsidR="00021989">
              <w:rPr>
                <w:rFonts w:ascii="Helvetica" w:hAnsi="Helvetica" w:cs="Helvetica"/>
                <w:sz w:val="22"/>
                <w:szCs w:val="22"/>
              </w:rPr>
              <w:t>/</w:t>
            </w:r>
            <w:r>
              <w:rPr>
                <w:rFonts w:ascii="Helvetica" w:hAnsi="Helvetica" w:cs="Helvetica"/>
                <w:sz w:val="22"/>
                <w:szCs w:val="22"/>
              </w:rPr>
              <w:t>joints</w:t>
            </w:r>
          </w:p>
        </w:tc>
        <w:tc>
          <w:tcPr>
            <w:tcW w:w="3960" w:type="dxa"/>
            <w:gridSpan w:val="5"/>
            <w:vAlign w:val="center"/>
          </w:tcPr>
          <w:p w14:paraId="481D4DB0" w14:textId="77777777" w:rsidR="00622A69" w:rsidRDefault="00622A69" w:rsidP="007B17F1">
            <w:pPr>
              <w:jc w:val="center"/>
              <w:rPr>
                <w:rFonts w:ascii="Helvetica" w:hAnsi="Helvetica" w:cs="Helvetica"/>
                <w:sz w:val="22"/>
                <w:szCs w:val="22"/>
              </w:rPr>
            </w:pPr>
            <w:r>
              <w:rPr>
                <w:rFonts w:ascii="Helvetica" w:hAnsi="Helvetica" w:cs="Helvetica"/>
                <w:sz w:val="22"/>
                <w:szCs w:val="22"/>
              </w:rPr>
              <w:t>Metal gasket or elastomer, CF or KF</w:t>
            </w:r>
          </w:p>
        </w:tc>
        <w:tc>
          <w:tcPr>
            <w:tcW w:w="2970" w:type="dxa"/>
            <w:gridSpan w:val="3"/>
            <w:vAlign w:val="center"/>
          </w:tcPr>
          <w:p w14:paraId="40F97D7C" w14:textId="77777777" w:rsidR="00622A69" w:rsidRDefault="00622A69" w:rsidP="007B17F1">
            <w:pPr>
              <w:jc w:val="center"/>
              <w:rPr>
                <w:rFonts w:ascii="Helvetica" w:hAnsi="Helvetica" w:cs="Helvetica"/>
                <w:sz w:val="22"/>
                <w:szCs w:val="22"/>
              </w:rPr>
            </w:pPr>
            <w:r>
              <w:rPr>
                <w:rFonts w:ascii="Helvetica" w:hAnsi="Helvetica" w:cs="Helvetica"/>
                <w:sz w:val="22"/>
                <w:szCs w:val="22"/>
              </w:rPr>
              <w:t>CF only: metal gasket only</w:t>
            </w:r>
          </w:p>
        </w:tc>
        <w:tc>
          <w:tcPr>
            <w:tcW w:w="2070" w:type="dxa"/>
            <w:gridSpan w:val="2"/>
            <w:vAlign w:val="center"/>
          </w:tcPr>
          <w:p w14:paraId="3EA9527C" w14:textId="373FCEEB" w:rsidR="00622A69" w:rsidRDefault="00622A69" w:rsidP="007B17F1">
            <w:pPr>
              <w:jc w:val="center"/>
              <w:rPr>
                <w:rFonts w:ascii="Helvetica" w:hAnsi="Helvetica" w:cs="Helvetica"/>
                <w:sz w:val="22"/>
                <w:szCs w:val="22"/>
              </w:rPr>
            </w:pPr>
            <w:r>
              <w:rPr>
                <w:rFonts w:ascii="Helvetica" w:hAnsi="Helvetica" w:cs="Helvetica"/>
                <w:sz w:val="22"/>
                <w:szCs w:val="22"/>
              </w:rPr>
              <w:t>Weld or Metal gasket</w:t>
            </w:r>
          </w:p>
        </w:tc>
      </w:tr>
      <w:tr w:rsidR="00D218CA" w14:paraId="523E70FD" w14:textId="77777777" w:rsidTr="002377F0">
        <w:trPr>
          <w:trHeight w:val="360"/>
          <w:jc w:val="center"/>
        </w:trPr>
        <w:tc>
          <w:tcPr>
            <w:tcW w:w="1435" w:type="dxa"/>
            <w:vAlign w:val="center"/>
          </w:tcPr>
          <w:p w14:paraId="01D3B4DE" w14:textId="34F7FC32" w:rsidR="00D218CA" w:rsidRDefault="00D218CA" w:rsidP="007B17F1">
            <w:pPr>
              <w:jc w:val="center"/>
              <w:rPr>
                <w:rFonts w:ascii="Helvetica" w:hAnsi="Helvetica" w:cs="Helvetica"/>
                <w:sz w:val="22"/>
                <w:szCs w:val="22"/>
              </w:rPr>
            </w:pPr>
            <w:r>
              <w:rPr>
                <w:rFonts w:ascii="Helvetica" w:hAnsi="Helvetica" w:cs="Helvetica"/>
                <w:sz w:val="22"/>
                <w:szCs w:val="22"/>
              </w:rPr>
              <w:t xml:space="preserve">Parts </w:t>
            </w:r>
            <w:r w:rsidR="00021989">
              <w:rPr>
                <w:rFonts w:ascii="Helvetica" w:hAnsi="Helvetica" w:cs="Helvetica"/>
                <w:sz w:val="22"/>
                <w:szCs w:val="22"/>
              </w:rPr>
              <w:t>process</w:t>
            </w:r>
            <w:r>
              <w:rPr>
                <w:rFonts w:ascii="Helvetica" w:hAnsi="Helvetica" w:cs="Helvetica"/>
                <w:sz w:val="22"/>
                <w:szCs w:val="22"/>
              </w:rPr>
              <w:t>ing</w:t>
            </w:r>
          </w:p>
        </w:tc>
        <w:tc>
          <w:tcPr>
            <w:tcW w:w="9000" w:type="dxa"/>
            <w:gridSpan w:val="10"/>
            <w:vAlign w:val="center"/>
          </w:tcPr>
          <w:p w14:paraId="31CE4BCB" w14:textId="221285BF" w:rsidR="00D218CA" w:rsidRDefault="00D218CA" w:rsidP="007B17F1">
            <w:pPr>
              <w:jc w:val="center"/>
              <w:rPr>
                <w:rFonts w:ascii="Helvetica" w:hAnsi="Helvetica" w:cs="Helvetica"/>
                <w:sz w:val="22"/>
                <w:szCs w:val="22"/>
              </w:rPr>
            </w:pPr>
            <w:r>
              <w:rPr>
                <w:rFonts w:ascii="Helvetica" w:hAnsi="Helvetica" w:cs="Helvetica"/>
                <w:sz w:val="22"/>
                <w:szCs w:val="22"/>
              </w:rPr>
              <w:t>UHV</w:t>
            </w:r>
          </w:p>
        </w:tc>
      </w:tr>
      <w:tr w:rsidR="00C12AE6" w14:paraId="75911574" w14:textId="77777777" w:rsidTr="00021989">
        <w:trPr>
          <w:trHeight w:val="360"/>
          <w:jc w:val="center"/>
        </w:trPr>
        <w:tc>
          <w:tcPr>
            <w:tcW w:w="1435" w:type="dxa"/>
            <w:vAlign w:val="center"/>
          </w:tcPr>
          <w:p w14:paraId="40817AFB" w14:textId="7EB441FC" w:rsidR="00C12AE6" w:rsidRDefault="00C12AE6" w:rsidP="007B17F1">
            <w:pPr>
              <w:jc w:val="center"/>
              <w:rPr>
                <w:rFonts w:ascii="Helvetica" w:hAnsi="Helvetica" w:cs="Helvetica"/>
                <w:sz w:val="22"/>
                <w:szCs w:val="22"/>
              </w:rPr>
            </w:pPr>
            <w:r>
              <w:rPr>
                <w:rFonts w:ascii="Helvetica" w:hAnsi="Helvetica" w:cs="Helvetica"/>
                <w:sz w:val="22"/>
                <w:szCs w:val="22"/>
              </w:rPr>
              <w:t>Gaug</w:t>
            </w:r>
            <w:r w:rsidR="00021989">
              <w:rPr>
                <w:rFonts w:ascii="Helvetica" w:hAnsi="Helvetica" w:cs="Helvetica"/>
                <w:sz w:val="22"/>
                <w:szCs w:val="22"/>
              </w:rPr>
              <w:t>es</w:t>
            </w:r>
          </w:p>
        </w:tc>
        <w:tc>
          <w:tcPr>
            <w:tcW w:w="3950" w:type="dxa"/>
            <w:gridSpan w:val="4"/>
            <w:vAlign w:val="center"/>
          </w:tcPr>
          <w:p w14:paraId="4257C1E8" w14:textId="77777777" w:rsidR="00C12AE6" w:rsidRDefault="00C12AE6" w:rsidP="007B17F1">
            <w:pPr>
              <w:jc w:val="center"/>
              <w:rPr>
                <w:rFonts w:ascii="Helvetica" w:hAnsi="Helvetica" w:cs="Helvetica"/>
                <w:sz w:val="22"/>
                <w:szCs w:val="22"/>
              </w:rPr>
            </w:pPr>
            <w:r>
              <w:rPr>
                <w:rFonts w:ascii="Helvetica" w:hAnsi="Helvetica" w:cs="Helvetica"/>
                <w:sz w:val="22"/>
                <w:szCs w:val="22"/>
              </w:rPr>
              <w:t>Ion gauge</w:t>
            </w:r>
          </w:p>
        </w:tc>
        <w:tc>
          <w:tcPr>
            <w:tcW w:w="2980" w:type="dxa"/>
            <w:gridSpan w:val="4"/>
            <w:vAlign w:val="center"/>
          </w:tcPr>
          <w:p w14:paraId="3BB6A923" w14:textId="17E46BB8" w:rsidR="00C12AE6" w:rsidRDefault="00C12AE6" w:rsidP="007B17F1">
            <w:pPr>
              <w:jc w:val="center"/>
              <w:rPr>
                <w:rFonts w:ascii="Helvetica" w:hAnsi="Helvetica" w:cs="Helvetica"/>
                <w:sz w:val="22"/>
                <w:szCs w:val="22"/>
              </w:rPr>
            </w:pPr>
            <w:r>
              <w:rPr>
                <w:rFonts w:ascii="Helvetica" w:hAnsi="Helvetica" w:cs="Helvetica"/>
                <w:sz w:val="22"/>
                <w:szCs w:val="22"/>
              </w:rPr>
              <w:t>CC gauge</w:t>
            </w:r>
          </w:p>
        </w:tc>
        <w:tc>
          <w:tcPr>
            <w:tcW w:w="2070" w:type="dxa"/>
            <w:gridSpan w:val="2"/>
            <w:vAlign w:val="center"/>
          </w:tcPr>
          <w:p w14:paraId="698384F8" w14:textId="77777777" w:rsidR="00C12AE6" w:rsidRDefault="00C12AE6" w:rsidP="007B17F1">
            <w:pPr>
              <w:jc w:val="center"/>
              <w:rPr>
                <w:rFonts w:ascii="Helvetica" w:hAnsi="Helvetica" w:cs="Helvetica"/>
                <w:sz w:val="22"/>
                <w:szCs w:val="22"/>
              </w:rPr>
            </w:pPr>
            <w:r>
              <w:rPr>
                <w:rFonts w:ascii="Helvetica" w:hAnsi="Helvetica" w:cs="Helvetica"/>
                <w:sz w:val="22"/>
                <w:szCs w:val="22"/>
              </w:rPr>
              <w:t>Ion gauge</w:t>
            </w:r>
          </w:p>
        </w:tc>
      </w:tr>
      <w:tr w:rsidR="00D218CA" w14:paraId="226E0DA3" w14:textId="77777777" w:rsidTr="002377F0">
        <w:trPr>
          <w:trHeight w:val="360"/>
          <w:jc w:val="center"/>
        </w:trPr>
        <w:tc>
          <w:tcPr>
            <w:tcW w:w="1435" w:type="dxa"/>
            <w:vAlign w:val="center"/>
          </w:tcPr>
          <w:p w14:paraId="59F0EA8A" w14:textId="1B80C862" w:rsidR="00D218CA" w:rsidRDefault="00D218CA" w:rsidP="007B17F1">
            <w:pPr>
              <w:jc w:val="center"/>
              <w:rPr>
                <w:rFonts w:ascii="Helvetica" w:hAnsi="Helvetica" w:cs="Helvetica"/>
                <w:sz w:val="22"/>
                <w:szCs w:val="22"/>
              </w:rPr>
            </w:pPr>
            <w:r>
              <w:rPr>
                <w:rFonts w:ascii="Helvetica" w:hAnsi="Helvetica" w:cs="Helvetica"/>
                <w:sz w:val="22"/>
                <w:szCs w:val="22"/>
              </w:rPr>
              <w:t xml:space="preserve">Low </w:t>
            </w:r>
            <w:r w:rsidR="00021989">
              <w:rPr>
                <w:rFonts w:ascii="Helvetica" w:hAnsi="Helvetica" w:cs="Helvetica"/>
                <w:sz w:val="22"/>
                <w:szCs w:val="22"/>
              </w:rPr>
              <w:t>p</w:t>
            </w:r>
            <w:r>
              <w:rPr>
                <w:rFonts w:ascii="Helvetica" w:hAnsi="Helvetica" w:cs="Helvetica"/>
                <w:sz w:val="22"/>
                <w:szCs w:val="22"/>
              </w:rPr>
              <w:t>articulate practice</w:t>
            </w:r>
          </w:p>
        </w:tc>
        <w:tc>
          <w:tcPr>
            <w:tcW w:w="995" w:type="dxa"/>
            <w:vAlign w:val="center"/>
          </w:tcPr>
          <w:p w14:paraId="0A62A373" w14:textId="77777777" w:rsidR="00D218CA" w:rsidRDefault="00D218CA" w:rsidP="007B17F1">
            <w:pPr>
              <w:jc w:val="center"/>
              <w:rPr>
                <w:rFonts w:ascii="Helvetica" w:hAnsi="Helvetica" w:cs="Helvetica"/>
                <w:sz w:val="22"/>
                <w:szCs w:val="22"/>
              </w:rPr>
            </w:pPr>
            <w:r>
              <w:rPr>
                <w:rFonts w:ascii="Helvetica" w:hAnsi="Helvetica" w:cs="Helvetica"/>
                <w:sz w:val="22"/>
                <w:szCs w:val="22"/>
              </w:rPr>
              <w:t>No</w:t>
            </w:r>
          </w:p>
        </w:tc>
        <w:tc>
          <w:tcPr>
            <w:tcW w:w="985" w:type="dxa"/>
            <w:vAlign w:val="center"/>
          </w:tcPr>
          <w:p w14:paraId="05253B29" w14:textId="77777777" w:rsidR="00D218CA" w:rsidRDefault="00D218CA" w:rsidP="007B17F1">
            <w:pPr>
              <w:jc w:val="center"/>
              <w:rPr>
                <w:rFonts w:ascii="Helvetica" w:hAnsi="Helvetica" w:cs="Helvetica"/>
                <w:sz w:val="22"/>
                <w:szCs w:val="22"/>
              </w:rPr>
            </w:pPr>
            <w:r>
              <w:rPr>
                <w:rFonts w:ascii="Helvetica" w:hAnsi="Helvetica" w:cs="Helvetica"/>
                <w:sz w:val="22"/>
                <w:szCs w:val="22"/>
              </w:rPr>
              <w:t>No</w:t>
            </w:r>
          </w:p>
        </w:tc>
        <w:tc>
          <w:tcPr>
            <w:tcW w:w="990" w:type="dxa"/>
            <w:vAlign w:val="center"/>
          </w:tcPr>
          <w:p w14:paraId="005B5935" w14:textId="77777777" w:rsidR="00D218CA" w:rsidRDefault="00D218CA" w:rsidP="007B17F1">
            <w:pPr>
              <w:jc w:val="center"/>
              <w:rPr>
                <w:rFonts w:ascii="Helvetica" w:hAnsi="Helvetica" w:cs="Helvetica"/>
                <w:sz w:val="22"/>
                <w:szCs w:val="22"/>
              </w:rPr>
            </w:pPr>
            <w:r>
              <w:rPr>
                <w:rFonts w:ascii="Helvetica" w:hAnsi="Helvetica" w:cs="Helvetica"/>
                <w:sz w:val="22"/>
                <w:szCs w:val="22"/>
              </w:rPr>
              <w:t>No</w:t>
            </w:r>
          </w:p>
        </w:tc>
        <w:tc>
          <w:tcPr>
            <w:tcW w:w="990" w:type="dxa"/>
            <w:gridSpan w:val="2"/>
            <w:vAlign w:val="center"/>
          </w:tcPr>
          <w:p w14:paraId="4B79FA67" w14:textId="77777777" w:rsidR="00D218CA" w:rsidRDefault="00D218CA" w:rsidP="007B17F1">
            <w:pPr>
              <w:jc w:val="center"/>
              <w:rPr>
                <w:rFonts w:ascii="Helvetica" w:hAnsi="Helvetica" w:cs="Helvetica"/>
                <w:sz w:val="22"/>
                <w:szCs w:val="22"/>
              </w:rPr>
            </w:pPr>
            <w:r>
              <w:rPr>
                <w:rFonts w:ascii="Helvetica" w:hAnsi="Helvetica" w:cs="Helvetica"/>
                <w:sz w:val="22"/>
                <w:szCs w:val="22"/>
              </w:rPr>
              <w:t>No</w:t>
            </w:r>
          </w:p>
        </w:tc>
        <w:tc>
          <w:tcPr>
            <w:tcW w:w="1015" w:type="dxa"/>
            <w:vAlign w:val="center"/>
          </w:tcPr>
          <w:p w14:paraId="21882B72" w14:textId="6438C35C" w:rsidR="00D218CA" w:rsidRDefault="00D218CA" w:rsidP="007B17F1">
            <w:pPr>
              <w:jc w:val="center"/>
              <w:rPr>
                <w:rFonts w:ascii="Helvetica" w:hAnsi="Helvetica" w:cs="Helvetica"/>
                <w:sz w:val="22"/>
                <w:szCs w:val="22"/>
              </w:rPr>
            </w:pPr>
            <w:r>
              <w:rPr>
                <w:rFonts w:ascii="Helvetica" w:hAnsi="Helvetica" w:cs="Helvetica"/>
                <w:sz w:val="22"/>
                <w:szCs w:val="22"/>
              </w:rPr>
              <w:t>Yes</w:t>
            </w:r>
          </w:p>
        </w:tc>
        <w:tc>
          <w:tcPr>
            <w:tcW w:w="930" w:type="dxa"/>
            <w:vAlign w:val="center"/>
          </w:tcPr>
          <w:p w14:paraId="7FF77719" w14:textId="77777777" w:rsidR="00D218CA" w:rsidRDefault="00D218CA" w:rsidP="007B17F1">
            <w:pPr>
              <w:jc w:val="center"/>
              <w:rPr>
                <w:rFonts w:ascii="Helvetica" w:hAnsi="Helvetica" w:cs="Helvetica"/>
                <w:sz w:val="22"/>
                <w:szCs w:val="22"/>
              </w:rPr>
            </w:pPr>
            <w:r>
              <w:rPr>
                <w:rFonts w:ascii="Helvetica" w:hAnsi="Helvetica" w:cs="Helvetica"/>
                <w:sz w:val="22"/>
                <w:szCs w:val="22"/>
              </w:rPr>
              <w:t>Yes</w:t>
            </w:r>
          </w:p>
        </w:tc>
        <w:tc>
          <w:tcPr>
            <w:tcW w:w="1025" w:type="dxa"/>
            <w:vAlign w:val="center"/>
          </w:tcPr>
          <w:p w14:paraId="53A0ED3F" w14:textId="77777777" w:rsidR="00D218CA" w:rsidRDefault="00D218CA" w:rsidP="007B17F1">
            <w:pPr>
              <w:jc w:val="center"/>
              <w:rPr>
                <w:rFonts w:ascii="Helvetica" w:hAnsi="Helvetica" w:cs="Helvetica"/>
                <w:sz w:val="22"/>
                <w:szCs w:val="22"/>
              </w:rPr>
            </w:pPr>
            <w:r>
              <w:rPr>
                <w:rFonts w:ascii="Helvetica" w:hAnsi="Helvetica" w:cs="Helvetica"/>
                <w:sz w:val="22"/>
                <w:szCs w:val="22"/>
              </w:rPr>
              <w:t>Yes</w:t>
            </w:r>
          </w:p>
        </w:tc>
        <w:tc>
          <w:tcPr>
            <w:tcW w:w="1080" w:type="dxa"/>
            <w:vAlign w:val="center"/>
          </w:tcPr>
          <w:p w14:paraId="5FBA6AC4" w14:textId="77777777" w:rsidR="00D218CA" w:rsidRDefault="00D218CA" w:rsidP="007B17F1">
            <w:pPr>
              <w:jc w:val="center"/>
              <w:rPr>
                <w:rFonts w:ascii="Helvetica" w:hAnsi="Helvetica" w:cs="Helvetica"/>
                <w:sz w:val="22"/>
                <w:szCs w:val="22"/>
              </w:rPr>
            </w:pPr>
            <w:r>
              <w:rPr>
                <w:rFonts w:ascii="Helvetica" w:hAnsi="Helvetica" w:cs="Helvetica"/>
                <w:sz w:val="22"/>
                <w:szCs w:val="22"/>
              </w:rPr>
              <w:t>Yes</w:t>
            </w:r>
          </w:p>
        </w:tc>
        <w:tc>
          <w:tcPr>
            <w:tcW w:w="990" w:type="dxa"/>
            <w:vAlign w:val="center"/>
          </w:tcPr>
          <w:p w14:paraId="0D9EDC17" w14:textId="77777777" w:rsidR="00D218CA" w:rsidRDefault="00D218CA" w:rsidP="007B17F1">
            <w:pPr>
              <w:jc w:val="center"/>
              <w:rPr>
                <w:rFonts w:ascii="Helvetica" w:hAnsi="Helvetica" w:cs="Helvetica"/>
                <w:sz w:val="22"/>
                <w:szCs w:val="22"/>
              </w:rPr>
            </w:pPr>
            <w:r>
              <w:rPr>
                <w:rFonts w:ascii="Helvetica" w:hAnsi="Helvetica" w:cs="Helvetica"/>
                <w:sz w:val="22"/>
                <w:szCs w:val="22"/>
              </w:rPr>
              <w:t>No</w:t>
            </w:r>
          </w:p>
        </w:tc>
      </w:tr>
      <w:tr w:rsidR="00D218CA" w14:paraId="761F717A" w14:textId="77777777" w:rsidTr="002377F0">
        <w:trPr>
          <w:trHeight w:val="360"/>
          <w:jc w:val="center"/>
        </w:trPr>
        <w:tc>
          <w:tcPr>
            <w:tcW w:w="1435" w:type="dxa"/>
            <w:vAlign w:val="center"/>
          </w:tcPr>
          <w:p w14:paraId="730DF14A" w14:textId="77777777" w:rsidR="00D218CA" w:rsidRDefault="00D218CA" w:rsidP="007B17F1">
            <w:pPr>
              <w:jc w:val="center"/>
              <w:rPr>
                <w:rFonts w:ascii="Helvetica" w:hAnsi="Helvetica" w:cs="Helvetica"/>
                <w:sz w:val="22"/>
                <w:szCs w:val="22"/>
              </w:rPr>
            </w:pPr>
            <w:r>
              <w:rPr>
                <w:rFonts w:ascii="Helvetica" w:hAnsi="Helvetica" w:cs="Helvetica"/>
                <w:sz w:val="22"/>
                <w:szCs w:val="22"/>
              </w:rPr>
              <w:t>Controllers</w:t>
            </w:r>
          </w:p>
        </w:tc>
        <w:tc>
          <w:tcPr>
            <w:tcW w:w="9000" w:type="dxa"/>
            <w:gridSpan w:val="10"/>
            <w:vAlign w:val="center"/>
          </w:tcPr>
          <w:p w14:paraId="78EEA43B" w14:textId="77777777" w:rsidR="00D218CA" w:rsidRDefault="00D218CA" w:rsidP="007B17F1">
            <w:pPr>
              <w:jc w:val="center"/>
              <w:rPr>
                <w:rFonts w:ascii="Helvetica" w:hAnsi="Helvetica" w:cs="Helvetica"/>
                <w:sz w:val="22"/>
                <w:szCs w:val="22"/>
              </w:rPr>
            </w:pPr>
            <w:r>
              <w:rPr>
                <w:rFonts w:ascii="Helvetica" w:hAnsi="Helvetica" w:cs="Helvetica"/>
                <w:sz w:val="22"/>
                <w:szCs w:val="22"/>
              </w:rPr>
              <w:t>Equipped with RS485 to communicate with control system via a PLC</w:t>
            </w:r>
          </w:p>
        </w:tc>
      </w:tr>
    </w:tbl>
    <w:p w14:paraId="1399C649" w14:textId="77777777" w:rsidR="0071641B" w:rsidRDefault="0071641B" w:rsidP="00E01020">
      <w:pPr>
        <w:pStyle w:val="NotesBody11pt"/>
      </w:pPr>
    </w:p>
    <w:p w14:paraId="07E0CDBB" w14:textId="4C32E881" w:rsidR="002D7D2C" w:rsidRDefault="002D7D2C" w:rsidP="002D7D2C">
      <w:pPr>
        <w:pStyle w:val="Heading1"/>
      </w:pPr>
      <w:bookmarkStart w:id="17" w:name="_Toc153270090"/>
      <w:r>
        <w:t>Fast Acting Valves</w:t>
      </w:r>
      <w:r w:rsidR="00802EAA">
        <w:t xml:space="preserve"> (FAV)</w:t>
      </w:r>
      <w:bookmarkEnd w:id="17"/>
    </w:p>
    <w:p w14:paraId="043FCAA8" w14:textId="3DCEFD82" w:rsidR="005927FC" w:rsidRDefault="00B16B86" w:rsidP="00C02677">
      <w:pPr>
        <w:pStyle w:val="NotesBody11pt"/>
      </w:pPr>
      <w:r>
        <w:t xml:space="preserve">The fast </w:t>
      </w:r>
      <w:r w:rsidR="006D0A9D">
        <w:t>acting (</w:t>
      </w:r>
      <w:r>
        <w:t>closing</w:t>
      </w:r>
      <w:r w:rsidR="006D0A9D">
        <w:t>)</w:t>
      </w:r>
      <w:r>
        <w:t xml:space="preserve"> valve</w:t>
      </w:r>
      <w:r w:rsidR="00380AF0">
        <w:t>s</w:t>
      </w:r>
      <w:r>
        <w:t xml:space="preserve"> </w:t>
      </w:r>
      <w:r w:rsidR="006D0A9D">
        <w:t xml:space="preserve">(FAV) </w:t>
      </w:r>
      <w:r>
        <w:t>are required</w:t>
      </w:r>
      <w:r w:rsidR="00802EAA" w:rsidRPr="00802EAA">
        <w:t xml:space="preserve"> </w:t>
      </w:r>
      <w:r w:rsidR="00802EAA">
        <w:t>at both end</w:t>
      </w:r>
      <w:r w:rsidR="00380AF0">
        <w:t>s</w:t>
      </w:r>
      <w:r w:rsidR="00802EAA">
        <w:t xml:space="preserve"> of </w:t>
      </w:r>
      <w:r w:rsidR="00380AF0">
        <w:t xml:space="preserve">the </w:t>
      </w:r>
      <w:r w:rsidR="00802EAA">
        <w:t>SRF L</w:t>
      </w:r>
      <w:r w:rsidR="00AE1F54">
        <w:t>inac</w:t>
      </w:r>
      <w:r w:rsidR="00802EAA">
        <w:t xml:space="preserve"> in order to reduce the risk of </w:t>
      </w:r>
      <w:r w:rsidR="006D0A9D">
        <w:t xml:space="preserve">a </w:t>
      </w:r>
      <w:r w:rsidR="00802EAA">
        <w:t xml:space="preserve">large amount </w:t>
      </w:r>
      <w:r w:rsidR="006D0A9D">
        <w:t xml:space="preserve">of </w:t>
      </w:r>
      <w:r w:rsidR="00802EAA">
        <w:t xml:space="preserve">gas </w:t>
      </w:r>
      <w:r w:rsidR="00380AF0">
        <w:t>in</w:t>
      </w:r>
      <w:r w:rsidR="00037C24">
        <w:t>-</w:t>
      </w:r>
      <w:r w:rsidR="00802EAA">
        <w:t xml:space="preserve">rush into </w:t>
      </w:r>
      <w:r w:rsidR="00E407EA">
        <w:t xml:space="preserve">the </w:t>
      </w:r>
      <w:r w:rsidR="00802EAA">
        <w:t>CM</w:t>
      </w:r>
      <w:r w:rsidR="00E407EA">
        <w:t>’s</w:t>
      </w:r>
      <w:r w:rsidR="00802EAA">
        <w:t xml:space="preserve"> during </w:t>
      </w:r>
      <w:r w:rsidR="00E407EA">
        <w:t>a</w:t>
      </w:r>
      <w:r w:rsidR="00802EAA">
        <w:t xml:space="preserve"> vacuum </w:t>
      </w:r>
      <w:r w:rsidR="006D0A9D">
        <w:t>incident</w:t>
      </w:r>
      <w:r w:rsidR="00802EAA">
        <w:t xml:space="preserve"> in </w:t>
      </w:r>
      <w:r w:rsidR="007B17F1">
        <w:t xml:space="preserve">the </w:t>
      </w:r>
      <w:r w:rsidR="00802EAA">
        <w:t xml:space="preserve">WFE </w:t>
      </w:r>
      <w:r w:rsidR="006D0A9D">
        <w:t>or</w:t>
      </w:r>
      <w:r w:rsidR="00802EAA">
        <w:t xml:space="preserve"> BTL. </w:t>
      </w:r>
      <w:r w:rsidR="00E407EA">
        <w:t xml:space="preserve">Each FAV will have two pressure sensors for redundancy.  </w:t>
      </w:r>
      <w:r w:rsidR="00802EAA">
        <w:t>The closing time shall be within 10</w:t>
      </w:r>
      <w:r w:rsidR="00FD2060">
        <w:t xml:space="preserve"> </w:t>
      </w:r>
      <w:r w:rsidR="00802EAA">
        <w:t>ms after</w:t>
      </w:r>
      <w:r w:rsidR="00E407EA">
        <w:t xml:space="preserve"> the</w:t>
      </w:r>
      <w:r w:rsidR="00802EAA">
        <w:t xml:space="preserve"> </w:t>
      </w:r>
      <w:r w:rsidR="00E407EA">
        <w:t>detection of a vacuum fa</w:t>
      </w:r>
      <w:r w:rsidR="006D0A9D">
        <w:t>ult</w:t>
      </w:r>
      <w:r w:rsidR="00802EAA">
        <w:t>.</w:t>
      </w:r>
      <w:r w:rsidR="00471CCB">
        <w:t xml:space="preserve">  This closing time was determined to be sufficient from a study during a </w:t>
      </w:r>
      <w:r w:rsidR="006D0A9D">
        <w:t xml:space="preserve">prior </w:t>
      </w:r>
      <w:r w:rsidR="00471CCB">
        <w:t xml:space="preserve">PIP2IT run.  The results of this study which include a justification for this closing time estimate can be found in </w:t>
      </w:r>
      <w:r w:rsidR="001C79A8">
        <w:t>reference [</w:t>
      </w:r>
      <w:r w:rsidR="0064496D">
        <w:t>5</w:t>
      </w:r>
      <w:r w:rsidR="001C79A8">
        <w:t>]</w:t>
      </w:r>
      <w:r w:rsidR="00392304">
        <w:t>.</w:t>
      </w:r>
    </w:p>
    <w:p w14:paraId="11F0DF63" w14:textId="77777777" w:rsidR="00081CD8" w:rsidRDefault="00081CD8" w:rsidP="00C02677">
      <w:pPr>
        <w:pStyle w:val="NotesBody11pt"/>
        <w:rPr>
          <w:highlight w:val="yellow"/>
        </w:rPr>
      </w:pPr>
    </w:p>
    <w:p w14:paraId="73B88AF4" w14:textId="4F167A6E" w:rsidR="00081CD8" w:rsidRDefault="00E407EA" w:rsidP="002D7D2C">
      <w:pPr>
        <w:pStyle w:val="NotesBody11pt"/>
      </w:pPr>
      <w:r>
        <w:t>There a</w:t>
      </w:r>
      <w:r w:rsidR="00464233">
        <w:t>r</w:t>
      </w:r>
      <w:r>
        <w:t xml:space="preserve">e two competing influences for determination of the location of the </w:t>
      </w:r>
      <w:r w:rsidR="00471CCB">
        <w:t>F</w:t>
      </w:r>
      <w:r w:rsidR="007B17F1">
        <w:t>AV</w:t>
      </w:r>
      <w:r>
        <w:t xml:space="preserve">: </w:t>
      </w:r>
    </w:p>
    <w:p w14:paraId="53A58148" w14:textId="77777777" w:rsidR="00081CD8" w:rsidRDefault="00081CD8" w:rsidP="002D7D2C">
      <w:pPr>
        <w:pStyle w:val="NotesBody11pt"/>
      </w:pPr>
    </w:p>
    <w:p w14:paraId="687FCCC3" w14:textId="6663A511" w:rsidR="00081CD8" w:rsidRDefault="00E407EA" w:rsidP="00081CD8">
      <w:pPr>
        <w:pStyle w:val="NotesBody11pt"/>
        <w:ind w:firstLine="360"/>
      </w:pPr>
      <w:r>
        <w:t xml:space="preserve">1) the volume of gas between the FAV and the </w:t>
      </w:r>
      <w:r w:rsidR="00874F92">
        <w:t>CM</w:t>
      </w:r>
      <w:r>
        <w:t xml:space="preserve"> should be held to a minimum, and </w:t>
      </w:r>
    </w:p>
    <w:p w14:paraId="57CB78CC" w14:textId="578B72AD" w:rsidR="00081CD8" w:rsidRDefault="00E407EA" w:rsidP="006D0A9D">
      <w:pPr>
        <w:pStyle w:val="NotesBody11pt"/>
        <w:ind w:left="360"/>
      </w:pPr>
      <w:r>
        <w:t xml:space="preserve">2) the FAV will generate particles upon closure and should be located </w:t>
      </w:r>
      <w:r w:rsidR="006D0A9D">
        <w:t xml:space="preserve">as far </w:t>
      </w:r>
      <w:r>
        <w:t>away</w:t>
      </w:r>
      <w:r w:rsidR="006D0A9D">
        <w:t xml:space="preserve"> as practical</w:t>
      </w:r>
      <w:r>
        <w:t xml:space="preserve"> from the </w:t>
      </w:r>
      <w:r w:rsidR="00874F92">
        <w:t>CMs</w:t>
      </w:r>
      <w:r>
        <w:t xml:space="preserve">. </w:t>
      </w:r>
      <w:r w:rsidR="00464233">
        <w:t xml:space="preserve"> </w:t>
      </w:r>
    </w:p>
    <w:p w14:paraId="1ABF2C9D" w14:textId="77777777" w:rsidR="00081CD8" w:rsidRDefault="00081CD8" w:rsidP="00081CD8">
      <w:pPr>
        <w:pStyle w:val="NotesBody11pt"/>
      </w:pPr>
    </w:p>
    <w:p w14:paraId="75B0C6CD" w14:textId="3B07192E" w:rsidR="00045CDC" w:rsidRDefault="00464233" w:rsidP="00081CD8">
      <w:pPr>
        <w:pStyle w:val="NotesBody11pt"/>
      </w:pPr>
      <w:r>
        <w:t>In order to</w:t>
      </w:r>
      <w:r w:rsidR="00E407EA">
        <w:t xml:space="preserve"> reduce</w:t>
      </w:r>
      <w:r w:rsidR="00802EAA">
        <w:t xml:space="preserve"> the risk of </w:t>
      </w:r>
      <w:r w:rsidR="00E407EA">
        <w:t xml:space="preserve">a large influx of </w:t>
      </w:r>
      <w:r w:rsidR="00802EAA">
        <w:t xml:space="preserve">particles </w:t>
      </w:r>
      <w:r w:rsidR="00E407EA">
        <w:t xml:space="preserve">into the particle free region, as well as those particles </w:t>
      </w:r>
      <w:r w:rsidR="00802EAA">
        <w:t>created during the rapid closing of FAV, the length of unprotected WFE</w:t>
      </w:r>
      <w:r w:rsidR="00E407EA">
        <w:t xml:space="preserve"> should have the </w:t>
      </w:r>
      <w:r w:rsidR="00802EAA">
        <w:t>FAV</w:t>
      </w:r>
      <w:r w:rsidR="00E407EA">
        <w:t xml:space="preserve"> </w:t>
      </w:r>
      <w:r w:rsidR="00802EAA">
        <w:t xml:space="preserve">located at about one meter away from </w:t>
      </w:r>
      <w:r w:rsidR="007B17F1">
        <w:t xml:space="preserve">the </w:t>
      </w:r>
      <w:r w:rsidR="00802EAA">
        <w:t>CMs at the end of SRF L</w:t>
      </w:r>
      <w:r w:rsidR="000B6F17">
        <w:t>inac</w:t>
      </w:r>
      <w:r w:rsidR="00802EAA">
        <w:t>.</w:t>
      </w:r>
      <w:r w:rsidR="00143366">
        <w:t xml:space="preserve"> </w:t>
      </w:r>
      <w:r w:rsidR="003F579F">
        <w:t xml:space="preserve">The location of the </w:t>
      </w:r>
      <w:r w:rsidR="007B17F1">
        <w:t>FAV</w:t>
      </w:r>
      <w:r w:rsidR="00FC527C">
        <w:t>’</w:t>
      </w:r>
      <w:r w:rsidR="007B17F1">
        <w:t>s</w:t>
      </w:r>
      <w:r w:rsidR="00143366">
        <w:t xml:space="preserve"> </w:t>
      </w:r>
      <w:r w:rsidR="00FC527C">
        <w:t>is</w:t>
      </w:r>
      <w:r w:rsidR="00143366">
        <w:t xml:space="preserve"> shown in</w:t>
      </w:r>
      <w:r w:rsidR="00DA2F15">
        <w:t xml:space="preserve"> reference [</w:t>
      </w:r>
      <w:r w:rsidR="0064496D">
        <w:t>6</w:t>
      </w:r>
      <w:r w:rsidR="00DA2F15">
        <w:t>].</w:t>
      </w:r>
    </w:p>
    <w:p w14:paraId="7A98AA9C" w14:textId="77777777" w:rsidR="004C59A4" w:rsidRDefault="004C59A4" w:rsidP="00081CD8">
      <w:pPr>
        <w:pStyle w:val="NotesBody11pt"/>
      </w:pPr>
    </w:p>
    <w:p w14:paraId="2C3B2F28" w14:textId="77777777" w:rsidR="004C59A4" w:rsidRDefault="004C59A4" w:rsidP="00081CD8">
      <w:pPr>
        <w:pStyle w:val="NotesBody11pt"/>
      </w:pPr>
    </w:p>
    <w:p w14:paraId="03E02D9A" w14:textId="77777777" w:rsidR="004C59A4" w:rsidRDefault="004C59A4" w:rsidP="00081CD8">
      <w:pPr>
        <w:pStyle w:val="NotesBody11pt"/>
      </w:pPr>
    </w:p>
    <w:p w14:paraId="6152D1EB" w14:textId="77777777" w:rsidR="004C59A4" w:rsidRDefault="004C59A4" w:rsidP="00081CD8">
      <w:pPr>
        <w:pStyle w:val="NotesBody11pt"/>
      </w:pPr>
    </w:p>
    <w:p w14:paraId="14B7B860" w14:textId="5179FFD4" w:rsidR="00D42BA3" w:rsidRDefault="00D42BA3" w:rsidP="00D42BA3">
      <w:pPr>
        <w:pStyle w:val="Heading1"/>
      </w:pPr>
      <w:bookmarkStart w:id="18" w:name="_Toc153270091"/>
      <w:r>
        <w:lastRenderedPageBreak/>
        <w:t>Particulate free area definitions</w:t>
      </w:r>
      <w:bookmarkEnd w:id="18"/>
    </w:p>
    <w:p w14:paraId="15440518" w14:textId="2D6A9769" w:rsidR="001169F8" w:rsidRPr="00874D11" w:rsidRDefault="00BD3345" w:rsidP="00BD3345">
      <w:pPr>
        <w:pStyle w:val="Heading2"/>
      </w:pPr>
      <w:bookmarkStart w:id="19" w:name="_Toc153270092"/>
      <w:r>
        <w:t>Definition of particulate-free environment and procedures</w:t>
      </w:r>
      <w:bookmarkEnd w:id="19"/>
    </w:p>
    <w:p w14:paraId="7ED0FA3D" w14:textId="7281B283" w:rsidR="00347B82" w:rsidRDefault="00BD1C20" w:rsidP="00BD3345">
      <w:pPr>
        <w:pStyle w:val="NotesBody11pt"/>
      </w:pPr>
      <w:r>
        <w:t xml:space="preserve">The definition of “particulate free” means that the level of particles present will be minimized to a level that is reasonably achievable.  </w:t>
      </w:r>
      <w:r w:rsidR="00652EAD">
        <w:t xml:space="preserve">Particulate-free environment was established by </w:t>
      </w:r>
      <w:r w:rsidR="00A32F0A">
        <w:t>a</w:t>
      </w:r>
      <w:r w:rsidR="00674873">
        <w:t>n</w:t>
      </w:r>
      <w:r w:rsidR="00A32F0A">
        <w:t xml:space="preserve"> </w:t>
      </w:r>
      <w:r w:rsidR="00066132">
        <w:t>ultra</w:t>
      </w:r>
      <w:r w:rsidR="00CE76D1">
        <w:t xml:space="preserve">high vacuum </w:t>
      </w:r>
      <w:r w:rsidR="00066132">
        <w:t>(</w:t>
      </w:r>
      <w:r w:rsidR="00652EAD">
        <w:t>UHV</w:t>
      </w:r>
      <w:r w:rsidR="00066132">
        <w:t>)</w:t>
      </w:r>
      <w:r w:rsidR="00652EAD">
        <w:t xml:space="preserve"> cleaning process and </w:t>
      </w:r>
      <w:r w:rsidR="00A32F0A">
        <w:t>c</w:t>
      </w:r>
      <w:r w:rsidR="00652EAD">
        <w:t xml:space="preserve">leanroom assembly. </w:t>
      </w:r>
      <w:r w:rsidR="00464233">
        <w:t>A</w:t>
      </w:r>
      <w:r w:rsidR="00402062">
        <w:t>n ISO 4 (</w:t>
      </w:r>
      <w:r w:rsidR="004320F6">
        <w:t xml:space="preserve">Class 10) </w:t>
      </w:r>
      <w:r w:rsidR="00A32F0A">
        <w:t>c</w:t>
      </w:r>
      <w:r w:rsidR="00652EAD">
        <w:t xml:space="preserve">leanroom </w:t>
      </w:r>
      <w:r w:rsidR="00464233">
        <w:t>is</w:t>
      </w:r>
      <w:r w:rsidR="00652EAD">
        <w:t xml:space="preserve"> required for assembling beam vacuum devices or components</w:t>
      </w:r>
      <w:r w:rsidR="00464233">
        <w:t xml:space="preserve">.  </w:t>
      </w:r>
      <w:r w:rsidR="00EE032B">
        <w:t>During</w:t>
      </w:r>
      <w:r w:rsidR="000C3928">
        <w:t xml:space="preserve"> installation of the vacuum elements into the accelerator, a portable clean room will be </w:t>
      </w:r>
      <w:r w:rsidR="0001734A">
        <w:t>used,</w:t>
      </w:r>
      <w:r w:rsidR="000C3928">
        <w:t xml:space="preserve"> </w:t>
      </w:r>
      <w:r w:rsidR="005825AF">
        <w:t>and clean room practices will be followed</w:t>
      </w:r>
      <w:r w:rsidR="009D5119">
        <w:t xml:space="preserve"> in </w:t>
      </w:r>
      <w:r w:rsidR="009D5119" w:rsidRPr="0064496D">
        <w:t>reference</w:t>
      </w:r>
      <w:r w:rsidR="005825AF" w:rsidRPr="0064496D">
        <w:t xml:space="preserve"> </w:t>
      </w:r>
      <w:r w:rsidR="004C4861" w:rsidRPr="0064496D">
        <w:t>[</w:t>
      </w:r>
      <w:r w:rsidR="0064496D">
        <w:t>7</w:t>
      </w:r>
      <w:r w:rsidR="004C4861" w:rsidRPr="0064496D">
        <w:t xml:space="preserve">] </w:t>
      </w:r>
      <w:r w:rsidR="0009221F" w:rsidRPr="0064496D">
        <w:t>to</w:t>
      </w:r>
      <w:r w:rsidR="000C3928">
        <w:t xml:space="preserve"> minimize the migration of particulate</w:t>
      </w:r>
      <w:r w:rsidR="005825AF">
        <w:t>s</w:t>
      </w:r>
      <w:r w:rsidR="000C3928">
        <w:t xml:space="preserve"> into the superconducting accelerator beam vacuum region</w:t>
      </w:r>
      <w:r w:rsidR="00652EAD">
        <w:t>.</w:t>
      </w:r>
      <w:r w:rsidR="005825AF">
        <w:t xml:space="preserve">  </w:t>
      </w:r>
    </w:p>
    <w:p w14:paraId="02550256" w14:textId="4131239D" w:rsidR="001169F8" w:rsidRDefault="00BD3345" w:rsidP="00D42BA3">
      <w:pPr>
        <w:pStyle w:val="Heading2"/>
      </w:pPr>
      <w:bookmarkStart w:id="20" w:name="_Toc153270093"/>
      <w:r>
        <w:t>Definition of particulate-free areas in the accelerator</w:t>
      </w:r>
      <w:bookmarkEnd w:id="20"/>
    </w:p>
    <w:p w14:paraId="38085638" w14:textId="2E2920F1" w:rsidR="006966E5" w:rsidRDefault="00652EAD" w:rsidP="006966E5">
      <w:pPr>
        <w:pStyle w:val="NotesBody11pt"/>
      </w:pPr>
      <w:r>
        <w:t xml:space="preserve">All devices or components that share </w:t>
      </w:r>
      <w:r w:rsidR="00A32F0A">
        <w:t>a</w:t>
      </w:r>
      <w:r w:rsidR="00330F0B">
        <w:t xml:space="preserve"> common beam vacuum from the upstream transition region in front of HWR (the 1</w:t>
      </w:r>
      <w:r w:rsidR="00330F0B" w:rsidRPr="00330F0B">
        <w:rPr>
          <w:vertAlign w:val="superscript"/>
        </w:rPr>
        <w:t>st</w:t>
      </w:r>
      <w:r w:rsidR="00330F0B">
        <w:t xml:space="preserve"> CM), the entire SRF L</w:t>
      </w:r>
      <w:r w:rsidR="003A779D">
        <w:t>inac</w:t>
      </w:r>
      <w:r w:rsidR="00330F0B">
        <w:t xml:space="preserve"> (includ</w:t>
      </w:r>
      <w:r w:rsidR="00A32F0A">
        <w:t>ing</w:t>
      </w:r>
      <w:r w:rsidR="00330F0B">
        <w:t xml:space="preserve"> the warm insert units in between CMs, and space-holds of future CMs) and the downstream transition region right after </w:t>
      </w:r>
      <w:r w:rsidR="00A32F0A">
        <w:t xml:space="preserve">the </w:t>
      </w:r>
      <w:r w:rsidR="00330F0B">
        <w:t>SRF L</w:t>
      </w:r>
      <w:r w:rsidR="003A779D">
        <w:t>inac</w:t>
      </w:r>
      <w:r w:rsidR="00A32F0A">
        <w:t>,</w:t>
      </w:r>
      <w:r w:rsidR="006D0A9D">
        <w:t xml:space="preserve"> demarcate the ‘particle-free’ area</w:t>
      </w:r>
      <w:r w:rsidR="00330F0B">
        <w:t>.</w:t>
      </w:r>
    </w:p>
    <w:p w14:paraId="1685A370" w14:textId="37888412" w:rsidR="0053430B" w:rsidRDefault="0053430B" w:rsidP="006966E5">
      <w:pPr>
        <w:pStyle w:val="NotesBody11pt"/>
      </w:pPr>
    </w:p>
    <w:p w14:paraId="1A6146A0" w14:textId="336F68E9" w:rsidR="0053430B" w:rsidRPr="007F5DD2" w:rsidRDefault="0053430B" w:rsidP="007F5DD2">
      <w:pPr>
        <w:pStyle w:val="NotesBody11pt"/>
        <w:numPr>
          <w:ilvl w:val="0"/>
          <w:numId w:val="34"/>
        </w:numPr>
        <w:rPr>
          <w:rFonts w:cs="Helvetica"/>
        </w:rPr>
      </w:pPr>
      <w:r w:rsidRPr="007F5DD2">
        <w:rPr>
          <w:rFonts w:cs="Helvetica"/>
        </w:rPr>
        <w:t>The upstream transition is in the MEBT, at the gate valve</w:t>
      </w:r>
      <w:r w:rsidR="00A32F0A">
        <w:rPr>
          <w:rFonts w:cs="Helvetica"/>
        </w:rPr>
        <w:t xml:space="preserve"> </w:t>
      </w:r>
      <w:r w:rsidRPr="007F5DD2">
        <w:rPr>
          <w:rFonts w:cs="Helvetica"/>
        </w:rPr>
        <w:t>adjacent to the differential pumping insert</w:t>
      </w:r>
    </w:p>
    <w:p w14:paraId="7C3FE94E" w14:textId="6CF10240" w:rsidR="007F5DD2" w:rsidRPr="007F5DD2" w:rsidRDefault="0053430B" w:rsidP="007F5DD2">
      <w:pPr>
        <w:pStyle w:val="NotesBody11pt"/>
        <w:numPr>
          <w:ilvl w:val="0"/>
          <w:numId w:val="34"/>
        </w:numPr>
        <w:rPr>
          <w:rFonts w:cs="Helvetica"/>
        </w:rPr>
      </w:pPr>
      <w:r w:rsidRPr="007F5DD2">
        <w:rPr>
          <w:rFonts w:cs="Helvetica"/>
        </w:rPr>
        <w:t xml:space="preserve">At the downstream end, the plan </w:t>
      </w:r>
      <w:r w:rsidR="00A32F0A">
        <w:rPr>
          <w:rFonts w:cs="Helvetica"/>
        </w:rPr>
        <w:t>is</w:t>
      </w:r>
      <w:r w:rsidRPr="007F5DD2">
        <w:rPr>
          <w:rFonts w:cs="Helvetica"/>
        </w:rPr>
        <w:t xml:space="preserve"> to have the particle-free transition at a gate valve just downstream from the 2nd HB650 upgrade slot (i.e.</w:t>
      </w:r>
      <w:r w:rsidR="00D351AB">
        <w:rPr>
          <w:rFonts w:cs="Helvetica"/>
        </w:rPr>
        <w:t>,</w:t>
      </w:r>
      <w:r w:rsidRPr="007F5DD2">
        <w:rPr>
          <w:rFonts w:cs="Helvetica"/>
        </w:rPr>
        <w:t xml:space="preserve"> downstream of the quads</w:t>
      </w:r>
      <w:r w:rsidR="0071641B">
        <w:rPr>
          <w:rFonts w:cs="Helvetica"/>
        </w:rPr>
        <w:t xml:space="preserve"> and of </w:t>
      </w:r>
      <w:r w:rsidRPr="007F5DD2">
        <w:rPr>
          <w:rFonts w:cs="Helvetica"/>
        </w:rPr>
        <w:t>the RF separator</w:t>
      </w:r>
      <w:r w:rsidR="0071641B">
        <w:rPr>
          <w:rFonts w:cs="Helvetica"/>
        </w:rPr>
        <w:t xml:space="preserve"> slot</w:t>
      </w:r>
      <w:r w:rsidRPr="007F5DD2">
        <w:rPr>
          <w:rFonts w:cs="Helvetica"/>
        </w:rPr>
        <w:t>).</w:t>
      </w:r>
    </w:p>
    <w:p w14:paraId="00C222A2" w14:textId="77777777" w:rsidR="007F5DD2" w:rsidRDefault="007F5DD2" w:rsidP="0053430B">
      <w:pPr>
        <w:pStyle w:val="NotesBody11pt"/>
        <w:rPr>
          <w:rFonts w:eastAsia="Times New Roman" w:cs="Helvetica"/>
          <w:color w:val="000000"/>
        </w:rPr>
      </w:pPr>
    </w:p>
    <w:p w14:paraId="2884FB99" w14:textId="2CBE0E4C" w:rsidR="00045CDC" w:rsidRPr="0064496D" w:rsidRDefault="0053430B" w:rsidP="006966E5">
      <w:pPr>
        <w:pStyle w:val="NotesBody11pt"/>
        <w:rPr>
          <w:rFonts w:eastAsia="Times New Roman" w:cs="Helvetica"/>
          <w:color w:val="000000"/>
        </w:rPr>
      </w:pPr>
      <w:r w:rsidRPr="007F5DD2">
        <w:rPr>
          <w:rFonts w:eastAsia="Times New Roman" w:cs="Helvetica"/>
          <w:color w:val="000000"/>
        </w:rPr>
        <w:t>The downstream interface is documented in interface 2662-001, which is an interface between V</w:t>
      </w:r>
      <w:r w:rsidR="006E05D1">
        <w:rPr>
          <w:rFonts w:eastAsia="Times New Roman" w:cs="Helvetica"/>
          <w:color w:val="000000"/>
        </w:rPr>
        <w:t>acuum</w:t>
      </w:r>
      <w:r w:rsidRPr="007F5DD2">
        <w:rPr>
          <w:rFonts w:eastAsia="Times New Roman" w:cs="Helvetica"/>
          <w:color w:val="000000"/>
        </w:rPr>
        <w:t>, L</w:t>
      </w:r>
      <w:r w:rsidR="006E05D1">
        <w:rPr>
          <w:rFonts w:eastAsia="Times New Roman" w:cs="Helvetica"/>
          <w:color w:val="000000"/>
        </w:rPr>
        <w:t>inac Installation</w:t>
      </w:r>
      <w:r w:rsidRPr="007F5DD2">
        <w:rPr>
          <w:rFonts w:eastAsia="Times New Roman" w:cs="Helvetica"/>
          <w:color w:val="000000"/>
        </w:rPr>
        <w:t>, and B</w:t>
      </w:r>
      <w:r w:rsidR="004D6C16">
        <w:rPr>
          <w:rFonts w:eastAsia="Times New Roman" w:cs="Helvetica"/>
          <w:color w:val="000000"/>
        </w:rPr>
        <w:t>TL</w:t>
      </w:r>
      <w:r w:rsidR="00FD3888">
        <w:rPr>
          <w:rFonts w:eastAsia="Times New Roman" w:cs="Helvetica"/>
          <w:color w:val="000000"/>
        </w:rPr>
        <w:t>, see reference [8]</w:t>
      </w:r>
      <w:r w:rsidRPr="007F5DD2">
        <w:rPr>
          <w:rFonts w:eastAsia="Times New Roman" w:cs="Helvetica"/>
          <w:color w:val="000000"/>
        </w:rPr>
        <w:t>.  </w:t>
      </w:r>
    </w:p>
    <w:p w14:paraId="04DE73C3" w14:textId="32B73E86" w:rsidR="0032412A" w:rsidRPr="0032412A" w:rsidRDefault="0032412A" w:rsidP="0032412A">
      <w:pPr>
        <w:pStyle w:val="Heading1"/>
      </w:pPr>
      <w:bookmarkStart w:id="21" w:name="_Toc153270094"/>
      <w:r>
        <w:t xml:space="preserve">Operational </w:t>
      </w:r>
      <w:r w:rsidR="001304E8">
        <w:t xml:space="preserve">interlock (any sensors must meet this specification) </w:t>
      </w:r>
      <w:r>
        <w:t>requirements</w:t>
      </w:r>
      <w:bookmarkEnd w:id="21"/>
    </w:p>
    <w:p w14:paraId="11557357" w14:textId="5F971712" w:rsidR="00985B25" w:rsidRDefault="00985B25" w:rsidP="0032412A">
      <w:pPr>
        <w:pStyle w:val="Heading2"/>
      </w:pPr>
      <w:bookmarkStart w:id="22" w:name="_Toc153270095"/>
      <w:r>
        <w:t>CM</w:t>
      </w:r>
      <w:r w:rsidR="00D42BA3">
        <w:t xml:space="preserve">-specific </w:t>
      </w:r>
      <w:r w:rsidR="00C95BDD">
        <w:t>operational</w:t>
      </w:r>
      <w:r>
        <w:t xml:space="preserve"> vacuum requirements</w:t>
      </w:r>
      <w:bookmarkEnd w:id="22"/>
    </w:p>
    <w:p w14:paraId="73C3C161" w14:textId="7F23C587" w:rsidR="0032412A" w:rsidRDefault="0032412A" w:rsidP="0032412A">
      <w:pPr>
        <w:pStyle w:val="NotesBody11pt"/>
        <w:numPr>
          <w:ilvl w:val="0"/>
          <w:numId w:val="28"/>
        </w:numPr>
      </w:pPr>
      <w:r>
        <w:t xml:space="preserve">CM </w:t>
      </w:r>
      <w:r w:rsidR="00874F92">
        <w:t>b</w:t>
      </w:r>
      <w:r>
        <w:t>eam line vacuum require</w:t>
      </w:r>
      <w:r w:rsidR="00330F0B">
        <w:t>s</w:t>
      </w:r>
      <w:r>
        <w:t xml:space="preserve"> </w:t>
      </w:r>
      <w:r w:rsidR="002C32CA">
        <w:t>&lt;</w:t>
      </w:r>
      <w:r w:rsidR="0076593F">
        <w:t>5x10</w:t>
      </w:r>
      <w:r w:rsidR="00253E25" w:rsidRPr="00B612D2">
        <w:rPr>
          <w:vertAlign w:val="superscript"/>
        </w:rPr>
        <w:t>-7</w:t>
      </w:r>
      <w:r w:rsidR="00330F0B">
        <w:t xml:space="preserve"> </w:t>
      </w:r>
      <w:r w:rsidR="00D351AB">
        <w:t>mbar</w:t>
      </w:r>
      <w:r w:rsidR="00330F0B">
        <w:t xml:space="preserve"> prior </w:t>
      </w:r>
      <w:r>
        <w:t>to</w:t>
      </w:r>
      <w:r w:rsidR="00A32F0A">
        <w:t xml:space="preserve"> the</w:t>
      </w:r>
      <w:r>
        <w:t xml:space="preserve"> start</w:t>
      </w:r>
      <w:r w:rsidR="00A32F0A">
        <w:t xml:space="preserve"> of</w:t>
      </w:r>
      <w:r>
        <w:t xml:space="preserve"> cool down</w:t>
      </w:r>
    </w:p>
    <w:p w14:paraId="644C41C3" w14:textId="6D3D430F" w:rsidR="66EE4CC1" w:rsidRDefault="0032412A" w:rsidP="003F6010">
      <w:pPr>
        <w:pStyle w:val="NotesBody11pt"/>
        <w:numPr>
          <w:ilvl w:val="0"/>
          <w:numId w:val="28"/>
        </w:numPr>
      </w:pPr>
      <w:r>
        <w:t xml:space="preserve">Vacuum in </w:t>
      </w:r>
      <w:r w:rsidR="006D0A9D">
        <w:t xml:space="preserve">the </w:t>
      </w:r>
      <w:r>
        <w:t xml:space="preserve">adjacent </w:t>
      </w:r>
      <w:r w:rsidR="006D0A9D">
        <w:t xml:space="preserve">room temperature </w:t>
      </w:r>
      <w:r>
        <w:t>section</w:t>
      </w:r>
      <w:r w:rsidR="006D0A9D">
        <w:t>s</w:t>
      </w:r>
      <w:r>
        <w:t xml:space="preserve"> </w:t>
      </w:r>
      <w:r w:rsidR="00021989">
        <w:t>must be</w:t>
      </w:r>
      <w:r w:rsidR="00330F0B">
        <w:t xml:space="preserve"> </w:t>
      </w:r>
      <w:r w:rsidR="007C4AE0">
        <w:t>&gt;</w:t>
      </w:r>
      <w:r w:rsidR="0071641B">
        <w:t>5x10</w:t>
      </w:r>
      <w:r w:rsidR="007F75F0" w:rsidRPr="00B612D2">
        <w:rPr>
          <w:vertAlign w:val="superscript"/>
        </w:rPr>
        <w:t>-</w:t>
      </w:r>
      <w:r w:rsidR="0071641B">
        <w:rPr>
          <w:vertAlign w:val="superscript"/>
        </w:rPr>
        <w:t>8</w:t>
      </w:r>
      <w:r w:rsidR="0071641B">
        <w:t xml:space="preserve"> </w:t>
      </w:r>
      <w:r w:rsidR="00D351AB">
        <w:t>mbar</w:t>
      </w:r>
      <w:r w:rsidR="00330F0B">
        <w:t xml:space="preserve"> </w:t>
      </w:r>
      <w:r>
        <w:t xml:space="preserve">to close </w:t>
      </w:r>
      <w:r w:rsidR="006D0A9D">
        <w:t xml:space="preserve">the </w:t>
      </w:r>
      <w:r>
        <w:t xml:space="preserve">CM </w:t>
      </w:r>
      <w:r w:rsidR="00A32F0A">
        <w:t>gate valve</w:t>
      </w:r>
      <w:r>
        <w:t xml:space="preserve"> (interlock)</w:t>
      </w:r>
      <w:r w:rsidR="001304E8">
        <w:t xml:space="preserve"> </w:t>
      </w:r>
      <w:r w:rsidR="00874F92">
        <w:t>an</w:t>
      </w:r>
      <w:r w:rsidR="00045CDC">
        <w:t>d</w:t>
      </w:r>
      <w:r w:rsidR="001304E8">
        <w:t xml:space="preserve"> </w:t>
      </w:r>
      <w:r w:rsidR="00021989">
        <w:t xml:space="preserve">for </w:t>
      </w:r>
      <w:r w:rsidR="001304E8">
        <w:t xml:space="preserve">the CM </w:t>
      </w:r>
      <w:r w:rsidR="00A32F0A">
        <w:t>gate valve</w:t>
      </w:r>
      <w:r w:rsidR="001304E8">
        <w:t xml:space="preserve"> permit to be removed</w:t>
      </w:r>
    </w:p>
    <w:p w14:paraId="739CB3A4" w14:textId="07E1BA7B" w:rsidR="0032412A" w:rsidRDefault="0032412A" w:rsidP="0032412A">
      <w:pPr>
        <w:pStyle w:val="NotesBody11pt"/>
        <w:numPr>
          <w:ilvl w:val="0"/>
          <w:numId w:val="28"/>
        </w:numPr>
      </w:pPr>
      <w:r>
        <w:t xml:space="preserve">Vacuum in </w:t>
      </w:r>
      <w:r w:rsidR="00874F92">
        <w:t xml:space="preserve">the </w:t>
      </w:r>
      <w:r>
        <w:t xml:space="preserve">adjacent </w:t>
      </w:r>
      <w:r w:rsidR="00874F92">
        <w:t>room temperature</w:t>
      </w:r>
      <w:r>
        <w:t xml:space="preserve"> section</w:t>
      </w:r>
      <w:r w:rsidR="006D0A9D">
        <w:t>s</w:t>
      </w:r>
      <w:r>
        <w:t xml:space="preserve"> </w:t>
      </w:r>
      <w:r w:rsidR="00330F0B">
        <w:t>require</w:t>
      </w:r>
      <w:r w:rsidR="00CC6710">
        <w:t>s</w:t>
      </w:r>
      <w:r w:rsidR="003928FB">
        <w:t xml:space="preserve"> a pressure of </w:t>
      </w:r>
      <w:r w:rsidR="00366F8F">
        <w:t>&lt;</w:t>
      </w:r>
      <w:r w:rsidR="0048285A">
        <w:t>2x</w:t>
      </w:r>
      <w:r w:rsidR="00330F0B">
        <w:t>10</w:t>
      </w:r>
      <w:r w:rsidR="00330F0B" w:rsidRPr="00330F0B">
        <w:rPr>
          <w:vertAlign w:val="superscript"/>
        </w:rPr>
        <w:t>-</w:t>
      </w:r>
      <w:r w:rsidR="00330F0B">
        <w:rPr>
          <w:vertAlign w:val="superscript"/>
        </w:rPr>
        <w:t>9</w:t>
      </w:r>
      <w:r w:rsidR="00330F0B">
        <w:t xml:space="preserve"> </w:t>
      </w:r>
      <w:r w:rsidR="00D351AB">
        <w:t>mbar</w:t>
      </w:r>
      <w:r w:rsidR="003928FB">
        <w:t xml:space="preserve"> </w:t>
      </w:r>
      <w:r>
        <w:t xml:space="preserve">to </w:t>
      </w:r>
      <w:r w:rsidR="003928FB">
        <w:t xml:space="preserve">permit </w:t>
      </w:r>
      <w:r w:rsidR="00CC6710">
        <w:t>re</w:t>
      </w:r>
      <w:r>
        <w:t>open</w:t>
      </w:r>
      <w:r w:rsidR="003928FB">
        <w:t>ing of the</w:t>
      </w:r>
      <w:r>
        <w:t xml:space="preserve"> CM </w:t>
      </w:r>
      <w:r w:rsidR="00A32F0A">
        <w:t>gate valve</w:t>
      </w:r>
    </w:p>
    <w:p w14:paraId="506CDF88" w14:textId="0DC8643F" w:rsidR="00D62254" w:rsidRDefault="0032412A" w:rsidP="00A3639F">
      <w:pPr>
        <w:pStyle w:val="Heading2"/>
      </w:pPr>
      <w:bookmarkStart w:id="23" w:name="_Toc153270096"/>
      <w:r>
        <w:t>Non-CM beam line operational requirements</w:t>
      </w:r>
      <w:bookmarkEnd w:id="23"/>
    </w:p>
    <w:p w14:paraId="0C798F6F" w14:textId="0C38865B" w:rsidR="2E760542" w:rsidRPr="006B68D0" w:rsidRDefault="556D7264" w:rsidP="00921B4C">
      <w:pPr>
        <w:pStyle w:val="NotesBody11pt"/>
        <w:numPr>
          <w:ilvl w:val="0"/>
          <w:numId w:val="28"/>
        </w:numPr>
      </w:pPr>
      <w:r>
        <w:t xml:space="preserve">Vacuum in </w:t>
      </w:r>
      <w:r w:rsidR="00A32F0A">
        <w:t xml:space="preserve">the </w:t>
      </w:r>
      <w:r w:rsidR="2E760542">
        <w:t>BTL/</w:t>
      </w:r>
      <w:r w:rsidR="00457FA4">
        <w:t>BAL requires</w:t>
      </w:r>
      <w:r w:rsidR="7118574E">
        <w:t xml:space="preserve"> </w:t>
      </w:r>
      <w:r w:rsidR="00A32F0A">
        <w:t xml:space="preserve">a </w:t>
      </w:r>
      <w:r w:rsidR="00457FA4">
        <w:t>pressure</w:t>
      </w:r>
      <w:r w:rsidR="00A32F0A">
        <w:t xml:space="preserve"> of</w:t>
      </w:r>
      <w:r w:rsidR="00457FA4">
        <w:t xml:space="preserve"> </w:t>
      </w:r>
      <w:r w:rsidR="00E70A4B">
        <w:t>&gt;</w:t>
      </w:r>
      <w:r w:rsidR="0076593F">
        <w:t>5x10</w:t>
      </w:r>
      <w:r w:rsidR="1B54C124" w:rsidRPr="00B612D2">
        <w:rPr>
          <w:vertAlign w:val="superscript"/>
        </w:rPr>
        <w:t>-</w:t>
      </w:r>
      <w:r w:rsidR="00142F75" w:rsidRPr="00B612D2">
        <w:rPr>
          <w:vertAlign w:val="superscript"/>
        </w:rPr>
        <w:t>7</w:t>
      </w:r>
      <w:r w:rsidR="1B54C124">
        <w:t xml:space="preserve"> </w:t>
      </w:r>
      <w:r w:rsidR="00D351AB">
        <w:t>mbar</w:t>
      </w:r>
      <w:r w:rsidR="00C551AA">
        <w:t xml:space="preserve"> to close the gate valve (interlock)</w:t>
      </w:r>
      <w:r w:rsidR="00921B4C">
        <w:t xml:space="preserve"> and</w:t>
      </w:r>
      <w:r w:rsidR="00457FA4">
        <w:t xml:space="preserve"> a pressure of </w:t>
      </w:r>
      <w:r w:rsidR="00A74102">
        <w:t>&lt;</w:t>
      </w:r>
      <w:r w:rsidR="0076593F">
        <w:t>2x10</w:t>
      </w:r>
      <w:r w:rsidR="00457FA4" w:rsidRPr="00B612D2">
        <w:rPr>
          <w:vertAlign w:val="superscript"/>
        </w:rPr>
        <w:t>-</w:t>
      </w:r>
      <w:r w:rsidR="00142F75" w:rsidRPr="00B612D2">
        <w:rPr>
          <w:vertAlign w:val="superscript"/>
        </w:rPr>
        <w:t>7</w:t>
      </w:r>
      <w:r w:rsidR="00457FA4">
        <w:t xml:space="preserve"> </w:t>
      </w:r>
      <w:r w:rsidR="00D351AB">
        <w:t>mbar</w:t>
      </w:r>
      <w:r w:rsidR="00457FA4">
        <w:t xml:space="preserve"> to permit </w:t>
      </w:r>
      <w:r w:rsidR="00921B4C">
        <w:t>re</w:t>
      </w:r>
      <w:r w:rsidR="00457FA4">
        <w:t xml:space="preserve">opening of </w:t>
      </w:r>
      <w:r w:rsidR="00A32F0A">
        <w:t>the</w:t>
      </w:r>
      <w:r w:rsidR="00A24807">
        <w:t xml:space="preserve"> gate</w:t>
      </w:r>
      <w:r w:rsidR="00367C75">
        <w:t xml:space="preserve"> </w:t>
      </w:r>
      <w:r w:rsidR="00A24807">
        <w:t>valve</w:t>
      </w:r>
    </w:p>
    <w:p w14:paraId="24EC135C" w14:textId="70722B0A" w:rsidR="00045CDC" w:rsidRDefault="00142F75" w:rsidP="00500736">
      <w:pPr>
        <w:pStyle w:val="NotesBody11pt"/>
        <w:numPr>
          <w:ilvl w:val="0"/>
          <w:numId w:val="28"/>
        </w:numPr>
      </w:pPr>
      <w:r>
        <w:t xml:space="preserve">Vacuum in the </w:t>
      </w:r>
      <w:r w:rsidR="00A32F0A">
        <w:t>WFE</w:t>
      </w:r>
      <w:r>
        <w:t xml:space="preserve">, including </w:t>
      </w:r>
      <w:r w:rsidR="00A32F0A">
        <w:t xml:space="preserve">the </w:t>
      </w:r>
      <w:r>
        <w:t xml:space="preserve">bunching cavities and </w:t>
      </w:r>
      <w:r w:rsidR="00A32F0A">
        <w:t xml:space="preserve">the </w:t>
      </w:r>
      <w:r>
        <w:t xml:space="preserve">RFQ, requires </w:t>
      </w:r>
      <w:r w:rsidR="00874F92">
        <w:t xml:space="preserve">a </w:t>
      </w:r>
      <w:r>
        <w:t xml:space="preserve">pressure </w:t>
      </w:r>
      <w:r w:rsidR="005D5225">
        <w:t>&gt;</w:t>
      </w:r>
      <w:r w:rsidR="0076593F">
        <w:t>5x10</w:t>
      </w:r>
      <w:r w:rsidRPr="00B612D2">
        <w:rPr>
          <w:vertAlign w:val="superscript"/>
        </w:rPr>
        <w:t>-6</w:t>
      </w:r>
      <w:r>
        <w:t xml:space="preserve"> </w:t>
      </w:r>
      <w:r w:rsidR="00D351AB">
        <w:t>mbar</w:t>
      </w:r>
      <w:r>
        <w:t xml:space="preserve"> to close the gate valve (interlock)</w:t>
      </w:r>
      <w:r w:rsidR="00500736">
        <w:t xml:space="preserve"> and</w:t>
      </w:r>
      <w:r>
        <w:t xml:space="preserve"> a pressure of &lt;</w:t>
      </w:r>
      <w:r w:rsidR="0076593F">
        <w:t>2x10</w:t>
      </w:r>
      <w:r w:rsidRPr="00B612D2">
        <w:rPr>
          <w:vertAlign w:val="superscript"/>
        </w:rPr>
        <w:t>-6</w:t>
      </w:r>
      <w:r>
        <w:t xml:space="preserve"> </w:t>
      </w:r>
      <w:r w:rsidR="00D351AB">
        <w:t>mbar</w:t>
      </w:r>
      <w:r>
        <w:t xml:space="preserve"> to permit </w:t>
      </w:r>
      <w:r w:rsidR="00500736">
        <w:t>re</w:t>
      </w:r>
      <w:r>
        <w:t xml:space="preserve">opening of </w:t>
      </w:r>
      <w:r w:rsidR="00B85AD0">
        <w:t>the</w:t>
      </w:r>
      <w:r>
        <w:t xml:space="preserve"> gate valve</w:t>
      </w:r>
    </w:p>
    <w:p w14:paraId="1B2341D5" w14:textId="0766D124" w:rsidR="00F83CC9" w:rsidRPr="00F83CC9" w:rsidRDefault="005845F7" w:rsidP="005845F7">
      <w:pPr>
        <w:pStyle w:val="Heading1"/>
      </w:pPr>
      <w:bookmarkStart w:id="24" w:name="_Toc153270097"/>
      <w:r>
        <w:lastRenderedPageBreak/>
        <w:t>Component and material vacuum requirements</w:t>
      </w:r>
      <w:bookmarkEnd w:id="24"/>
      <w:r>
        <w:t xml:space="preserve"> </w:t>
      </w:r>
    </w:p>
    <w:p w14:paraId="3921BA3D" w14:textId="0A5708E8" w:rsidR="00A0657D" w:rsidRDefault="008761F9" w:rsidP="005A0FC7">
      <w:pPr>
        <w:pStyle w:val="NotesBody11pt"/>
      </w:pPr>
      <w:r>
        <w:rPr>
          <w:b/>
        </w:rPr>
        <w:t xml:space="preserve">Materials </w:t>
      </w:r>
      <w:r>
        <w:t>– Materials chosen for vacuum components must not only have a low outgassing rate with no contamination in general, but also must be resistant to radiation and corrosion</w:t>
      </w:r>
      <w:r w:rsidR="00685714">
        <w:t xml:space="preserve"> and have low magnetic permeability, particulate generation, etc. in the specific environment. </w:t>
      </w:r>
      <w:r w:rsidR="007A66FD">
        <w:t>Plating or coating is not allowed in areas that require low particulate vacuum.  Vacuum personnel shall be informed and/or involved in all material related decisions</w:t>
      </w:r>
      <w:r w:rsidR="00413A5F">
        <w:t>.</w:t>
      </w:r>
      <w:r w:rsidR="00776137">
        <w:t xml:space="preserve"> </w:t>
      </w:r>
      <w:r w:rsidR="00B91DEF">
        <w:t>The PIP-II Cryomodule Design Handbook</w:t>
      </w:r>
      <w:r w:rsidR="00776137">
        <w:t xml:space="preserve"> </w:t>
      </w:r>
      <w:r w:rsidR="001A2B87">
        <w:t>[9] details approved materials and magnetic hygiene</w:t>
      </w:r>
      <w:r w:rsidR="00600D82">
        <w:t xml:space="preserve"> (i</w:t>
      </w:r>
      <w:r w:rsidR="0036379D">
        <w:t xml:space="preserve">ncluding the use of </w:t>
      </w:r>
      <w:r w:rsidR="00E0124D">
        <w:t xml:space="preserve">materials with low relative magnetic permeability, </w:t>
      </w:r>
      <w:r w:rsidR="00E0124D">
        <w:rPr>
          <w:rFonts w:cs="Helvetica"/>
        </w:rPr>
        <w:t>µ</w:t>
      </w:r>
      <w:r w:rsidR="00E0124D" w:rsidRPr="00C4220B">
        <w:rPr>
          <w:vertAlign w:val="subscript"/>
        </w:rPr>
        <w:t>r</w:t>
      </w:r>
      <w:r w:rsidR="00E0124D">
        <w:t xml:space="preserve">) </w:t>
      </w:r>
      <w:r w:rsidR="009C7C98">
        <w:t>for the cryomodule beamline.</w:t>
      </w:r>
    </w:p>
    <w:p w14:paraId="46897FB2" w14:textId="77777777" w:rsidR="00E0124D" w:rsidRDefault="00E0124D" w:rsidP="005A0FC7">
      <w:pPr>
        <w:pStyle w:val="NotesBody11pt"/>
      </w:pPr>
    </w:p>
    <w:p w14:paraId="58509ECC" w14:textId="60C7BEEB" w:rsidR="0051173D" w:rsidRDefault="0051173D" w:rsidP="005A0FC7">
      <w:pPr>
        <w:pStyle w:val="NotesBody11pt"/>
      </w:pPr>
      <w:r w:rsidRPr="0051173D">
        <w:rPr>
          <w:b/>
        </w:rPr>
        <w:t>Beam pipe</w:t>
      </w:r>
      <w:r>
        <w:t xml:space="preserve"> – All beam pipes in UHV region</w:t>
      </w:r>
      <w:r w:rsidR="00075D85">
        <w:t>s</w:t>
      </w:r>
      <w:r>
        <w:t xml:space="preserve"> must be electropolished</w:t>
      </w:r>
      <w:r w:rsidR="00C07C41">
        <w:t>,</w:t>
      </w:r>
      <w:r w:rsidR="00B85AD0">
        <w:t xml:space="preserve"> and</w:t>
      </w:r>
      <w:r>
        <w:t xml:space="preserve"> an in-situ bakeout may be required.</w:t>
      </w:r>
      <w:r w:rsidR="00E41960">
        <w:t xml:space="preserve"> Beampipes in the SCL additionally need to be hydrogen degassed.</w:t>
      </w:r>
      <w:r>
        <w:t xml:space="preserve">  316L stainless steel</w:t>
      </w:r>
      <w:r w:rsidR="00A95F2D">
        <w:t xml:space="preserve"> with </w:t>
      </w:r>
      <w:r w:rsidR="00A95F2D">
        <w:rPr>
          <w:rFonts w:cs="Helvetica"/>
        </w:rPr>
        <w:t>µ</w:t>
      </w:r>
      <w:r w:rsidR="00A95F2D" w:rsidRPr="002E0698">
        <w:rPr>
          <w:vertAlign w:val="subscript"/>
        </w:rPr>
        <w:t>r</w:t>
      </w:r>
      <w:r w:rsidR="008562A0">
        <w:t xml:space="preserve"> &lt; 1.05</w:t>
      </w:r>
      <w:r>
        <w:t xml:space="preserve"> must be used in areas sensitive to corrosion, magnetic field and/or radiation.</w:t>
      </w:r>
      <w:r w:rsidR="00B774E1">
        <w:t xml:space="preserve"> </w:t>
      </w:r>
      <w:r w:rsidR="004B0F69">
        <w:t xml:space="preserve">Welding </w:t>
      </w:r>
      <w:r w:rsidR="00302484">
        <w:t>should minimize the heat affected zone</w:t>
      </w:r>
      <w:r w:rsidR="00442396">
        <w:t xml:space="preserve"> and use</w:t>
      </w:r>
      <w:r w:rsidR="00AE7ADC">
        <w:t xml:space="preserve"> no</w:t>
      </w:r>
      <w:r w:rsidR="00442396">
        <w:t xml:space="preserve"> filler</w:t>
      </w:r>
      <w:r w:rsidR="00D655E7">
        <w:t>, or filler</w:t>
      </w:r>
      <w:r w:rsidR="00442396">
        <w:t xml:space="preserve"> with low magnetic permeability</w:t>
      </w:r>
      <w:r w:rsidR="008D0CE6">
        <w:t xml:space="preserve"> if </w:t>
      </w:r>
      <w:r w:rsidR="00D655E7">
        <w:t xml:space="preserve">it </w:t>
      </w:r>
      <w:r w:rsidR="008D0CE6">
        <w:t>is required</w:t>
      </w:r>
      <w:r w:rsidR="00442396">
        <w:t>.</w:t>
      </w:r>
    </w:p>
    <w:p w14:paraId="07FC4283" w14:textId="77777777" w:rsidR="004C59A4" w:rsidRDefault="004C59A4" w:rsidP="005A0FC7">
      <w:pPr>
        <w:pStyle w:val="NotesBody11pt"/>
      </w:pPr>
    </w:p>
    <w:p w14:paraId="3CAA45EB" w14:textId="788D8FB0" w:rsidR="000C4B0B" w:rsidRDefault="00904782" w:rsidP="000C4B0B">
      <w:pPr>
        <w:pStyle w:val="NotesBody11pt"/>
        <w:rPr>
          <w:rFonts w:cs="Helvetica"/>
        </w:rPr>
      </w:pPr>
      <w:r w:rsidRPr="00BE31AF">
        <w:rPr>
          <w:b/>
        </w:rPr>
        <w:t>Flanges</w:t>
      </w:r>
      <w:r>
        <w:t xml:space="preserve"> – </w:t>
      </w:r>
      <w:r w:rsidR="00FB1116">
        <w:t>ConFlat® (</w:t>
      </w:r>
      <w:r>
        <w:t>CF</w:t>
      </w:r>
      <w:r w:rsidR="00FB1116">
        <w:t>)</w:t>
      </w:r>
      <w:r>
        <w:t xml:space="preserve"> flanges (70</w:t>
      </w:r>
      <w:r w:rsidR="00BE31AF">
        <w:rPr>
          <w:rFonts w:cs="Helvetica"/>
        </w:rPr>
        <w:t xml:space="preserve">⁰ preferred) </w:t>
      </w:r>
      <w:r w:rsidR="00A701B6">
        <w:t xml:space="preserve">with </w:t>
      </w:r>
      <w:r w:rsidR="00A701B6">
        <w:rPr>
          <w:rFonts w:cs="Helvetica"/>
        </w:rPr>
        <w:t>µ</w:t>
      </w:r>
      <w:r w:rsidR="00A701B6" w:rsidRPr="00C4220B">
        <w:rPr>
          <w:vertAlign w:val="subscript"/>
        </w:rPr>
        <w:t>r</w:t>
      </w:r>
      <w:r w:rsidR="00A701B6">
        <w:t xml:space="preserve"> &lt; 1.05 </w:t>
      </w:r>
      <w:r w:rsidR="00BE31AF">
        <w:rPr>
          <w:rFonts w:cs="Helvetica"/>
        </w:rPr>
        <w:t xml:space="preserve">are required in UHV and preferred in </w:t>
      </w:r>
      <w:r w:rsidR="00B90DEB">
        <w:rPr>
          <w:rFonts w:cs="Helvetica"/>
        </w:rPr>
        <w:t>high vacuum (</w:t>
      </w:r>
      <w:r w:rsidR="00BE31AF">
        <w:rPr>
          <w:rFonts w:cs="Helvetica"/>
        </w:rPr>
        <w:t>HV</w:t>
      </w:r>
      <w:r w:rsidR="00B90DEB">
        <w:rPr>
          <w:rFonts w:cs="Helvetica"/>
        </w:rPr>
        <w:t>)</w:t>
      </w:r>
      <w:r w:rsidR="00BE31AF">
        <w:rPr>
          <w:rFonts w:cs="Helvetica"/>
        </w:rPr>
        <w:t>.</w:t>
      </w:r>
    </w:p>
    <w:p w14:paraId="4C56CFB0" w14:textId="77777777" w:rsidR="004C59A4" w:rsidRDefault="004C59A4" w:rsidP="000C4B0B">
      <w:pPr>
        <w:pStyle w:val="NotesBody11pt"/>
        <w:rPr>
          <w:rFonts w:cs="Helvetica"/>
        </w:rPr>
      </w:pPr>
    </w:p>
    <w:p w14:paraId="54443362" w14:textId="5763DAEF" w:rsidR="00066721" w:rsidRDefault="00066721" w:rsidP="000C4B0B">
      <w:pPr>
        <w:pStyle w:val="NotesBody11pt"/>
        <w:rPr>
          <w:rFonts w:cs="Helvetica"/>
        </w:rPr>
      </w:pPr>
      <w:r w:rsidRPr="00EC33BE">
        <w:rPr>
          <w:rFonts w:cs="Helvetica"/>
          <w:b/>
        </w:rPr>
        <w:t>Gauges</w:t>
      </w:r>
      <w:r>
        <w:rPr>
          <w:rFonts w:cs="Helvetica"/>
        </w:rPr>
        <w:t xml:space="preserve"> – Inverted </w:t>
      </w:r>
      <w:r w:rsidR="00EC33BE">
        <w:rPr>
          <w:rFonts w:cs="Helvetica"/>
        </w:rPr>
        <w:t>magnetron cold cathode gauges (CC’s), thermocouple gauges (TC’s), ion gauges (IG’s), convection gauges (</w:t>
      </w:r>
      <w:r w:rsidR="002F34C3">
        <w:rPr>
          <w:rFonts w:cs="Helvetica"/>
        </w:rPr>
        <w:t>C</w:t>
      </w:r>
      <w:r w:rsidR="00EC33BE">
        <w:rPr>
          <w:rFonts w:cs="Helvetica"/>
        </w:rPr>
        <w:t>G’s), capacitance manometers and residual gas analyzers (RGS’s) are required.</w:t>
      </w:r>
    </w:p>
    <w:p w14:paraId="4374391C" w14:textId="77777777" w:rsidR="004C59A4" w:rsidRDefault="004C59A4" w:rsidP="000C4B0B">
      <w:pPr>
        <w:pStyle w:val="NotesBody11pt"/>
        <w:rPr>
          <w:rFonts w:cs="Helvetica"/>
        </w:rPr>
      </w:pPr>
    </w:p>
    <w:p w14:paraId="274DF020" w14:textId="2B0E2ADE" w:rsidR="00D462C5" w:rsidRDefault="00D462C5" w:rsidP="000C4B0B">
      <w:pPr>
        <w:pStyle w:val="NotesBody11pt"/>
      </w:pPr>
      <w:r w:rsidRPr="00D52877">
        <w:rPr>
          <w:rFonts w:cs="Helvetica"/>
          <w:b/>
        </w:rPr>
        <w:t>Hardware</w:t>
      </w:r>
      <w:r>
        <w:rPr>
          <w:rFonts w:cs="Helvetica"/>
        </w:rPr>
        <w:t xml:space="preserve"> – In the low particulate vacuum regions, standard unplated C</w:t>
      </w:r>
      <w:r w:rsidR="0037062D">
        <w:rPr>
          <w:rFonts w:cs="Helvetica"/>
        </w:rPr>
        <w:t>F</w:t>
      </w:r>
      <w:r>
        <w:t xml:space="preserve"> copper gaskets should be used with the C</w:t>
      </w:r>
      <w:r w:rsidR="0037062D">
        <w:t>F</w:t>
      </w:r>
      <w:r>
        <w:t xml:space="preserve"> flanges.  They should be ordered individually wrapped and UHV cleaned.  Bolts and studs shall be made of 316L unplated stainless steel.  Nuts should be 651 silicon bronze.  </w:t>
      </w:r>
      <w:r w:rsidR="00D351AB">
        <w:t>Titanium 6Al-4V</w:t>
      </w:r>
      <w:r>
        <w:t xml:space="preserve"> </w:t>
      </w:r>
      <w:r w:rsidR="00402062">
        <w:t xml:space="preserve">or 651 silicon bronze </w:t>
      </w:r>
      <w:r>
        <w:t xml:space="preserve">studs should be used for blind holes.  Nuts, bolts and studs shall be ultrasonically </w:t>
      </w:r>
      <w:r w:rsidR="00D52877">
        <w:t>cleaned prior to installation.</w:t>
      </w:r>
    </w:p>
    <w:p w14:paraId="450E6E3C" w14:textId="77777777" w:rsidR="004C59A4" w:rsidRDefault="004C59A4" w:rsidP="000C4B0B">
      <w:pPr>
        <w:pStyle w:val="NotesBody11pt"/>
      </w:pPr>
    </w:p>
    <w:p w14:paraId="5E6BB8AE" w14:textId="320A8AEB" w:rsidR="000C4B0B" w:rsidRDefault="00CD0E74" w:rsidP="00915DE1">
      <w:pPr>
        <w:pStyle w:val="NotesBody11pt"/>
      </w:pPr>
      <w:r w:rsidRPr="00B97A23">
        <w:rPr>
          <w:b/>
        </w:rPr>
        <w:t xml:space="preserve">Valves </w:t>
      </w:r>
      <w:r>
        <w:t>– Manual and pneumatic gate valve</w:t>
      </w:r>
      <w:r w:rsidR="00B85AD0">
        <w:t>s</w:t>
      </w:r>
      <w:r>
        <w:t xml:space="preserve"> are installed along the beamline for protection and commissioning purposes</w:t>
      </w:r>
      <w:r w:rsidR="00525747">
        <w:t xml:space="preserve">. </w:t>
      </w:r>
      <w:r w:rsidR="000C4B0B">
        <w:t xml:space="preserve"> All-metal valves</w:t>
      </w:r>
      <w:r w:rsidR="00D624BB">
        <w:t xml:space="preserve"> or valves with </w:t>
      </w:r>
      <w:r w:rsidR="00BB69A8">
        <w:t>radiation resistant elastomers</w:t>
      </w:r>
      <w:r w:rsidR="000C4B0B">
        <w:t xml:space="preserve"> </w:t>
      </w:r>
      <w:r w:rsidR="00B97A23">
        <w:t xml:space="preserve">are required in UHV regions.  Some gate valves, including the </w:t>
      </w:r>
      <w:r w:rsidR="00B85AD0">
        <w:t>FAVs</w:t>
      </w:r>
      <w:r w:rsidR="00B97A23">
        <w:t xml:space="preserve"> are interlocked as part of </w:t>
      </w:r>
      <w:r w:rsidR="00915DE1">
        <w:t>machine protection.</w:t>
      </w:r>
    </w:p>
    <w:p w14:paraId="2032A747" w14:textId="77777777" w:rsidR="004C59A4" w:rsidRDefault="004C59A4" w:rsidP="00915DE1">
      <w:pPr>
        <w:pStyle w:val="NotesBody11pt"/>
      </w:pPr>
    </w:p>
    <w:p w14:paraId="33F883FC" w14:textId="559B4871" w:rsidR="00915DE1" w:rsidRDefault="00915DE1" w:rsidP="00915DE1">
      <w:pPr>
        <w:pStyle w:val="NotesBody11pt"/>
      </w:pPr>
      <w:r w:rsidRPr="00895C92">
        <w:rPr>
          <w:b/>
        </w:rPr>
        <w:t>Cleaning</w:t>
      </w:r>
      <w:r>
        <w:t xml:space="preserve"> – All vacuum parts for PIP-II shall be UHV</w:t>
      </w:r>
      <w:r w:rsidR="006C5F4C">
        <w:t xml:space="preserve"> cleaned</w:t>
      </w:r>
      <w:r>
        <w:t>, even the parts for HV regions and bagged properly per procedure for low-particulate UHV cleaning and assembly [6] for parts used in regions which require low particulate vacuum.</w:t>
      </w:r>
    </w:p>
    <w:p w14:paraId="33FB4FA8" w14:textId="77777777" w:rsidR="004C59A4" w:rsidRDefault="004C59A4" w:rsidP="00915DE1">
      <w:pPr>
        <w:pStyle w:val="NotesBody11pt"/>
      </w:pPr>
    </w:p>
    <w:p w14:paraId="4DCA9ED2" w14:textId="33859408" w:rsidR="00871C89" w:rsidRDefault="00871C89" w:rsidP="00915DE1">
      <w:pPr>
        <w:pStyle w:val="NotesBody11pt"/>
      </w:pPr>
      <w:r w:rsidRPr="003A779D">
        <w:rPr>
          <w:b/>
        </w:rPr>
        <w:t>Certification</w:t>
      </w:r>
      <w:r>
        <w:t xml:space="preserve"> – All devices that are part of the beamline vacuum shall be certified by vacuum personnel, prior to being installed in the beamline.  The certification must verify that the specific device meets the vacuum requirement.  The specific procedures and criteria will be defined </w:t>
      </w:r>
      <w:r w:rsidR="003A779D">
        <w:t>accordingly.</w:t>
      </w:r>
    </w:p>
    <w:p w14:paraId="64F9EF0A" w14:textId="77777777" w:rsidR="004C59A4" w:rsidRDefault="004C59A4" w:rsidP="00915DE1">
      <w:pPr>
        <w:pStyle w:val="NotesBody11pt"/>
      </w:pPr>
    </w:p>
    <w:p w14:paraId="268CBDB7" w14:textId="0DEC66C1" w:rsidR="003A779D" w:rsidRDefault="003A779D" w:rsidP="00915DE1">
      <w:pPr>
        <w:pStyle w:val="NotesBody11pt"/>
      </w:pPr>
      <w:r w:rsidRPr="00C72FF5">
        <w:rPr>
          <w:b/>
        </w:rPr>
        <w:lastRenderedPageBreak/>
        <w:t>Assembly and Installation</w:t>
      </w:r>
      <w:r>
        <w:t xml:space="preserve"> – The procedures for assembly and in</w:t>
      </w:r>
      <w:r w:rsidR="00C72FF5">
        <w:t>stallation are specific to each region.</w:t>
      </w:r>
    </w:p>
    <w:p w14:paraId="315FF6EE" w14:textId="77777777" w:rsidR="004C59A4" w:rsidRDefault="004C59A4" w:rsidP="00915DE1">
      <w:pPr>
        <w:pStyle w:val="NotesBody11pt"/>
      </w:pPr>
    </w:p>
    <w:p w14:paraId="412EBBD3" w14:textId="41CC8D3D" w:rsidR="00C72FF5" w:rsidRDefault="00C72FF5" w:rsidP="00915DE1">
      <w:pPr>
        <w:pStyle w:val="NotesBody11pt"/>
      </w:pPr>
      <w:r w:rsidRPr="00A77439">
        <w:rPr>
          <w:b/>
        </w:rPr>
        <w:t>Roughing and Venting</w:t>
      </w:r>
      <w:r>
        <w:t xml:space="preserve"> – Since there is a risk of particle migration towards a CM, the valve that isolate</w:t>
      </w:r>
      <w:r w:rsidR="00874F92">
        <w:t>s</w:t>
      </w:r>
      <w:r>
        <w:t xml:space="preserve"> </w:t>
      </w:r>
      <w:r w:rsidR="00874F92">
        <w:t>a</w:t>
      </w:r>
      <w:r>
        <w:t xml:space="preserve"> CM from its vicinity shall remain closed during the period of roughing down and venting up in the adjacent regions.  Turbo cart equipment with flow r</w:t>
      </w:r>
      <w:r w:rsidR="00A77439">
        <w:t>estriction</w:t>
      </w:r>
      <w:r w:rsidR="006C5F4C">
        <w:t>s</w:t>
      </w:r>
      <w:r w:rsidR="00A77439">
        <w:t xml:space="preserve"> (50 mbar-l/s) and proper filtration shall be used for such activities, until the pressure is below 1 </w:t>
      </w:r>
      <w:r w:rsidR="00D351AB">
        <w:t>mbar</w:t>
      </w:r>
      <w:r w:rsidR="00A77439">
        <w:t>.  The location of pumping/venting ports should be chosen so that the risk of particle migration towards the CM is minimized.</w:t>
      </w:r>
    </w:p>
    <w:p w14:paraId="39A44C91" w14:textId="77777777" w:rsidR="00045CDC" w:rsidRDefault="00045CDC" w:rsidP="000C4B0B">
      <w:pPr>
        <w:pStyle w:val="NotesBody11pt"/>
      </w:pPr>
    </w:p>
    <w:p w14:paraId="2DBA937F" w14:textId="77777777" w:rsidR="00FA2316" w:rsidRDefault="00FA2316" w:rsidP="00FA2316">
      <w:pPr>
        <w:pStyle w:val="Heading1"/>
        <w:spacing w:before="0"/>
        <w:jc w:val="both"/>
      </w:pPr>
      <w:bookmarkStart w:id="25" w:name="_Toc153270098"/>
      <w:r>
        <w:t>Reference Documents</w:t>
      </w:r>
      <w:bookmarkEnd w:id="25"/>
    </w:p>
    <w:tbl>
      <w:tblPr>
        <w:tblStyle w:val="TableGrid1"/>
        <w:tblW w:w="0" w:type="auto"/>
        <w:jc w:val="center"/>
        <w:tblLook w:val="04A0" w:firstRow="1" w:lastRow="0" w:firstColumn="1" w:lastColumn="0" w:noHBand="0" w:noVBand="1"/>
      </w:tblPr>
      <w:tblGrid>
        <w:gridCol w:w="540"/>
        <w:gridCol w:w="6205"/>
        <w:gridCol w:w="2610"/>
      </w:tblGrid>
      <w:tr w:rsidR="00FA2316" w14:paraId="7FE48FFB" w14:textId="77777777" w:rsidTr="002F73C2">
        <w:trPr>
          <w:trHeight w:val="360"/>
          <w:jc w:val="center"/>
        </w:trPr>
        <w:tc>
          <w:tcPr>
            <w:tcW w:w="540" w:type="dxa"/>
            <w:vAlign w:val="center"/>
          </w:tcPr>
          <w:p w14:paraId="69B94BBF" w14:textId="77777777" w:rsidR="00FA2316" w:rsidRPr="00393CA9" w:rsidRDefault="00FA2316">
            <w:pPr>
              <w:jc w:val="center"/>
              <w:rPr>
                <w:rFonts w:ascii="Helvetica" w:hAnsi="Helvetica" w:cs="Helvetica"/>
                <w:b/>
                <w:bCs/>
                <w:sz w:val="22"/>
                <w:szCs w:val="22"/>
              </w:rPr>
            </w:pPr>
            <w:r w:rsidRPr="006B68D0">
              <w:rPr>
                <w:rFonts w:ascii="Helvetica" w:hAnsi="Helvetica" w:cs="Helvetica"/>
                <w:b/>
                <w:bCs/>
                <w:sz w:val="22"/>
                <w:szCs w:val="22"/>
              </w:rPr>
              <w:t>#</w:t>
            </w:r>
          </w:p>
        </w:tc>
        <w:tc>
          <w:tcPr>
            <w:tcW w:w="6205" w:type="dxa"/>
            <w:vAlign w:val="center"/>
          </w:tcPr>
          <w:p w14:paraId="049BCBB6" w14:textId="77777777" w:rsidR="00FA2316" w:rsidRPr="00393CA9" w:rsidRDefault="00FA2316">
            <w:pPr>
              <w:jc w:val="both"/>
              <w:rPr>
                <w:rFonts w:ascii="Helvetica" w:hAnsi="Helvetica" w:cs="Helvetica"/>
                <w:b/>
                <w:bCs/>
                <w:sz w:val="22"/>
                <w:szCs w:val="22"/>
              </w:rPr>
            </w:pPr>
            <w:r w:rsidRPr="006B68D0">
              <w:rPr>
                <w:rFonts w:ascii="Helvetica" w:hAnsi="Helvetica" w:cs="Helvetica"/>
                <w:b/>
                <w:bCs/>
                <w:sz w:val="22"/>
                <w:szCs w:val="22"/>
              </w:rPr>
              <w:t>Reference</w:t>
            </w:r>
          </w:p>
        </w:tc>
        <w:tc>
          <w:tcPr>
            <w:tcW w:w="2610" w:type="dxa"/>
            <w:vAlign w:val="center"/>
          </w:tcPr>
          <w:p w14:paraId="67E2B91E" w14:textId="77777777" w:rsidR="00FA2316" w:rsidRPr="00393CA9" w:rsidRDefault="00FA2316">
            <w:pPr>
              <w:jc w:val="center"/>
              <w:rPr>
                <w:rFonts w:ascii="Helvetica" w:hAnsi="Helvetica" w:cs="Helvetica"/>
                <w:b/>
                <w:bCs/>
                <w:sz w:val="22"/>
                <w:szCs w:val="22"/>
              </w:rPr>
            </w:pPr>
            <w:r w:rsidRPr="006B68D0">
              <w:rPr>
                <w:rFonts w:ascii="Helvetica" w:hAnsi="Helvetica" w:cs="Helvetica"/>
                <w:b/>
                <w:bCs/>
                <w:sz w:val="22"/>
                <w:szCs w:val="22"/>
              </w:rPr>
              <w:t>Document #</w:t>
            </w:r>
          </w:p>
        </w:tc>
      </w:tr>
      <w:tr w:rsidR="00FA2316" w14:paraId="13EF2DF1" w14:textId="77777777" w:rsidTr="002F73C2">
        <w:trPr>
          <w:trHeight w:val="360"/>
          <w:jc w:val="center"/>
        </w:trPr>
        <w:tc>
          <w:tcPr>
            <w:tcW w:w="540" w:type="dxa"/>
            <w:vAlign w:val="center"/>
          </w:tcPr>
          <w:p w14:paraId="7E749973" w14:textId="77777777" w:rsidR="00FA2316" w:rsidRDefault="00FA2316">
            <w:pPr>
              <w:jc w:val="center"/>
              <w:rPr>
                <w:rFonts w:ascii="Helvetica" w:hAnsi="Helvetica" w:cs="Helvetica"/>
                <w:sz w:val="22"/>
                <w:szCs w:val="22"/>
              </w:rPr>
            </w:pPr>
            <w:r>
              <w:rPr>
                <w:rFonts w:ascii="Helvetica" w:hAnsi="Helvetica" w:cs="Helvetica"/>
                <w:sz w:val="22"/>
                <w:szCs w:val="22"/>
              </w:rPr>
              <w:t>1</w:t>
            </w:r>
          </w:p>
        </w:tc>
        <w:tc>
          <w:tcPr>
            <w:tcW w:w="6205" w:type="dxa"/>
            <w:vAlign w:val="center"/>
          </w:tcPr>
          <w:p w14:paraId="5A2FC7FD" w14:textId="77777777" w:rsidR="00FA2316" w:rsidRPr="000E6AAD" w:rsidRDefault="00FA2316">
            <w:pPr>
              <w:jc w:val="both"/>
              <w:rPr>
                <w:rFonts w:ascii="Helvetica" w:hAnsi="Helvetica" w:cs="Helvetica"/>
                <w:sz w:val="22"/>
                <w:szCs w:val="22"/>
              </w:rPr>
            </w:pPr>
            <w:r>
              <w:rPr>
                <w:rFonts w:ascii="Helvetica" w:hAnsi="Helvetica" w:cs="Helvetica"/>
                <w:sz w:val="22"/>
                <w:szCs w:val="22"/>
              </w:rPr>
              <w:t>PIP-II Global Requirements Document (GRD)</w:t>
            </w:r>
          </w:p>
        </w:tc>
        <w:tc>
          <w:tcPr>
            <w:tcW w:w="2610" w:type="dxa"/>
            <w:vAlign w:val="center"/>
          </w:tcPr>
          <w:p w14:paraId="76180E72" w14:textId="77777777" w:rsidR="00FA2316" w:rsidRDefault="00FA2316">
            <w:pPr>
              <w:jc w:val="center"/>
              <w:rPr>
                <w:rFonts w:ascii="Helvetica" w:hAnsi="Helvetica" w:cs="Helvetica"/>
                <w:sz w:val="22"/>
                <w:szCs w:val="22"/>
              </w:rPr>
            </w:pPr>
            <w:r>
              <w:rPr>
                <w:rFonts w:ascii="Helvetica" w:hAnsi="Helvetica" w:cs="Helvetica"/>
                <w:sz w:val="22"/>
                <w:szCs w:val="22"/>
              </w:rPr>
              <w:t>ED0001222</w:t>
            </w:r>
          </w:p>
        </w:tc>
      </w:tr>
      <w:tr w:rsidR="00FA2316" w14:paraId="07F6318A" w14:textId="77777777" w:rsidTr="002F73C2">
        <w:trPr>
          <w:trHeight w:val="360"/>
          <w:jc w:val="center"/>
        </w:trPr>
        <w:tc>
          <w:tcPr>
            <w:tcW w:w="540" w:type="dxa"/>
            <w:vAlign w:val="center"/>
          </w:tcPr>
          <w:p w14:paraId="59C23A36" w14:textId="77777777" w:rsidR="00FA2316" w:rsidRDefault="00FA2316">
            <w:pPr>
              <w:jc w:val="center"/>
              <w:rPr>
                <w:rFonts w:ascii="Helvetica" w:hAnsi="Helvetica" w:cs="Helvetica"/>
                <w:sz w:val="22"/>
                <w:szCs w:val="22"/>
              </w:rPr>
            </w:pPr>
            <w:r>
              <w:rPr>
                <w:rFonts w:ascii="Helvetica" w:hAnsi="Helvetica" w:cs="Helvetica"/>
                <w:sz w:val="22"/>
                <w:szCs w:val="22"/>
              </w:rPr>
              <w:t>2</w:t>
            </w:r>
          </w:p>
        </w:tc>
        <w:tc>
          <w:tcPr>
            <w:tcW w:w="6205" w:type="dxa"/>
            <w:vAlign w:val="center"/>
          </w:tcPr>
          <w:p w14:paraId="0B400449" w14:textId="5036D0AD" w:rsidR="00FA2316" w:rsidRPr="00393CA9" w:rsidRDefault="00FA2316">
            <w:pPr>
              <w:jc w:val="both"/>
              <w:rPr>
                <w:rFonts w:ascii="Helvetica" w:hAnsi="Helvetica" w:cs="Helvetica"/>
                <w:i/>
                <w:iCs/>
                <w:sz w:val="22"/>
                <w:szCs w:val="22"/>
              </w:rPr>
            </w:pPr>
            <w:r>
              <w:rPr>
                <w:rFonts w:ascii="Helvetica" w:hAnsi="Helvetica" w:cs="Helvetica"/>
                <w:sz w:val="22"/>
                <w:szCs w:val="22"/>
              </w:rPr>
              <w:t>PIP-II Preliminary Design Report (PDR)</w:t>
            </w:r>
          </w:p>
        </w:tc>
        <w:tc>
          <w:tcPr>
            <w:tcW w:w="2610" w:type="dxa"/>
            <w:vAlign w:val="center"/>
          </w:tcPr>
          <w:p w14:paraId="31F10FC1" w14:textId="744EE4B1" w:rsidR="00FA2316" w:rsidRDefault="00FA2316">
            <w:pPr>
              <w:jc w:val="center"/>
              <w:rPr>
                <w:rFonts w:ascii="Helvetica" w:hAnsi="Helvetica" w:cs="Helvetica"/>
                <w:sz w:val="22"/>
                <w:szCs w:val="22"/>
              </w:rPr>
            </w:pPr>
            <w:r>
              <w:rPr>
                <w:rFonts w:ascii="Helvetica" w:hAnsi="Helvetica" w:cs="Helvetica"/>
                <w:sz w:val="22"/>
                <w:szCs w:val="22"/>
              </w:rPr>
              <w:t>PIP-II DocDB</w:t>
            </w:r>
            <w:r w:rsidR="00A637D0">
              <w:rPr>
                <w:rFonts w:ascii="Helvetica" w:hAnsi="Helvetica" w:cs="Helvetica"/>
                <w:sz w:val="22"/>
                <w:szCs w:val="22"/>
              </w:rPr>
              <w:t xml:space="preserve"> </w:t>
            </w:r>
            <w:r>
              <w:rPr>
                <w:rFonts w:ascii="Helvetica" w:hAnsi="Helvetica" w:cs="Helvetica"/>
                <w:sz w:val="22"/>
                <w:szCs w:val="22"/>
              </w:rPr>
              <w:t>#2261</w:t>
            </w:r>
          </w:p>
        </w:tc>
      </w:tr>
      <w:tr w:rsidR="00FA2316" w14:paraId="198FB073" w14:textId="77777777" w:rsidTr="002F73C2">
        <w:trPr>
          <w:trHeight w:val="360"/>
          <w:jc w:val="center"/>
        </w:trPr>
        <w:tc>
          <w:tcPr>
            <w:tcW w:w="540" w:type="dxa"/>
            <w:vAlign w:val="center"/>
          </w:tcPr>
          <w:p w14:paraId="0AD7271F" w14:textId="77777777" w:rsidR="00FA2316" w:rsidRDefault="00FA2316">
            <w:pPr>
              <w:jc w:val="center"/>
              <w:rPr>
                <w:rFonts w:ascii="Helvetica" w:hAnsi="Helvetica" w:cs="Helvetica"/>
                <w:sz w:val="22"/>
                <w:szCs w:val="22"/>
              </w:rPr>
            </w:pPr>
            <w:r>
              <w:rPr>
                <w:rFonts w:ascii="Helvetica" w:hAnsi="Helvetica" w:cs="Helvetica"/>
                <w:sz w:val="22"/>
                <w:szCs w:val="22"/>
              </w:rPr>
              <w:t>3</w:t>
            </w:r>
          </w:p>
        </w:tc>
        <w:tc>
          <w:tcPr>
            <w:tcW w:w="6205" w:type="dxa"/>
            <w:vAlign w:val="center"/>
          </w:tcPr>
          <w:p w14:paraId="7B047546" w14:textId="77777777" w:rsidR="00FA2316" w:rsidRPr="0074237E" w:rsidDel="00221774" w:rsidRDefault="00FA2316">
            <w:pPr>
              <w:jc w:val="both"/>
              <w:rPr>
                <w:rFonts w:ascii="Helvetica" w:hAnsi="Helvetica" w:cs="Helvetica"/>
                <w:sz w:val="22"/>
                <w:szCs w:val="22"/>
              </w:rPr>
            </w:pPr>
            <w:r>
              <w:rPr>
                <w:rFonts w:ascii="Helvetica" w:hAnsi="Helvetica" w:cs="Helvetica"/>
                <w:sz w:val="22"/>
                <w:szCs w:val="22"/>
              </w:rPr>
              <w:t>Beam Loss in the Linac PRD</w:t>
            </w:r>
          </w:p>
        </w:tc>
        <w:tc>
          <w:tcPr>
            <w:tcW w:w="2610" w:type="dxa"/>
            <w:vAlign w:val="center"/>
          </w:tcPr>
          <w:p w14:paraId="7513F44A" w14:textId="77777777" w:rsidR="00FA2316" w:rsidRDefault="00FA2316">
            <w:pPr>
              <w:jc w:val="center"/>
              <w:rPr>
                <w:rFonts w:ascii="Helvetica" w:hAnsi="Helvetica" w:cs="Helvetica"/>
                <w:sz w:val="22"/>
                <w:szCs w:val="22"/>
              </w:rPr>
            </w:pPr>
            <w:r>
              <w:rPr>
                <w:rFonts w:ascii="Helvetica" w:hAnsi="Helvetica" w:cs="Helvetica"/>
                <w:sz w:val="22"/>
                <w:szCs w:val="22"/>
              </w:rPr>
              <w:t>ED0010243</w:t>
            </w:r>
          </w:p>
        </w:tc>
      </w:tr>
      <w:tr w:rsidR="00D83964" w14:paraId="3ACD7416" w14:textId="77777777" w:rsidTr="002F73C2">
        <w:trPr>
          <w:trHeight w:val="360"/>
          <w:jc w:val="center"/>
        </w:trPr>
        <w:tc>
          <w:tcPr>
            <w:tcW w:w="540" w:type="dxa"/>
            <w:vAlign w:val="center"/>
          </w:tcPr>
          <w:p w14:paraId="2B999ACD" w14:textId="0C4CFB1D" w:rsidR="00D83964" w:rsidRDefault="00D83964" w:rsidP="00D83964">
            <w:pPr>
              <w:jc w:val="center"/>
              <w:rPr>
                <w:rFonts w:ascii="Helvetica" w:hAnsi="Helvetica" w:cs="Helvetica"/>
                <w:sz w:val="22"/>
                <w:szCs w:val="22"/>
              </w:rPr>
            </w:pPr>
            <w:r>
              <w:rPr>
                <w:rFonts w:ascii="Helvetica" w:hAnsi="Helvetica" w:cs="Helvetica"/>
                <w:sz w:val="22"/>
                <w:szCs w:val="22"/>
              </w:rPr>
              <w:t>4</w:t>
            </w:r>
          </w:p>
        </w:tc>
        <w:tc>
          <w:tcPr>
            <w:tcW w:w="6205" w:type="dxa"/>
            <w:vAlign w:val="center"/>
          </w:tcPr>
          <w:p w14:paraId="3ED47913" w14:textId="58B655D6" w:rsidR="00D83964" w:rsidRDefault="00D83964" w:rsidP="00D83964">
            <w:pPr>
              <w:jc w:val="both"/>
              <w:rPr>
                <w:rFonts w:ascii="Helvetica" w:hAnsi="Helvetica" w:cs="Helvetica"/>
                <w:sz w:val="22"/>
                <w:szCs w:val="22"/>
              </w:rPr>
            </w:pPr>
            <w:r>
              <w:rPr>
                <w:rFonts w:ascii="Helvetica" w:eastAsia="Helvetica" w:hAnsi="Helvetica" w:cs="Helvetica"/>
                <w:sz w:val="22"/>
                <w:szCs w:val="22"/>
              </w:rPr>
              <w:t>PIP2IT MEBT DPI-FV design and 1</w:t>
            </w:r>
            <w:r w:rsidRPr="00525AE9">
              <w:rPr>
                <w:rFonts w:ascii="Helvetica" w:eastAsia="Helvetica" w:hAnsi="Helvetica" w:cs="Helvetica"/>
                <w:sz w:val="22"/>
                <w:szCs w:val="22"/>
                <w:vertAlign w:val="superscript"/>
              </w:rPr>
              <w:t>st</w:t>
            </w:r>
            <w:r>
              <w:rPr>
                <w:rFonts w:ascii="Helvetica" w:eastAsia="Helvetica" w:hAnsi="Helvetica" w:cs="Helvetica"/>
                <w:sz w:val="22"/>
                <w:szCs w:val="22"/>
              </w:rPr>
              <w:t xml:space="preserve"> test results</w:t>
            </w:r>
          </w:p>
        </w:tc>
        <w:tc>
          <w:tcPr>
            <w:tcW w:w="2610" w:type="dxa"/>
            <w:vAlign w:val="center"/>
          </w:tcPr>
          <w:p w14:paraId="78359621" w14:textId="6607EA67" w:rsidR="00D83964" w:rsidRDefault="00D83964" w:rsidP="00D83964">
            <w:pPr>
              <w:jc w:val="center"/>
              <w:rPr>
                <w:rFonts w:ascii="Helvetica" w:hAnsi="Helvetica" w:cs="Helvetica"/>
                <w:sz w:val="22"/>
                <w:szCs w:val="22"/>
              </w:rPr>
            </w:pPr>
            <w:r>
              <w:rPr>
                <w:rFonts w:ascii="Helvetica" w:hAnsi="Helvetica" w:cs="Helvetica"/>
                <w:sz w:val="22"/>
                <w:szCs w:val="22"/>
              </w:rPr>
              <w:t>PIP-II DocDB# 1342-v1</w:t>
            </w:r>
          </w:p>
        </w:tc>
      </w:tr>
      <w:tr w:rsidR="00D83964" w14:paraId="4B6F0F52" w14:textId="77777777" w:rsidTr="002F73C2">
        <w:trPr>
          <w:trHeight w:val="360"/>
          <w:jc w:val="center"/>
        </w:trPr>
        <w:tc>
          <w:tcPr>
            <w:tcW w:w="540" w:type="dxa"/>
            <w:vAlign w:val="center"/>
          </w:tcPr>
          <w:p w14:paraId="5CCE6CD5" w14:textId="3E308C72" w:rsidR="00D83964" w:rsidRDefault="00D83964" w:rsidP="00D83964">
            <w:pPr>
              <w:jc w:val="center"/>
              <w:rPr>
                <w:rFonts w:ascii="Helvetica" w:hAnsi="Helvetica" w:cs="Helvetica"/>
                <w:sz w:val="22"/>
                <w:szCs w:val="22"/>
              </w:rPr>
            </w:pPr>
            <w:r>
              <w:rPr>
                <w:rFonts w:ascii="Helvetica" w:hAnsi="Helvetica" w:cs="Helvetica"/>
                <w:sz w:val="22"/>
                <w:szCs w:val="22"/>
              </w:rPr>
              <w:t>5</w:t>
            </w:r>
          </w:p>
        </w:tc>
        <w:tc>
          <w:tcPr>
            <w:tcW w:w="6205" w:type="dxa"/>
            <w:vAlign w:val="center"/>
          </w:tcPr>
          <w:p w14:paraId="763210A6" w14:textId="3A974C5C" w:rsidR="00D83964" w:rsidRDefault="00D83964" w:rsidP="00D83964">
            <w:pPr>
              <w:jc w:val="both"/>
              <w:rPr>
                <w:rFonts w:ascii="Helvetica" w:hAnsi="Helvetica" w:cs="Helvetica"/>
                <w:sz w:val="22"/>
                <w:szCs w:val="22"/>
              </w:rPr>
            </w:pPr>
            <w:r>
              <w:rPr>
                <w:rFonts w:ascii="Helvetica" w:eastAsia="Helvetica" w:hAnsi="Helvetica" w:cs="Helvetica"/>
                <w:sz w:val="22"/>
                <w:szCs w:val="22"/>
              </w:rPr>
              <w:t>Vacuum Design of PIP2IT HEBT Design Review</w:t>
            </w:r>
          </w:p>
        </w:tc>
        <w:tc>
          <w:tcPr>
            <w:tcW w:w="2610" w:type="dxa"/>
            <w:vAlign w:val="center"/>
          </w:tcPr>
          <w:p w14:paraId="79B5B85F" w14:textId="59593CB6" w:rsidR="00D83964" w:rsidRDefault="00D83964" w:rsidP="00D83964">
            <w:pPr>
              <w:jc w:val="center"/>
              <w:rPr>
                <w:rFonts w:ascii="Helvetica" w:hAnsi="Helvetica" w:cs="Helvetica"/>
                <w:sz w:val="22"/>
                <w:szCs w:val="22"/>
              </w:rPr>
            </w:pPr>
            <w:r>
              <w:rPr>
                <w:rFonts w:ascii="Helvetica" w:hAnsi="Helvetica" w:cs="Helvetica"/>
                <w:sz w:val="22"/>
                <w:szCs w:val="22"/>
              </w:rPr>
              <w:t>PIP-II DocDB# 4077-v1</w:t>
            </w:r>
          </w:p>
        </w:tc>
      </w:tr>
      <w:tr w:rsidR="0064496D" w14:paraId="55413287" w14:textId="77777777" w:rsidTr="002F73C2">
        <w:trPr>
          <w:trHeight w:val="360"/>
          <w:jc w:val="center"/>
        </w:trPr>
        <w:tc>
          <w:tcPr>
            <w:tcW w:w="540" w:type="dxa"/>
            <w:vAlign w:val="center"/>
          </w:tcPr>
          <w:p w14:paraId="37FBDAC7" w14:textId="413C57AF" w:rsidR="0064496D" w:rsidRDefault="0064496D" w:rsidP="00D83964">
            <w:pPr>
              <w:jc w:val="center"/>
              <w:rPr>
                <w:rFonts w:ascii="Helvetica" w:hAnsi="Helvetica" w:cs="Helvetica"/>
                <w:sz w:val="22"/>
                <w:szCs w:val="22"/>
              </w:rPr>
            </w:pPr>
            <w:r>
              <w:rPr>
                <w:rFonts w:ascii="Helvetica" w:hAnsi="Helvetica" w:cs="Helvetica"/>
                <w:sz w:val="22"/>
                <w:szCs w:val="22"/>
              </w:rPr>
              <w:t>6</w:t>
            </w:r>
          </w:p>
        </w:tc>
        <w:tc>
          <w:tcPr>
            <w:tcW w:w="6205" w:type="dxa"/>
            <w:vAlign w:val="center"/>
          </w:tcPr>
          <w:p w14:paraId="5404CE65" w14:textId="7237B020" w:rsidR="0064496D" w:rsidRDefault="0064496D" w:rsidP="00D83964">
            <w:pPr>
              <w:jc w:val="both"/>
              <w:rPr>
                <w:rFonts w:ascii="Helvetica" w:eastAsia="Helvetica" w:hAnsi="Helvetica" w:cs="Helvetica"/>
                <w:sz w:val="22"/>
                <w:szCs w:val="22"/>
              </w:rPr>
            </w:pPr>
            <w:r>
              <w:rPr>
                <w:rFonts w:ascii="Helvetica" w:eastAsia="Helvetica" w:hAnsi="Helvetica" w:cs="Helvetica"/>
                <w:sz w:val="22"/>
                <w:szCs w:val="22"/>
              </w:rPr>
              <w:t>PIP-II Parameters PRD</w:t>
            </w:r>
          </w:p>
        </w:tc>
        <w:tc>
          <w:tcPr>
            <w:tcW w:w="2610" w:type="dxa"/>
            <w:vAlign w:val="center"/>
          </w:tcPr>
          <w:p w14:paraId="576EEB2E" w14:textId="3C278622" w:rsidR="0064496D" w:rsidRDefault="0064496D" w:rsidP="00D83964">
            <w:pPr>
              <w:jc w:val="center"/>
              <w:rPr>
                <w:rFonts w:ascii="Helvetica" w:hAnsi="Helvetica" w:cs="Helvetica"/>
                <w:sz w:val="22"/>
                <w:szCs w:val="22"/>
              </w:rPr>
            </w:pPr>
            <w:r>
              <w:rPr>
                <w:rFonts w:ascii="Helvetica" w:hAnsi="Helvetica" w:cs="Helvetica"/>
                <w:sz w:val="22"/>
                <w:szCs w:val="22"/>
              </w:rPr>
              <w:t>ED0010216</w:t>
            </w:r>
          </w:p>
        </w:tc>
      </w:tr>
      <w:tr w:rsidR="00D83964" w14:paraId="77FF28F3" w14:textId="77777777" w:rsidTr="002F73C2">
        <w:trPr>
          <w:trHeight w:val="360"/>
          <w:jc w:val="center"/>
        </w:trPr>
        <w:tc>
          <w:tcPr>
            <w:tcW w:w="540" w:type="dxa"/>
            <w:vAlign w:val="center"/>
          </w:tcPr>
          <w:p w14:paraId="0286E773" w14:textId="7ED9F9B1" w:rsidR="00D83964" w:rsidRDefault="0064496D" w:rsidP="00D83964">
            <w:pPr>
              <w:jc w:val="center"/>
              <w:rPr>
                <w:rFonts w:ascii="Helvetica" w:hAnsi="Helvetica" w:cs="Helvetica"/>
                <w:sz w:val="22"/>
                <w:szCs w:val="22"/>
              </w:rPr>
            </w:pPr>
            <w:r>
              <w:rPr>
                <w:rFonts w:ascii="Helvetica" w:hAnsi="Helvetica" w:cs="Helvetica"/>
                <w:sz w:val="22"/>
                <w:szCs w:val="22"/>
              </w:rPr>
              <w:t>7</w:t>
            </w:r>
          </w:p>
        </w:tc>
        <w:tc>
          <w:tcPr>
            <w:tcW w:w="6205" w:type="dxa"/>
            <w:vAlign w:val="center"/>
          </w:tcPr>
          <w:p w14:paraId="0C69DC48" w14:textId="598F5B04" w:rsidR="00D83964" w:rsidRPr="00393CA9" w:rsidRDefault="007960B2" w:rsidP="00D83964">
            <w:pPr>
              <w:jc w:val="both"/>
              <w:rPr>
                <w:rFonts w:ascii="Helvetica" w:hAnsi="Helvetica" w:cs="Helvetica"/>
                <w:sz w:val="22"/>
                <w:szCs w:val="22"/>
              </w:rPr>
            </w:pPr>
            <w:r>
              <w:rPr>
                <w:rFonts w:ascii="Helvetica" w:eastAsia="Helvetica" w:hAnsi="Helvetica" w:cs="Helvetica"/>
                <w:sz w:val="22"/>
                <w:szCs w:val="22"/>
              </w:rPr>
              <w:t>Producing Very Low Particulate UHV Components</w:t>
            </w:r>
          </w:p>
        </w:tc>
        <w:tc>
          <w:tcPr>
            <w:tcW w:w="2610" w:type="dxa"/>
            <w:vAlign w:val="center"/>
          </w:tcPr>
          <w:p w14:paraId="54345DCB" w14:textId="612FDE7E" w:rsidR="00D83964" w:rsidRDefault="00D83964" w:rsidP="00D83964">
            <w:pPr>
              <w:jc w:val="center"/>
              <w:rPr>
                <w:rFonts w:ascii="Helvetica" w:hAnsi="Helvetica" w:cs="Helvetica"/>
                <w:sz w:val="22"/>
                <w:szCs w:val="22"/>
              </w:rPr>
            </w:pPr>
            <w:r w:rsidRPr="00393CA9">
              <w:rPr>
                <w:rFonts w:ascii="Helvetica" w:hAnsi="Helvetica" w:cs="Helvetica"/>
                <w:sz w:val="22"/>
                <w:szCs w:val="22"/>
              </w:rPr>
              <w:t>ED0003571</w:t>
            </w:r>
          </w:p>
        </w:tc>
      </w:tr>
      <w:tr w:rsidR="00DA2F15" w14:paraId="6D2D108B" w14:textId="77777777" w:rsidTr="002F73C2">
        <w:trPr>
          <w:trHeight w:val="360"/>
          <w:jc w:val="center"/>
        </w:trPr>
        <w:tc>
          <w:tcPr>
            <w:tcW w:w="540" w:type="dxa"/>
            <w:vAlign w:val="center"/>
          </w:tcPr>
          <w:p w14:paraId="294B4D24" w14:textId="74E0A166" w:rsidR="00DA2F15" w:rsidRDefault="00DA2F15" w:rsidP="00D83964">
            <w:pPr>
              <w:jc w:val="center"/>
              <w:rPr>
                <w:rFonts w:ascii="Helvetica" w:hAnsi="Helvetica" w:cs="Helvetica"/>
                <w:sz w:val="22"/>
                <w:szCs w:val="22"/>
              </w:rPr>
            </w:pPr>
            <w:r>
              <w:rPr>
                <w:rFonts w:ascii="Helvetica" w:hAnsi="Helvetica" w:cs="Helvetica"/>
                <w:sz w:val="22"/>
                <w:szCs w:val="22"/>
              </w:rPr>
              <w:t>8</w:t>
            </w:r>
          </w:p>
        </w:tc>
        <w:tc>
          <w:tcPr>
            <w:tcW w:w="6205" w:type="dxa"/>
            <w:vAlign w:val="center"/>
          </w:tcPr>
          <w:p w14:paraId="48DB2290" w14:textId="4BB717AF" w:rsidR="00DA2F15" w:rsidRDefault="00F670A2" w:rsidP="00D83964">
            <w:pPr>
              <w:jc w:val="both"/>
              <w:rPr>
                <w:rFonts w:ascii="Helvetica" w:eastAsia="Helvetica" w:hAnsi="Helvetica" w:cs="Helvetica"/>
                <w:sz w:val="22"/>
                <w:szCs w:val="22"/>
              </w:rPr>
            </w:pPr>
            <w:r>
              <w:rPr>
                <w:rFonts w:ascii="Helvetica" w:eastAsia="Helvetica" w:hAnsi="Helvetica" w:cs="Helvetica"/>
                <w:sz w:val="22"/>
                <w:szCs w:val="22"/>
              </w:rPr>
              <w:t>PIP-II Master ICD</w:t>
            </w:r>
          </w:p>
        </w:tc>
        <w:tc>
          <w:tcPr>
            <w:tcW w:w="2610" w:type="dxa"/>
            <w:vAlign w:val="center"/>
          </w:tcPr>
          <w:p w14:paraId="19C9C8E7" w14:textId="4A4ABB2C" w:rsidR="00DA2F15" w:rsidRDefault="00233DF2" w:rsidP="00D83964">
            <w:pPr>
              <w:jc w:val="center"/>
              <w:rPr>
                <w:rFonts w:ascii="Helvetica" w:hAnsi="Helvetica" w:cs="Helvetica"/>
                <w:sz w:val="22"/>
                <w:szCs w:val="22"/>
              </w:rPr>
            </w:pPr>
            <w:r>
              <w:rPr>
                <w:rFonts w:ascii="Helvetica" w:hAnsi="Helvetica" w:cs="Helvetica"/>
                <w:sz w:val="22"/>
                <w:szCs w:val="22"/>
              </w:rPr>
              <w:t>ED0010</w:t>
            </w:r>
            <w:r w:rsidR="00F670A2">
              <w:rPr>
                <w:rFonts w:ascii="Helvetica" w:hAnsi="Helvetica" w:cs="Helvetica"/>
                <w:sz w:val="22"/>
                <w:szCs w:val="22"/>
              </w:rPr>
              <w:t>433</w:t>
            </w:r>
          </w:p>
        </w:tc>
      </w:tr>
      <w:tr w:rsidR="009C7C98" w14:paraId="051B9B08" w14:textId="77777777" w:rsidTr="002F73C2">
        <w:trPr>
          <w:trHeight w:val="360"/>
          <w:jc w:val="center"/>
        </w:trPr>
        <w:tc>
          <w:tcPr>
            <w:tcW w:w="540" w:type="dxa"/>
            <w:vAlign w:val="center"/>
          </w:tcPr>
          <w:p w14:paraId="1A06C32E" w14:textId="51290CEC" w:rsidR="009C7C98" w:rsidRDefault="009C7C98" w:rsidP="00D83964">
            <w:pPr>
              <w:jc w:val="center"/>
              <w:rPr>
                <w:rFonts w:ascii="Helvetica" w:hAnsi="Helvetica" w:cs="Helvetica"/>
                <w:sz w:val="22"/>
                <w:szCs w:val="22"/>
              </w:rPr>
            </w:pPr>
            <w:r>
              <w:rPr>
                <w:rFonts w:ascii="Helvetica" w:hAnsi="Helvetica" w:cs="Helvetica"/>
                <w:sz w:val="22"/>
                <w:szCs w:val="22"/>
              </w:rPr>
              <w:t>9</w:t>
            </w:r>
          </w:p>
        </w:tc>
        <w:tc>
          <w:tcPr>
            <w:tcW w:w="6205" w:type="dxa"/>
            <w:vAlign w:val="center"/>
          </w:tcPr>
          <w:p w14:paraId="107A6B72" w14:textId="1BB9C947" w:rsidR="009C7C98" w:rsidRDefault="00984DAC" w:rsidP="00D83964">
            <w:pPr>
              <w:jc w:val="both"/>
              <w:rPr>
                <w:rFonts w:ascii="Helvetica" w:eastAsia="Helvetica" w:hAnsi="Helvetica" w:cs="Helvetica"/>
                <w:sz w:val="22"/>
                <w:szCs w:val="22"/>
              </w:rPr>
            </w:pPr>
            <w:r>
              <w:rPr>
                <w:rFonts w:ascii="Helvetica" w:eastAsia="Helvetica" w:hAnsi="Helvetica" w:cs="Helvetica"/>
                <w:sz w:val="22"/>
                <w:szCs w:val="22"/>
              </w:rPr>
              <w:t>PIP-II Cryomodule Design Handbook</w:t>
            </w:r>
          </w:p>
        </w:tc>
        <w:tc>
          <w:tcPr>
            <w:tcW w:w="2610" w:type="dxa"/>
            <w:vAlign w:val="center"/>
          </w:tcPr>
          <w:p w14:paraId="43789C93" w14:textId="373A91C1" w:rsidR="009C7C98" w:rsidRDefault="00984DAC" w:rsidP="00D83964">
            <w:pPr>
              <w:jc w:val="center"/>
              <w:rPr>
                <w:rFonts w:ascii="Helvetica" w:hAnsi="Helvetica" w:cs="Helvetica"/>
                <w:sz w:val="22"/>
                <w:szCs w:val="22"/>
              </w:rPr>
            </w:pPr>
            <w:r>
              <w:rPr>
                <w:rFonts w:ascii="Helvetica" w:hAnsi="Helvetica" w:cs="Helvetica"/>
                <w:sz w:val="22"/>
                <w:szCs w:val="22"/>
              </w:rPr>
              <w:t>ED0011955</w:t>
            </w:r>
          </w:p>
        </w:tc>
      </w:tr>
    </w:tbl>
    <w:p w14:paraId="0C1C1E14" w14:textId="531EA983" w:rsidR="00FA2316" w:rsidRPr="006B68D0" w:rsidRDefault="00FA2316">
      <w:pPr>
        <w:pStyle w:val="NotesBody11pt"/>
        <w:rPr>
          <w:rFonts w:cs="Helvetica"/>
        </w:rPr>
      </w:pPr>
    </w:p>
    <w:sectPr w:rsidR="00FA2316" w:rsidRPr="006B68D0" w:rsidSect="006B68D0">
      <w:pgSz w:w="12240" w:h="15840" w:code="1"/>
      <w:pgMar w:top="180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433F" w14:textId="77777777" w:rsidR="00DC6382" w:rsidRDefault="00DC6382" w:rsidP="008C6B3A">
      <w:r>
        <w:separator/>
      </w:r>
    </w:p>
    <w:p w14:paraId="226F85B4" w14:textId="77777777" w:rsidR="00DC6382" w:rsidRDefault="00DC6382"/>
    <w:p w14:paraId="2B691E9D" w14:textId="77777777" w:rsidR="00DC6382" w:rsidRDefault="00DC6382" w:rsidP="00D346FA"/>
  </w:endnote>
  <w:endnote w:type="continuationSeparator" w:id="0">
    <w:p w14:paraId="6B858865" w14:textId="77777777" w:rsidR="00DC6382" w:rsidRDefault="00DC6382" w:rsidP="008C6B3A">
      <w:r>
        <w:continuationSeparator/>
      </w:r>
    </w:p>
    <w:p w14:paraId="7CCE89B1" w14:textId="77777777" w:rsidR="00DC6382" w:rsidRDefault="00DC6382"/>
    <w:p w14:paraId="1A854703" w14:textId="77777777" w:rsidR="00DC6382" w:rsidRDefault="00DC6382" w:rsidP="00D346FA"/>
  </w:endnote>
  <w:endnote w:type="continuationNotice" w:id="1">
    <w:p w14:paraId="12FC2098" w14:textId="77777777" w:rsidR="00DC6382" w:rsidRDefault="00DC6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panose1 w:val="00000000000000000000"/>
    <w:charset w:val="4D"/>
    <w:family w:val="auto"/>
    <w:notTrueType/>
    <w:pitch w:val="default"/>
    <w:sig w:usb0="00000003" w:usb1="00000000" w:usb2="00000000" w:usb3="00000000" w:csb0="00000001"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46F7" w14:textId="77777777" w:rsidR="007B17F1" w:rsidRDefault="007B17F1"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54C64F9" w14:textId="77777777" w:rsidR="007B17F1" w:rsidRDefault="007B17F1" w:rsidP="006F10CE">
    <w:pPr>
      <w:pStyle w:val="Footer"/>
      <w:tabs>
        <w:tab w:val="clear" w:pos="4320"/>
        <w:tab w:val="clear" w:pos="8640"/>
        <w:tab w:val="center" w:pos="4680"/>
        <w:tab w:val="right" w:pos="93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E572" w14:textId="34194B2A" w:rsidR="007B17F1" w:rsidRPr="00ED6DFD" w:rsidRDefault="007B17F1"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17</w:t>
    </w:r>
    <w:r w:rsidRPr="00ED6DFD">
      <w:rPr>
        <w:rStyle w:val="PageNumbe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2BE7" w14:textId="77777777" w:rsidR="00DC6382" w:rsidRDefault="00DC6382" w:rsidP="008C6B3A">
      <w:r>
        <w:separator/>
      </w:r>
    </w:p>
    <w:p w14:paraId="1E2F187C" w14:textId="77777777" w:rsidR="00DC6382" w:rsidRDefault="00DC6382"/>
    <w:p w14:paraId="0FCAFF2D" w14:textId="77777777" w:rsidR="00DC6382" w:rsidRDefault="00DC6382" w:rsidP="00D346FA"/>
  </w:footnote>
  <w:footnote w:type="continuationSeparator" w:id="0">
    <w:p w14:paraId="5CA1720D" w14:textId="77777777" w:rsidR="00DC6382" w:rsidRDefault="00DC6382" w:rsidP="008C6B3A">
      <w:r>
        <w:continuationSeparator/>
      </w:r>
    </w:p>
    <w:p w14:paraId="38A14AA5" w14:textId="77777777" w:rsidR="00DC6382" w:rsidRDefault="00DC6382"/>
    <w:p w14:paraId="1EB96154" w14:textId="77777777" w:rsidR="00DC6382" w:rsidRDefault="00DC6382" w:rsidP="00D346FA"/>
  </w:footnote>
  <w:footnote w:type="continuationNotice" w:id="1">
    <w:p w14:paraId="1087C2C2" w14:textId="77777777" w:rsidR="00DC6382" w:rsidRDefault="00DC6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4DD6" w14:textId="77777777" w:rsidR="007B17F1" w:rsidRDefault="007B17F1" w:rsidP="008738F9">
    <w:pPr>
      <w:pStyle w:val="Header"/>
    </w:pPr>
    <w:r>
      <w:t>[Type text]</w:t>
    </w:r>
    <w:r>
      <w:rPr>
        <w:color w:val="auto"/>
      </w:rPr>
      <w:tab/>
    </w:r>
    <w:r>
      <w:t>[Type text]</w:t>
    </w:r>
    <w:r>
      <w:rPr>
        <w:color w:val="auto"/>
      </w:rPr>
      <w:tab/>
    </w:r>
    <w:r>
      <w:t>[Type text]</w:t>
    </w:r>
  </w:p>
  <w:p w14:paraId="240AFDFC" w14:textId="77777777" w:rsidR="007B17F1" w:rsidRDefault="007B17F1" w:rsidP="008738F9">
    <w:pPr>
      <w:pStyle w:val="Header"/>
    </w:pPr>
    <w:r>
      <w:t>[Type text]</w:t>
    </w:r>
    <w:r>
      <w:tab/>
      <w:t>[Type text]</w:t>
    </w:r>
    <w:r>
      <w:tab/>
      <w:t>[Type text]</w:t>
    </w:r>
  </w:p>
  <w:p w14:paraId="54BE6E1C" w14:textId="77777777" w:rsidR="007B17F1" w:rsidRDefault="007B17F1" w:rsidP="0087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2308" w14:textId="5C539DFC" w:rsidR="007B17F1" w:rsidRPr="008738F9" w:rsidRDefault="007B17F1" w:rsidP="008738F9">
    <w:pPr>
      <w:pStyle w:val="Header"/>
    </w:pPr>
    <w:r w:rsidRPr="008738F9">
      <w:rPr>
        <w:noProof/>
      </w:rPr>
      <w:drawing>
        <wp:anchor distT="0" distB="0" distL="114300" distR="114300" simplePos="0" relativeHeight="251658240" behindDoc="1" locked="0" layoutInCell="1" allowOverlap="1" wp14:anchorId="4C13B021" wp14:editId="41DD0AB9">
          <wp:simplePos x="0" y="0"/>
          <wp:positionH relativeFrom="leftMargin">
            <wp:posOffset>0</wp:posOffset>
          </wp:positionH>
          <wp:positionV relativeFrom="paragraph">
            <wp:posOffset>-274320</wp:posOffset>
          </wp:positionV>
          <wp:extent cx="7772400" cy="10058400"/>
          <wp:effectExtent l="0" t="0" r="0" b="0"/>
          <wp:wrapNone/>
          <wp:docPr id="2059461402" name="Picture 2059461402"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680">
      <w:fldChar w:fldCharType="begin"/>
    </w:r>
    <w:r w:rsidR="00365680">
      <w:instrText xml:space="preserve"> DOCPROPERTY  Project  \* MERGEFORMAT </w:instrText>
    </w:r>
    <w:r w:rsidR="00365680">
      <w:fldChar w:fldCharType="separate"/>
    </w:r>
    <w:r>
      <w:t>PIP-II</w:t>
    </w:r>
    <w:r w:rsidR="00365680">
      <w:fldChar w:fldCharType="end"/>
    </w:r>
    <w:r w:rsidRPr="49ECC8E7">
      <w:t xml:space="preserve"> </w:t>
    </w:r>
    <w:r w:rsidR="00365680">
      <w:fldChar w:fldCharType="begin"/>
    </w:r>
    <w:r w:rsidR="00365680">
      <w:instrText xml:space="preserve"> SUBJECT  \* FirstCap  \* MERGEFORMAT </w:instrText>
    </w:r>
    <w:r w:rsidR="00365680">
      <w:fldChar w:fldCharType="separate"/>
    </w:r>
    <w:r>
      <w:t>Vacuum</w:t>
    </w:r>
    <w:r w:rsidR="00365680">
      <w:fldChar w:fldCharType="end"/>
    </w:r>
    <w:r w:rsidRPr="008738F9">
      <w:rPr>
        <w:color w:val="auto"/>
      </w:rPr>
      <w:tab/>
    </w:r>
    <w:r w:rsidRPr="008738F9">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F0FB" w14:textId="77777777" w:rsidR="007B17F1" w:rsidRDefault="007B17F1" w:rsidP="008738F9">
    <w:pPr>
      <w:pStyle w:val="Header"/>
    </w:pPr>
    <w:r>
      <w:rPr>
        <w:noProof/>
      </w:rPr>
      <w:drawing>
        <wp:anchor distT="0" distB="0" distL="114300" distR="114300" simplePos="0" relativeHeight="251658241" behindDoc="1" locked="1" layoutInCell="1" allowOverlap="1" wp14:anchorId="294FE402" wp14:editId="78EAEAE7">
          <wp:simplePos x="0" y="0"/>
          <wp:positionH relativeFrom="leftMargin">
            <wp:posOffset>0</wp:posOffset>
          </wp:positionH>
          <wp:positionV relativeFrom="margin">
            <wp:posOffset>-1143000</wp:posOffset>
          </wp:positionV>
          <wp:extent cx="7772400" cy="10058400"/>
          <wp:effectExtent l="0" t="0" r="0" b="0"/>
          <wp:wrapNone/>
          <wp:docPr id="1250461883" name="Picture 125046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30579C"/>
    <w:multiLevelType w:val="hybridMultilevel"/>
    <w:tmpl w:val="903605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7F319F"/>
    <w:multiLevelType w:val="hybridMultilevel"/>
    <w:tmpl w:val="A0F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25B71"/>
    <w:multiLevelType w:val="hybridMultilevel"/>
    <w:tmpl w:val="6924094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 w15:restartNumberingAfterBreak="0">
    <w:nsid w:val="078B0076"/>
    <w:multiLevelType w:val="hybridMultilevel"/>
    <w:tmpl w:val="C852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73070"/>
    <w:multiLevelType w:val="multilevel"/>
    <w:tmpl w:val="6E9026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C0BDB"/>
    <w:multiLevelType w:val="multilevel"/>
    <w:tmpl w:val="612AEAFA"/>
    <w:lvl w:ilvl="0">
      <w:start w:val="1"/>
      <w:numFmt w:val="decimal"/>
      <w:lvlText w:val="%1"/>
      <w:lvlJc w:val="left"/>
      <w:pPr>
        <w:ind w:left="1892" w:hanging="1152"/>
      </w:pPr>
      <w:rPr>
        <w:rFonts w:ascii="Arial" w:eastAsia="Arial" w:hAnsi="Arial" w:cs="Arial" w:hint="default"/>
        <w:b/>
        <w:bCs/>
        <w:w w:val="99"/>
        <w:sz w:val="24"/>
        <w:szCs w:val="24"/>
        <w:lang w:val="en-US" w:eastAsia="en-US" w:bidi="en-US"/>
      </w:rPr>
    </w:lvl>
    <w:lvl w:ilvl="1">
      <w:start w:val="1"/>
      <w:numFmt w:val="decimal"/>
      <w:lvlText w:val="%1.%2"/>
      <w:lvlJc w:val="left"/>
      <w:pPr>
        <w:ind w:left="1892" w:hanging="1152"/>
      </w:pPr>
      <w:rPr>
        <w:rFonts w:ascii="Arial" w:eastAsia="Arial" w:hAnsi="Arial" w:cs="Arial" w:hint="default"/>
        <w:b/>
        <w:bCs/>
        <w:w w:val="99"/>
        <w:sz w:val="24"/>
        <w:szCs w:val="24"/>
        <w:lang w:val="en-US" w:eastAsia="en-US" w:bidi="en-US"/>
      </w:rPr>
    </w:lvl>
    <w:lvl w:ilvl="2">
      <w:numFmt w:val="bullet"/>
      <w:pStyle w:val="ListPar2"/>
      <w:lvlText w:val=""/>
      <w:lvlJc w:val="left"/>
      <w:pPr>
        <w:ind w:left="1460" w:hanging="360"/>
      </w:pPr>
      <w:rPr>
        <w:rFonts w:ascii="Symbol" w:eastAsia="Symbol" w:hAnsi="Symbol" w:cs="Symbol" w:hint="default"/>
        <w:w w:val="76"/>
        <w:sz w:val="24"/>
        <w:szCs w:val="24"/>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962" w:hanging="360"/>
      </w:pPr>
      <w:rPr>
        <w:rFonts w:hint="default"/>
        <w:lang w:val="en-US" w:eastAsia="en-US" w:bidi="en-US"/>
      </w:rPr>
    </w:lvl>
    <w:lvl w:ilvl="6">
      <w:numFmt w:val="bullet"/>
      <w:lvlText w:val="•"/>
      <w:lvlJc w:val="left"/>
      <w:pPr>
        <w:ind w:left="6977" w:hanging="360"/>
      </w:pPr>
      <w:rPr>
        <w:rFonts w:hint="default"/>
        <w:lang w:val="en-US" w:eastAsia="en-US" w:bidi="en-US"/>
      </w:rPr>
    </w:lvl>
    <w:lvl w:ilvl="7">
      <w:numFmt w:val="bullet"/>
      <w:lvlText w:val="•"/>
      <w:lvlJc w:val="left"/>
      <w:pPr>
        <w:ind w:left="7993" w:hanging="360"/>
      </w:pPr>
      <w:rPr>
        <w:rFonts w:hint="default"/>
        <w:lang w:val="en-US" w:eastAsia="en-US" w:bidi="en-US"/>
      </w:rPr>
    </w:lvl>
    <w:lvl w:ilvl="8">
      <w:numFmt w:val="bullet"/>
      <w:lvlText w:val="•"/>
      <w:lvlJc w:val="left"/>
      <w:pPr>
        <w:ind w:left="9008" w:hanging="360"/>
      </w:pPr>
      <w:rPr>
        <w:rFonts w:hint="default"/>
        <w:lang w:val="en-US" w:eastAsia="en-US" w:bidi="en-US"/>
      </w:rPr>
    </w:lvl>
  </w:abstractNum>
  <w:abstractNum w:abstractNumId="6" w15:restartNumberingAfterBreak="0">
    <w:nsid w:val="152B3E4B"/>
    <w:multiLevelType w:val="hybridMultilevel"/>
    <w:tmpl w:val="3252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E6F18"/>
    <w:multiLevelType w:val="hybridMultilevel"/>
    <w:tmpl w:val="7B0A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23CA9"/>
    <w:multiLevelType w:val="hybridMultilevel"/>
    <w:tmpl w:val="DE7AA2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1C4B0DB4"/>
    <w:multiLevelType w:val="hybridMultilevel"/>
    <w:tmpl w:val="3252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3A85"/>
    <w:multiLevelType w:val="hybridMultilevel"/>
    <w:tmpl w:val="283A9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636B2"/>
    <w:multiLevelType w:val="hybridMultilevel"/>
    <w:tmpl w:val="D0584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470C8"/>
    <w:multiLevelType w:val="hybridMultilevel"/>
    <w:tmpl w:val="0E6EF8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DE6FDA"/>
    <w:multiLevelType w:val="hybridMultilevel"/>
    <w:tmpl w:val="9A52BF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870F4"/>
    <w:multiLevelType w:val="multilevel"/>
    <w:tmpl w:val="F3BA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DA3713"/>
    <w:multiLevelType w:val="hybridMultilevel"/>
    <w:tmpl w:val="30E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F21CF"/>
    <w:multiLevelType w:val="hybridMultilevel"/>
    <w:tmpl w:val="3B0EF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21351"/>
    <w:multiLevelType w:val="multilevel"/>
    <w:tmpl w:val="581E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34362"/>
    <w:multiLevelType w:val="hybridMultilevel"/>
    <w:tmpl w:val="1D941566"/>
    <w:lvl w:ilvl="0" w:tplc="2812A994">
      <w:start w:val="1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B0FC9"/>
    <w:multiLevelType w:val="hybridMultilevel"/>
    <w:tmpl w:val="D89E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B6FAF"/>
    <w:multiLevelType w:val="hybridMultilevel"/>
    <w:tmpl w:val="3350DF62"/>
    <w:lvl w:ilvl="0" w:tplc="032C231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6225C"/>
    <w:multiLevelType w:val="hybridMultilevel"/>
    <w:tmpl w:val="D20A7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55475F"/>
    <w:multiLevelType w:val="hybridMultilevel"/>
    <w:tmpl w:val="B84E1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D56F38"/>
    <w:multiLevelType w:val="hybridMultilevel"/>
    <w:tmpl w:val="F7529F66"/>
    <w:lvl w:ilvl="0" w:tplc="06DC64AE">
      <w:start w:val="1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A0241"/>
    <w:multiLevelType w:val="hybridMultilevel"/>
    <w:tmpl w:val="D4B6C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F15F4"/>
    <w:multiLevelType w:val="hybridMultilevel"/>
    <w:tmpl w:val="A9A6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BF6515"/>
    <w:multiLevelType w:val="hybridMultilevel"/>
    <w:tmpl w:val="61CEB93A"/>
    <w:lvl w:ilvl="0" w:tplc="04090001">
      <w:start w:val="1"/>
      <w:numFmt w:val="bullet"/>
      <w:pStyle w:val="tatiana"/>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ECB2121"/>
    <w:multiLevelType w:val="multilevel"/>
    <w:tmpl w:val="5FFE2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2F1428"/>
    <w:multiLevelType w:val="hybridMultilevel"/>
    <w:tmpl w:val="D4B6C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92336"/>
    <w:multiLevelType w:val="hybridMultilevel"/>
    <w:tmpl w:val="168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B5135"/>
    <w:multiLevelType w:val="hybridMultilevel"/>
    <w:tmpl w:val="486E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575054">
    <w:abstractNumId w:val="4"/>
  </w:num>
  <w:num w:numId="2" w16cid:durableId="568467332">
    <w:abstractNumId w:val="26"/>
  </w:num>
  <w:num w:numId="3" w16cid:durableId="895123154">
    <w:abstractNumId w:val="27"/>
  </w:num>
  <w:num w:numId="4" w16cid:durableId="1002202524">
    <w:abstractNumId w:val="5"/>
  </w:num>
  <w:num w:numId="5" w16cid:durableId="1796605192">
    <w:abstractNumId w:val="14"/>
  </w:num>
  <w:num w:numId="6" w16cid:durableId="1265041717">
    <w:abstractNumId w:val="2"/>
  </w:num>
  <w:num w:numId="7" w16cid:durableId="738864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2973513">
    <w:abstractNumId w:val="12"/>
  </w:num>
  <w:num w:numId="9" w16cid:durableId="345406457">
    <w:abstractNumId w:val="8"/>
  </w:num>
  <w:num w:numId="10" w16cid:durableId="1201016072">
    <w:abstractNumId w:val="0"/>
  </w:num>
  <w:num w:numId="11" w16cid:durableId="1214390007">
    <w:abstractNumId w:val="22"/>
  </w:num>
  <w:num w:numId="12" w16cid:durableId="679743133">
    <w:abstractNumId w:val="25"/>
  </w:num>
  <w:num w:numId="13" w16cid:durableId="541597628">
    <w:abstractNumId w:val="21"/>
  </w:num>
  <w:num w:numId="14" w16cid:durableId="118381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4263147">
    <w:abstractNumId w:val="7"/>
  </w:num>
  <w:num w:numId="16" w16cid:durableId="190800219">
    <w:abstractNumId w:val="30"/>
  </w:num>
  <w:num w:numId="17" w16cid:durableId="760879658">
    <w:abstractNumId w:val="17"/>
  </w:num>
  <w:num w:numId="18" w16cid:durableId="722025105">
    <w:abstractNumId w:val="28"/>
  </w:num>
  <w:num w:numId="19" w16cid:durableId="1200320636">
    <w:abstractNumId w:val="1"/>
  </w:num>
  <w:num w:numId="20" w16cid:durableId="95835276">
    <w:abstractNumId w:val="31"/>
  </w:num>
  <w:num w:numId="21" w16cid:durableId="455300524">
    <w:abstractNumId w:val="3"/>
  </w:num>
  <w:num w:numId="22" w16cid:durableId="855581500">
    <w:abstractNumId w:val="9"/>
  </w:num>
  <w:num w:numId="23" w16cid:durableId="618800229">
    <w:abstractNumId w:val="6"/>
  </w:num>
  <w:num w:numId="24" w16cid:durableId="1830366493">
    <w:abstractNumId w:val="11"/>
  </w:num>
  <w:num w:numId="25" w16cid:durableId="2077588970">
    <w:abstractNumId w:val="10"/>
  </w:num>
  <w:num w:numId="26" w16cid:durableId="525558472">
    <w:abstractNumId w:val="16"/>
  </w:num>
  <w:num w:numId="27" w16cid:durableId="337849058">
    <w:abstractNumId w:val="19"/>
  </w:num>
  <w:num w:numId="28" w16cid:durableId="314915470">
    <w:abstractNumId w:val="13"/>
  </w:num>
  <w:num w:numId="29" w16cid:durableId="2026055017">
    <w:abstractNumId w:val="15"/>
  </w:num>
  <w:num w:numId="30" w16cid:durableId="1594127871">
    <w:abstractNumId w:val="29"/>
  </w:num>
  <w:num w:numId="31" w16cid:durableId="688675936">
    <w:abstractNumId w:val="20"/>
  </w:num>
  <w:num w:numId="32" w16cid:durableId="1799449970">
    <w:abstractNumId w:val="18"/>
  </w:num>
  <w:num w:numId="33" w16cid:durableId="1411005313">
    <w:abstractNumId w:val="23"/>
  </w:num>
  <w:num w:numId="34" w16cid:durableId="122055579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432"/>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4908A3"/>
    <w:rsid w:val="00000C8F"/>
    <w:rsid w:val="00001988"/>
    <w:rsid w:val="00003CE2"/>
    <w:rsid w:val="00003ED5"/>
    <w:rsid w:val="00004CDA"/>
    <w:rsid w:val="000067B0"/>
    <w:rsid w:val="0000695D"/>
    <w:rsid w:val="000119B0"/>
    <w:rsid w:val="00012041"/>
    <w:rsid w:val="00012A71"/>
    <w:rsid w:val="00013878"/>
    <w:rsid w:val="000140E3"/>
    <w:rsid w:val="00014194"/>
    <w:rsid w:val="00015C3B"/>
    <w:rsid w:val="00015CDB"/>
    <w:rsid w:val="00016A80"/>
    <w:rsid w:val="0001734A"/>
    <w:rsid w:val="00021989"/>
    <w:rsid w:val="00022BDE"/>
    <w:rsid w:val="00023281"/>
    <w:rsid w:val="00023BC9"/>
    <w:rsid w:val="00025A7B"/>
    <w:rsid w:val="00026DE6"/>
    <w:rsid w:val="00027B21"/>
    <w:rsid w:val="00027F12"/>
    <w:rsid w:val="0003323E"/>
    <w:rsid w:val="00034FCA"/>
    <w:rsid w:val="000353A6"/>
    <w:rsid w:val="00035C9F"/>
    <w:rsid w:val="00037C24"/>
    <w:rsid w:val="00037C99"/>
    <w:rsid w:val="000414EB"/>
    <w:rsid w:val="00043167"/>
    <w:rsid w:val="0004372B"/>
    <w:rsid w:val="00043F97"/>
    <w:rsid w:val="00045CDC"/>
    <w:rsid w:val="000463EE"/>
    <w:rsid w:val="0004685C"/>
    <w:rsid w:val="00046A3C"/>
    <w:rsid w:val="000477BE"/>
    <w:rsid w:val="000507F2"/>
    <w:rsid w:val="00050A5A"/>
    <w:rsid w:val="00051C04"/>
    <w:rsid w:val="00053B54"/>
    <w:rsid w:val="00055773"/>
    <w:rsid w:val="00055ABF"/>
    <w:rsid w:val="00056DEF"/>
    <w:rsid w:val="000620A2"/>
    <w:rsid w:val="00062F13"/>
    <w:rsid w:val="00063250"/>
    <w:rsid w:val="00063CFB"/>
    <w:rsid w:val="00066132"/>
    <w:rsid w:val="00066721"/>
    <w:rsid w:val="00067F4F"/>
    <w:rsid w:val="000703C1"/>
    <w:rsid w:val="000707B4"/>
    <w:rsid w:val="00070881"/>
    <w:rsid w:val="000716B4"/>
    <w:rsid w:val="00072121"/>
    <w:rsid w:val="00072872"/>
    <w:rsid w:val="000732C6"/>
    <w:rsid w:val="00075D85"/>
    <w:rsid w:val="00076FBE"/>
    <w:rsid w:val="00077A08"/>
    <w:rsid w:val="0008072A"/>
    <w:rsid w:val="00081CD8"/>
    <w:rsid w:val="000821A9"/>
    <w:rsid w:val="00083632"/>
    <w:rsid w:val="00083742"/>
    <w:rsid w:val="00084F5E"/>
    <w:rsid w:val="000860B7"/>
    <w:rsid w:val="000879A7"/>
    <w:rsid w:val="00090154"/>
    <w:rsid w:val="00090392"/>
    <w:rsid w:val="00091840"/>
    <w:rsid w:val="00091A88"/>
    <w:rsid w:val="0009221F"/>
    <w:rsid w:val="00093C51"/>
    <w:rsid w:val="0009462C"/>
    <w:rsid w:val="00095418"/>
    <w:rsid w:val="00095A83"/>
    <w:rsid w:val="0009663E"/>
    <w:rsid w:val="000A0193"/>
    <w:rsid w:val="000A1110"/>
    <w:rsid w:val="000A1C81"/>
    <w:rsid w:val="000A1E9E"/>
    <w:rsid w:val="000A318E"/>
    <w:rsid w:val="000A326B"/>
    <w:rsid w:val="000B0269"/>
    <w:rsid w:val="000B0445"/>
    <w:rsid w:val="000B12F0"/>
    <w:rsid w:val="000B1BA7"/>
    <w:rsid w:val="000B2543"/>
    <w:rsid w:val="000B2B99"/>
    <w:rsid w:val="000B33D5"/>
    <w:rsid w:val="000B3500"/>
    <w:rsid w:val="000B40F6"/>
    <w:rsid w:val="000B4291"/>
    <w:rsid w:val="000B529B"/>
    <w:rsid w:val="000B5DC4"/>
    <w:rsid w:val="000B6145"/>
    <w:rsid w:val="000B6F17"/>
    <w:rsid w:val="000C3928"/>
    <w:rsid w:val="000C4B0B"/>
    <w:rsid w:val="000C5271"/>
    <w:rsid w:val="000C619D"/>
    <w:rsid w:val="000C7031"/>
    <w:rsid w:val="000D1025"/>
    <w:rsid w:val="000D121A"/>
    <w:rsid w:val="000D23B5"/>
    <w:rsid w:val="000D515B"/>
    <w:rsid w:val="000D57D1"/>
    <w:rsid w:val="000D621D"/>
    <w:rsid w:val="000D622E"/>
    <w:rsid w:val="000D6589"/>
    <w:rsid w:val="000D6B9A"/>
    <w:rsid w:val="000D7090"/>
    <w:rsid w:val="000D7680"/>
    <w:rsid w:val="000E0286"/>
    <w:rsid w:val="000E0441"/>
    <w:rsid w:val="000E0824"/>
    <w:rsid w:val="000E1E78"/>
    <w:rsid w:val="000E2C25"/>
    <w:rsid w:val="000E380B"/>
    <w:rsid w:val="000E4EC3"/>
    <w:rsid w:val="000E696B"/>
    <w:rsid w:val="000E6AAD"/>
    <w:rsid w:val="000E6F03"/>
    <w:rsid w:val="000E71D2"/>
    <w:rsid w:val="000F002C"/>
    <w:rsid w:val="000F0E46"/>
    <w:rsid w:val="000F1653"/>
    <w:rsid w:val="000F6F49"/>
    <w:rsid w:val="000F6FED"/>
    <w:rsid w:val="00100AFE"/>
    <w:rsid w:val="0010186E"/>
    <w:rsid w:val="00101AA4"/>
    <w:rsid w:val="00101FF1"/>
    <w:rsid w:val="0010207D"/>
    <w:rsid w:val="001021C0"/>
    <w:rsid w:val="00105DC5"/>
    <w:rsid w:val="0010600F"/>
    <w:rsid w:val="001062B2"/>
    <w:rsid w:val="001107F7"/>
    <w:rsid w:val="00110A9C"/>
    <w:rsid w:val="00110CDB"/>
    <w:rsid w:val="00110DA8"/>
    <w:rsid w:val="00110ED9"/>
    <w:rsid w:val="001110A8"/>
    <w:rsid w:val="00111294"/>
    <w:rsid w:val="00112694"/>
    <w:rsid w:val="001169F8"/>
    <w:rsid w:val="00117AE5"/>
    <w:rsid w:val="0012353F"/>
    <w:rsid w:val="00125ADA"/>
    <w:rsid w:val="00126BB1"/>
    <w:rsid w:val="00126F10"/>
    <w:rsid w:val="001272D9"/>
    <w:rsid w:val="001304E8"/>
    <w:rsid w:val="00130B0F"/>
    <w:rsid w:val="00130B6E"/>
    <w:rsid w:val="001314BE"/>
    <w:rsid w:val="00132AA5"/>
    <w:rsid w:val="00134954"/>
    <w:rsid w:val="0013643C"/>
    <w:rsid w:val="0013785D"/>
    <w:rsid w:val="00140851"/>
    <w:rsid w:val="001416F9"/>
    <w:rsid w:val="00141C67"/>
    <w:rsid w:val="0014243A"/>
    <w:rsid w:val="0014246E"/>
    <w:rsid w:val="00142541"/>
    <w:rsid w:val="0014284D"/>
    <w:rsid w:val="00142DF9"/>
    <w:rsid w:val="00142F75"/>
    <w:rsid w:val="00143366"/>
    <w:rsid w:val="0014375D"/>
    <w:rsid w:val="00145747"/>
    <w:rsid w:val="00145A47"/>
    <w:rsid w:val="001460C4"/>
    <w:rsid w:val="0014626B"/>
    <w:rsid w:val="00147C42"/>
    <w:rsid w:val="00150902"/>
    <w:rsid w:val="00151111"/>
    <w:rsid w:val="001517B4"/>
    <w:rsid w:val="00152E06"/>
    <w:rsid w:val="00155F78"/>
    <w:rsid w:val="00156168"/>
    <w:rsid w:val="00156B05"/>
    <w:rsid w:val="00156CFB"/>
    <w:rsid w:val="001602A7"/>
    <w:rsid w:val="00160F17"/>
    <w:rsid w:val="00161865"/>
    <w:rsid w:val="001632D5"/>
    <w:rsid w:val="00165D2D"/>
    <w:rsid w:val="00166CBC"/>
    <w:rsid w:val="00166DBE"/>
    <w:rsid w:val="001703AE"/>
    <w:rsid w:val="001707F2"/>
    <w:rsid w:val="00170C35"/>
    <w:rsid w:val="00172BEA"/>
    <w:rsid w:val="00172F94"/>
    <w:rsid w:val="001736C3"/>
    <w:rsid w:val="001747CF"/>
    <w:rsid w:val="0017570F"/>
    <w:rsid w:val="00175BB0"/>
    <w:rsid w:val="00176428"/>
    <w:rsid w:val="001770A1"/>
    <w:rsid w:val="00177150"/>
    <w:rsid w:val="001774E6"/>
    <w:rsid w:val="0018007F"/>
    <w:rsid w:val="00180095"/>
    <w:rsid w:val="00180DF5"/>
    <w:rsid w:val="001810B7"/>
    <w:rsid w:val="0018133B"/>
    <w:rsid w:val="00181E0B"/>
    <w:rsid w:val="00183075"/>
    <w:rsid w:val="00183725"/>
    <w:rsid w:val="00185A1B"/>
    <w:rsid w:val="00187244"/>
    <w:rsid w:val="001876B7"/>
    <w:rsid w:val="00187E46"/>
    <w:rsid w:val="00190363"/>
    <w:rsid w:val="00190770"/>
    <w:rsid w:val="00190BB9"/>
    <w:rsid w:val="001911BA"/>
    <w:rsid w:val="00191A40"/>
    <w:rsid w:val="00191E27"/>
    <w:rsid w:val="001928D8"/>
    <w:rsid w:val="00193770"/>
    <w:rsid w:val="001937B1"/>
    <w:rsid w:val="0019488C"/>
    <w:rsid w:val="001963D6"/>
    <w:rsid w:val="001973B4"/>
    <w:rsid w:val="001975FA"/>
    <w:rsid w:val="00197D02"/>
    <w:rsid w:val="001A1871"/>
    <w:rsid w:val="001A2B87"/>
    <w:rsid w:val="001A4A39"/>
    <w:rsid w:val="001A51A7"/>
    <w:rsid w:val="001A52F7"/>
    <w:rsid w:val="001A5365"/>
    <w:rsid w:val="001B07D9"/>
    <w:rsid w:val="001B1B21"/>
    <w:rsid w:val="001B22D1"/>
    <w:rsid w:val="001B24B5"/>
    <w:rsid w:val="001B3A34"/>
    <w:rsid w:val="001B3B4A"/>
    <w:rsid w:val="001B455B"/>
    <w:rsid w:val="001B4787"/>
    <w:rsid w:val="001C038B"/>
    <w:rsid w:val="001C0AFC"/>
    <w:rsid w:val="001C0D9F"/>
    <w:rsid w:val="001C1AFE"/>
    <w:rsid w:val="001C1FE6"/>
    <w:rsid w:val="001C3509"/>
    <w:rsid w:val="001C3DED"/>
    <w:rsid w:val="001C47B6"/>
    <w:rsid w:val="001C47DC"/>
    <w:rsid w:val="001C4FCE"/>
    <w:rsid w:val="001C59C5"/>
    <w:rsid w:val="001C6E29"/>
    <w:rsid w:val="001C6F5E"/>
    <w:rsid w:val="001C6F62"/>
    <w:rsid w:val="001C74A6"/>
    <w:rsid w:val="001C79A8"/>
    <w:rsid w:val="001C7AD5"/>
    <w:rsid w:val="001D19B6"/>
    <w:rsid w:val="001D1A1A"/>
    <w:rsid w:val="001D1BBA"/>
    <w:rsid w:val="001D2432"/>
    <w:rsid w:val="001D3070"/>
    <w:rsid w:val="001D50FF"/>
    <w:rsid w:val="001D5359"/>
    <w:rsid w:val="001D677B"/>
    <w:rsid w:val="001E1364"/>
    <w:rsid w:val="001E208C"/>
    <w:rsid w:val="001E2492"/>
    <w:rsid w:val="001E2F17"/>
    <w:rsid w:val="001E31DB"/>
    <w:rsid w:val="001E5DBA"/>
    <w:rsid w:val="001F0333"/>
    <w:rsid w:val="001F23F5"/>
    <w:rsid w:val="001F25F6"/>
    <w:rsid w:val="001F3486"/>
    <w:rsid w:val="001F42AB"/>
    <w:rsid w:val="001F4CD6"/>
    <w:rsid w:val="001F4D5B"/>
    <w:rsid w:val="001F6291"/>
    <w:rsid w:val="001F7C54"/>
    <w:rsid w:val="00201408"/>
    <w:rsid w:val="00201CF6"/>
    <w:rsid w:val="002037D0"/>
    <w:rsid w:val="002040DE"/>
    <w:rsid w:val="002048C9"/>
    <w:rsid w:val="00206254"/>
    <w:rsid w:val="002066F8"/>
    <w:rsid w:val="002067C9"/>
    <w:rsid w:val="00207BB9"/>
    <w:rsid w:val="00210650"/>
    <w:rsid w:val="00211E72"/>
    <w:rsid w:val="00214330"/>
    <w:rsid w:val="0021599A"/>
    <w:rsid w:val="00216246"/>
    <w:rsid w:val="002172E9"/>
    <w:rsid w:val="002212D4"/>
    <w:rsid w:val="00221774"/>
    <w:rsid w:val="002225D3"/>
    <w:rsid w:val="0022405B"/>
    <w:rsid w:val="0022600F"/>
    <w:rsid w:val="00226373"/>
    <w:rsid w:val="002266E6"/>
    <w:rsid w:val="0022741D"/>
    <w:rsid w:val="002305EB"/>
    <w:rsid w:val="00230949"/>
    <w:rsid w:val="00231727"/>
    <w:rsid w:val="00231B0C"/>
    <w:rsid w:val="00231D54"/>
    <w:rsid w:val="002330D7"/>
    <w:rsid w:val="00233DF2"/>
    <w:rsid w:val="00234DDA"/>
    <w:rsid w:val="00234E91"/>
    <w:rsid w:val="00235AB7"/>
    <w:rsid w:val="0023668E"/>
    <w:rsid w:val="002373EF"/>
    <w:rsid w:val="002377F0"/>
    <w:rsid w:val="002408F5"/>
    <w:rsid w:val="00242DD4"/>
    <w:rsid w:val="00243D22"/>
    <w:rsid w:val="00244823"/>
    <w:rsid w:val="00246393"/>
    <w:rsid w:val="002470D2"/>
    <w:rsid w:val="0024751E"/>
    <w:rsid w:val="0025047C"/>
    <w:rsid w:val="00251165"/>
    <w:rsid w:val="00251BFA"/>
    <w:rsid w:val="00252ABE"/>
    <w:rsid w:val="002534A7"/>
    <w:rsid w:val="00253E25"/>
    <w:rsid w:val="00254796"/>
    <w:rsid w:val="00254955"/>
    <w:rsid w:val="00256DAD"/>
    <w:rsid w:val="0025745C"/>
    <w:rsid w:val="00260316"/>
    <w:rsid w:val="002603AF"/>
    <w:rsid w:val="0026047E"/>
    <w:rsid w:val="0026461B"/>
    <w:rsid w:val="0026565F"/>
    <w:rsid w:val="00265DB9"/>
    <w:rsid w:val="002706DD"/>
    <w:rsid w:val="00273720"/>
    <w:rsid w:val="00273A23"/>
    <w:rsid w:val="00274312"/>
    <w:rsid w:val="00274AE2"/>
    <w:rsid w:val="00276E08"/>
    <w:rsid w:val="002818EC"/>
    <w:rsid w:val="002834B4"/>
    <w:rsid w:val="00283A21"/>
    <w:rsid w:val="002866E2"/>
    <w:rsid w:val="00286B09"/>
    <w:rsid w:val="0028777B"/>
    <w:rsid w:val="00287C3D"/>
    <w:rsid w:val="00291D53"/>
    <w:rsid w:val="00295E3D"/>
    <w:rsid w:val="00296141"/>
    <w:rsid w:val="0029692C"/>
    <w:rsid w:val="00296D3B"/>
    <w:rsid w:val="00297733"/>
    <w:rsid w:val="00297CC8"/>
    <w:rsid w:val="002A1DAD"/>
    <w:rsid w:val="002A361F"/>
    <w:rsid w:val="002A3EA4"/>
    <w:rsid w:val="002A4F59"/>
    <w:rsid w:val="002A52B1"/>
    <w:rsid w:val="002A68ED"/>
    <w:rsid w:val="002A7F5C"/>
    <w:rsid w:val="002B1998"/>
    <w:rsid w:val="002B1B86"/>
    <w:rsid w:val="002B22FA"/>
    <w:rsid w:val="002B5D69"/>
    <w:rsid w:val="002C12A1"/>
    <w:rsid w:val="002C1D11"/>
    <w:rsid w:val="002C2BF7"/>
    <w:rsid w:val="002C3108"/>
    <w:rsid w:val="002C32CA"/>
    <w:rsid w:val="002C69C3"/>
    <w:rsid w:val="002C7619"/>
    <w:rsid w:val="002D0732"/>
    <w:rsid w:val="002D1783"/>
    <w:rsid w:val="002D4940"/>
    <w:rsid w:val="002D4B68"/>
    <w:rsid w:val="002D6B16"/>
    <w:rsid w:val="002D6F65"/>
    <w:rsid w:val="002D72C2"/>
    <w:rsid w:val="002D7D2C"/>
    <w:rsid w:val="002E0698"/>
    <w:rsid w:val="002E11BE"/>
    <w:rsid w:val="002E385F"/>
    <w:rsid w:val="002E40CE"/>
    <w:rsid w:val="002E4294"/>
    <w:rsid w:val="002E5ACB"/>
    <w:rsid w:val="002E6084"/>
    <w:rsid w:val="002F34C3"/>
    <w:rsid w:val="002F3A1C"/>
    <w:rsid w:val="002F5E7E"/>
    <w:rsid w:val="002F73C2"/>
    <w:rsid w:val="002F7BC5"/>
    <w:rsid w:val="003002EB"/>
    <w:rsid w:val="0030156D"/>
    <w:rsid w:val="00302484"/>
    <w:rsid w:val="003027A4"/>
    <w:rsid w:val="00302CFD"/>
    <w:rsid w:val="003049A5"/>
    <w:rsid w:val="00305BC1"/>
    <w:rsid w:val="00306096"/>
    <w:rsid w:val="00307DBB"/>
    <w:rsid w:val="00310F57"/>
    <w:rsid w:val="003124C7"/>
    <w:rsid w:val="003143CA"/>
    <w:rsid w:val="00315482"/>
    <w:rsid w:val="0031564F"/>
    <w:rsid w:val="00315ED1"/>
    <w:rsid w:val="00317CA3"/>
    <w:rsid w:val="00317FA4"/>
    <w:rsid w:val="00320A96"/>
    <w:rsid w:val="0032412A"/>
    <w:rsid w:val="00324431"/>
    <w:rsid w:val="00327C5E"/>
    <w:rsid w:val="00327F09"/>
    <w:rsid w:val="00330CC4"/>
    <w:rsid w:val="00330F0B"/>
    <w:rsid w:val="00331B0E"/>
    <w:rsid w:val="0033202B"/>
    <w:rsid w:val="0033313A"/>
    <w:rsid w:val="00334AAA"/>
    <w:rsid w:val="00334AFB"/>
    <w:rsid w:val="0033782A"/>
    <w:rsid w:val="00337AB5"/>
    <w:rsid w:val="0034053E"/>
    <w:rsid w:val="00341682"/>
    <w:rsid w:val="003421CE"/>
    <w:rsid w:val="003428A3"/>
    <w:rsid w:val="00342BD6"/>
    <w:rsid w:val="0034319F"/>
    <w:rsid w:val="0034367D"/>
    <w:rsid w:val="003466F7"/>
    <w:rsid w:val="003467F7"/>
    <w:rsid w:val="003470CD"/>
    <w:rsid w:val="00347B82"/>
    <w:rsid w:val="00351F99"/>
    <w:rsid w:val="00352C4A"/>
    <w:rsid w:val="00353372"/>
    <w:rsid w:val="00353CEE"/>
    <w:rsid w:val="003562D1"/>
    <w:rsid w:val="00357254"/>
    <w:rsid w:val="003610FF"/>
    <w:rsid w:val="00361652"/>
    <w:rsid w:val="00362193"/>
    <w:rsid w:val="00362198"/>
    <w:rsid w:val="00362CD0"/>
    <w:rsid w:val="00362E55"/>
    <w:rsid w:val="0036379D"/>
    <w:rsid w:val="003637ED"/>
    <w:rsid w:val="00364429"/>
    <w:rsid w:val="00364757"/>
    <w:rsid w:val="00365680"/>
    <w:rsid w:val="00365CBA"/>
    <w:rsid w:val="00365D98"/>
    <w:rsid w:val="0036657D"/>
    <w:rsid w:val="00366CFC"/>
    <w:rsid w:val="00366DD2"/>
    <w:rsid w:val="00366F8F"/>
    <w:rsid w:val="003674DA"/>
    <w:rsid w:val="00367C75"/>
    <w:rsid w:val="00367DF4"/>
    <w:rsid w:val="0037062D"/>
    <w:rsid w:val="00370FE4"/>
    <w:rsid w:val="00377C95"/>
    <w:rsid w:val="00380AF0"/>
    <w:rsid w:val="00380E4B"/>
    <w:rsid w:val="00381F32"/>
    <w:rsid w:val="0038319B"/>
    <w:rsid w:val="003833B0"/>
    <w:rsid w:val="00383A77"/>
    <w:rsid w:val="00385701"/>
    <w:rsid w:val="003860F6"/>
    <w:rsid w:val="003865B1"/>
    <w:rsid w:val="00386E39"/>
    <w:rsid w:val="00387DD7"/>
    <w:rsid w:val="00390016"/>
    <w:rsid w:val="00390AD6"/>
    <w:rsid w:val="00392304"/>
    <w:rsid w:val="003928FB"/>
    <w:rsid w:val="0039290B"/>
    <w:rsid w:val="00392C33"/>
    <w:rsid w:val="00393CA9"/>
    <w:rsid w:val="00394B94"/>
    <w:rsid w:val="00395570"/>
    <w:rsid w:val="00396CD8"/>
    <w:rsid w:val="0039761C"/>
    <w:rsid w:val="003A0014"/>
    <w:rsid w:val="003A0651"/>
    <w:rsid w:val="003A1019"/>
    <w:rsid w:val="003A14B7"/>
    <w:rsid w:val="003A172D"/>
    <w:rsid w:val="003A2627"/>
    <w:rsid w:val="003A2636"/>
    <w:rsid w:val="003A3064"/>
    <w:rsid w:val="003A347A"/>
    <w:rsid w:val="003A4D85"/>
    <w:rsid w:val="003A5AD6"/>
    <w:rsid w:val="003A607D"/>
    <w:rsid w:val="003A6D9C"/>
    <w:rsid w:val="003A779D"/>
    <w:rsid w:val="003B0440"/>
    <w:rsid w:val="003B0980"/>
    <w:rsid w:val="003B0D0F"/>
    <w:rsid w:val="003B142F"/>
    <w:rsid w:val="003B22E3"/>
    <w:rsid w:val="003B322E"/>
    <w:rsid w:val="003B4B14"/>
    <w:rsid w:val="003B50C8"/>
    <w:rsid w:val="003B6271"/>
    <w:rsid w:val="003B744E"/>
    <w:rsid w:val="003B7B6B"/>
    <w:rsid w:val="003C09DD"/>
    <w:rsid w:val="003C0B44"/>
    <w:rsid w:val="003C19D6"/>
    <w:rsid w:val="003C2AF5"/>
    <w:rsid w:val="003C2BED"/>
    <w:rsid w:val="003C324C"/>
    <w:rsid w:val="003C5A3A"/>
    <w:rsid w:val="003C5AF0"/>
    <w:rsid w:val="003C5EAB"/>
    <w:rsid w:val="003C5F1C"/>
    <w:rsid w:val="003C5F93"/>
    <w:rsid w:val="003C72B8"/>
    <w:rsid w:val="003D3199"/>
    <w:rsid w:val="003D3B8A"/>
    <w:rsid w:val="003D59D1"/>
    <w:rsid w:val="003D66E3"/>
    <w:rsid w:val="003D7BE9"/>
    <w:rsid w:val="003E0621"/>
    <w:rsid w:val="003E0B7A"/>
    <w:rsid w:val="003E204A"/>
    <w:rsid w:val="003E4503"/>
    <w:rsid w:val="003E71F9"/>
    <w:rsid w:val="003F1626"/>
    <w:rsid w:val="003F2ED1"/>
    <w:rsid w:val="003F3DA7"/>
    <w:rsid w:val="003F4A84"/>
    <w:rsid w:val="003F4EFB"/>
    <w:rsid w:val="003F5523"/>
    <w:rsid w:val="003F55EA"/>
    <w:rsid w:val="003F579F"/>
    <w:rsid w:val="003F5A75"/>
    <w:rsid w:val="003F5EE5"/>
    <w:rsid w:val="003F6010"/>
    <w:rsid w:val="003F657D"/>
    <w:rsid w:val="0040039C"/>
    <w:rsid w:val="00401041"/>
    <w:rsid w:val="00401881"/>
    <w:rsid w:val="00401C84"/>
    <w:rsid w:val="00402062"/>
    <w:rsid w:val="00402E14"/>
    <w:rsid w:val="00403394"/>
    <w:rsid w:val="0040488E"/>
    <w:rsid w:val="00404DF6"/>
    <w:rsid w:val="0040516A"/>
    <w:rsid w:val="00405BC1"/>
    <w:rsid w:val="00410F8B"/>
    <w:rsid w:val="004119D6"/>
    <w:rsid w:val="00412490"/>
    <w:rsid w:val="00412E45"/>
    <w:rsid w:val="0041334D"/>
    <w:rsid w:val="00413A5F"/>
    <w:rsid w:val="0041745C"/>
    <w:rsid w:val="0042074A"/>
    <w:rsid w:val="0042389B"/>
    <w:rsid w:val="0042514C"/>
    <w:rsid w:val="004320F6"/>
    <w:rsid w:val="00433C97"/>
    <w:rsid w:val="00434E27"/>
    <w:rsid w:val="0043569E"/>
    <w:rsid w:val="00436EE8"/>
    <w:rsid w:val="00437A2C"/>
    <w:rsid w:val="00440C71"/>
    <w:rsid w:val="00441A62"/>
    <w:rsid w:val="00442396"/>
    <w:rsid w:val="00442D5A"/>
    <w:rsid w:val="00444609"/>
    <w:rsid w:val="00444EF2"/>
    <w:rsid w:val="00444F1E"/>
    <w:rsid w:val="00447603"/>
    <w:rsid w:val="00447918"/>
    <w:rsid w:val="004479D9"/>
    <w:rsid w:val="004522B0"/>
    <w:rsid w:val="004539CF"/>
    <w:rsid w:val="00453FDF"/>
    <w:rsid w:val="00454FF2"/>
    <w:rsid w:val="00455DFA"/>
    <w:rsid w:val="00455E93"/>
    <w:rsid w:val="00455EAA"/>
    <w:rsid w:val="00456DDA"/>
    <w:rsid w:val="0045717D"/>
    <w:rsid w:val="00457FA4"/>
    <w:rsid w:val="00460B6B"/>
    <w:rsid w:val="004622D1"/>
    <w:rsid w:val="00463151"/>
    <w:rsid w:val="0046336F"/>
    <w:rsid w:val="004636B0"/>
    <w:rsid w:val="00463B15"/>
    <w:rsid w:val="00464233"/>
    <w:rsid w:val="00464787"/>
    <w:rsid w:val="00465865"/>
    <w:rsid w:val="00465C20"/>
    <w:rsid w:val="0046778B"/>
    <w:rsid w:val="00470E7F"/>
    <w:rsid w:val="004714DC"/>
    <w:rsid w:val="00471CCB"/>
    <w:rsid w:val="00472FA3"/>
    <w:rsid w:val="004737E1"/>
    <w:rsid w:val="004742BA"/>
    <w:rsid w:val="0047762D"/>
    <w:rsid w:val="00477FA1"/>
    <w:rsid w:val="00480C01"/>
    <w:rsid w:val="00481312"/>
    <w:rsid w:val="00481503"/>
    <w:rsid w:val="0048285A"/>
    <w:rsid w:val="004837DF"/>
    <w:rsid w:val="00485D08"/>
    <w:rsid w:val="00486759"/>
    <w:rsid w:val="0048731D"/>
    <w:rsid w:val="00487F49"/>
    <w:rsid w:val="004907A2"/>
    <w:rsid w:val="004908A3"/>
    <w:rsid w:val="004931EF"/>
    <w:rsid w:val="004932AC"/>
    <w:rsid w:val="00493391"/>
    <w:rsid w:val="004959F6"/>
    <w:rsid w:val="004A1E13"/>
    <w:rsid w:val="004A2DBA"/>
    <w:rsid w:val="004A66CD"/>
    <w:rsid w:val="004A6BEB"/>
    <w:rsid w:val="004A6E3F"/>
    <w:rsid w:val="004A7B7F"/>
    <w:rsid w:val="004B0442"/>
    <w:rsid w:val="004B0F69"/>
    <w:rsid w:val="004B1365"/>
    <w:rsid w:val="004B211F"/>
    <w:rsid w:val="004B23D1"/>
    <w:rsid w:val="004B3BBE"/>
    <w:rsid w:val="004B473B"/>
    <w:rsid w:val="004C0C2C"/>
    <w:rsid w:val="004C1412"/>
    <w:rsid w:val="004C15CA"/>
    <w:rsid w:val="004C1B08"/>
    <w:rsid w:val="004C1BAE"/>
    <w:rsid w:val="004C1C23"/>
    <w:rsid w:val="004C37B7"/>
    <w:rsid w:val="004C3D91"/>
    <w:rsid w:val="004C4255"/>
    <w:rsid w:val="004C4861"/>
    <w:rsid w:val="004C5377"/>
    <w:rsid w:val="004C595C"/>
    <w:rsid w:val="004C59A4"/>
    <w:rsid w:val="004C5C38"/>
    <w:rsid w:val="004D0110"/>
    <w:rsid w:val="004D38FD"/>
    <w:rsid w:val="004D3ED7"/>
    <w:rsid w:val="004D433B"/>
    <w:rsid w:val="004D565B"/>
    <w:rsid w:val="004D5E5E"/>
    <w:rsid w:val="004D6C16"/>
    <w:rsid w:val="004D707B"/>
    <w:rsid w:val="004D7764"/>
    <w:rsid w:val="004D78D0"/>
    <w:rsid w:val="004E029E"/>
    <w:rsid w:val="004E0AFC"/>
    <w:rsid w:val="004E1F63"/>
    <w:rsid w:val="004E475E"/>
    <w:rsid w:val="004E5158"/>
    <w:rsid w:val="004E5E98"/>
    <w:rsid w:val="004E5ED7"/>
    <w:rsid w:val="004E7313"/>
    <w:rsid w:val="004F08FE"/>
    <w:rsid w:val="004F2DC8"/>
    <w:rsid w:val="004F2EB4"/>
    <w:rsid w:val="004F4722"/>
    <w:rsid w:val="004F4937"/>
    <w:rsid w:val="004F6136"/>
    <w:rsid w:val="004F6768"/>
    <w:rsid w:val="004F692B"/>
    <w:rsid w:val="004F7691"/>
    <w:rsid w:val="005000C7"/>
    <w:rsid w:val="00500736"/>
    <w:rsid w:val="00501F50"/>
    <w:rsid w:val="00502109"/>
    <w:rsid w:val="005032C5"/>
    <w:rsid w:val="00505FF8"/>
    <w:rsid w:val="0050729A"/>
    <w:rsid w:val="0051058D"/>
    <w:rsid w:val="0051173D"/>
    <w:rsid w:val="0051461F"/>
    <w:rsid w:val="00514F31"/>
    <w:rsid w:val="00515114"/>
    <w:rsid w:val="00515CE4"/>
    <w:rsid w:val="00516F19"/>
    <w:rsid w:val="00524CC0"/>
    <w:rsid w:val="0052521C"/>
    <w:rsid w:val="005253D7"/>
    <w:rsid w:val="005255DD"/>
    <w:rsid w:val="00525747"/>
    <w:rsid w:val="00525AE9"/>
    <w:rsid w:val="005263F2"/>
    <w:rsid w:val="00527F02"/>
    <w:rsid w:val="00530B88"/>
    <w:rsid w:val="005312AB"/>
    <w:rsid w:val="005323F8"/>
    <w:rsid w:val="005329E7"/>
    <w:rsid w:val="00533350"/>
    <w:rsid w:val="0053399B"/>
    <w:rsid w:val="0053430B"/>
    <w:rsid w:val="00534410"/>
    <w:rsid w:val="00537220"/>
    <w:rsid w:val="0054001C"/>
    <w:rsid w:val="005405A7"/>
    <w:rsid w:val="00540686"/>
    <w:rsid w:val="00540A46"/>
    <w:rsid w:val="0054130A"/>
    <w:rsid w:val="00541AF2"/>
    <w:rsid w:val="00542A6E"/>
    <w:rsid w:val="00542C8C"/>
    <w:rsid w:val="005443BC"/>
    <w:rsid w:val="005454C8"/>
    <w:rsid w:val="00545914"/>
    <w:rsid w:val="00547ACE"/>
    <w:rsid w:val="00547CF8"/>
    <w:rsid w:val="0055003A"/>
    <w:rsid w:val="00550602"/>
    <w:rsid w:val="0055139A"/>
    <w:rsid w:val="00553C99"/>
    <w:rsid w:val="00555056"/>
    <w:rsid w:val="00555FC6"/>
    <w:rsid w:val="00557B1D"/>
    <w:rsid w:val="00557E0A"/>
    <w:rsid w:val="005601BC"/>
    <w:rsid w:val="00560E1B"/>
    <w:rsid w:val="00563B64"/>
    <w:rsid w:val="00564ED9"/>
    <w:rsid w:val="00565602"/>
    <w:rsid w:val="005662D2"/>
    <w:rsid w:val="005669E2"/>
    <w:rsid w:val="005678B7"/>
    <w:rsid w:val="00567FEE"/>
    <w:rsid w:val="005711AF"/>
    <w:rsid w:val="005718DC"/>
    <w:rsid w:val="00571D2F"/>
    <w:rsid w:val="0057346A"/>
    <w:rsid w:val="00573A73"/>
    <w:rsid w:val="0057485C"/>
    <w:rsid w:val="00581327"/>
    <w:rsid w:val="005817F3"/>
    <w:rsid w:val="00581E72"/>
    <w:rsid w:val="005825AF"/>
    <w:rsid w:val="00582C67"/>
    <w:rsid w:val="005845F7"/>
    <w:rsid w:val="005850B0"/>
    <w:rsid w:val="005858E8"/>
    <w:rsid w:val="00591711"/>
    <w:rsid w:val="0059235B"/>
    <w:rsid w:val="005927FC"/>
    <w:rsid w:val="0059364A"/>
    <w:rsid w:val="00596237"/>
    <w:rsid w:val="00597A68"/>
    <w:rsid w:val="00597C5C"/>
    <w:rsid w:val="005A0FC7"/>
    <w:rsid w:val="005A146C"/>
    <w:rsid w:val="005A20C2"/>
    <w:rsid w:val="005A335D"/>
    <w:rsid w:val="005A5163"/>
    <w:rsid w:val="005A536A"/>
    <w:rsid w:val="005A6215"/>
    <w:rsid w:val="005B0019"/>
    <w:rsid w:val="005B03DB"/>
    <w:rsid w:val="005B0CED"/>
    <w:rsid w:val="005B1C2F"/>
    <w:rsid w:val="005B34E1"/>
    <w:rsid w:val="005B4499"/>
    <w:rsid w:val="005B574B"/>
    <w:rsid w:val="005B5B8D"/>
    <w:rsid w:val="005B63D8"/>
    <w:rsid w:val="005B6FB2"/>
    <w:rsid w:val="005C0710"/>
    <w:rsid w:val="005C1256"/>
    <w:rsid w:val="005C1AC7"/>
    <w:rsid w:val="005C3A34"/>
    <w:rsid w:val="005C424D"/>
    <w:rsid w:val="005C4B11"/>
    <w:rsid w:val="005C74A5"/>
    <w:rsid w:val="005C7B2E"/>
    <w:rsid w:val="005D0071"/>
    <w:rsid w:val="005D2F6C"/>
    <w:rsid w:val="005D3656"/>
    <w:rsid w:val="005D5225"/>
    <w:rsid w:val="005D5792"/>
    <w:rsid w:val="005D6458"/>
    <w:rsid w:val="005D72C3"/>
    <w:rsid w:val="005E18DA"/>
    <w:rsid w:val="005E18FD"/>
    <w:rsid w:val="005E284A"/>
    <w:rsid w:val="005E31B3"/>
    <w:rsid w:val="005E38DE"/>
    <w:rsid w:val="005E424D"/>
    <w:rsid w:val="005E4A8D"/>
    <w:rsid w:val="005E6307"/>
    <w:rsid w:val="005F0F99"/>
    <w:rsid w:val="005F25A8"/>
    <w:rsid w:val="005F25D1"/>
    <w:rsid w:val="005F296F"/>
    <w:rsid w:val="005F4965"/>
    <w:rsid w:val="005F5198"/>
    <w:rsid w:val="005F5645"/>
    <w:rsid w:val="005F643E"/>
    <w:rsid w:val="005F76BD"/>
    <w:rsid w:val="00600D82"/>
    <w:rsid w:val="006013DE"/>
    <w:rsid w:val="00602B08"/>
    <w:rsid w:val="00603859"/>
    <w:rsid w:val="0060397A"/>
    <w:rsid w:val="00604BA0"/>
    <w:rsid w:val="006053B0"/>
    <w:rsid w:val="00605D40"/>
    <w:rsid w:val="006069BD"/>
    <w:rsid w:val="006114B3"/>
    <w:rsid w:val="00611DD3"/>
    <w:rsid w:val="00612B21"/>
    <w:rsid w:val="00613C1F"/>
    <w:rsid w:val="006144D8"/>
    <w:rsid w:val="0061522C"/>
    <w:rsid w:val="00615425"/>
    <w:rsid w:val="00615DE9"/>
    <w:rsid w:val="00620967"/>
    <w:rsid w:val="00620E3C"/>
    <w:rsid w:val="00621DA4"/>
    <w:rsid w:val="00622A69"/>
    <w:rsid w:val="00623AD2"/>
    <w:rsid w:val="006246C2"/>
    <w:rsid w:val="0062480F"/>
    <w:rsid w:val="00626090"/>
    <w:rsid w:val="00626CB8"/>
    <w:rsid w:val="006274B3"/>
    <w:rsid w:val="0063065E"/>
    <w:rsid w:val="00630EC4"/>
    <w:rsid w:val="006323CA"/>
    <w:rsid w:val="00632C4A"/>
    <w:rsid w:val="006332F4"/>
    <w:rsid w:val="006334F1"/>
    <w:rsid w:val="006335BE"/>
    <w:rsid w:val="0063371C"/>
    <w:rsid w:val="00634CD6"/>
    <w:rsid w:val="00636EDE"/>
    <w:rsid w:val="0063746C"/>
    <w:rsid w:val="0064087B"/>
    <w:rsid w:val="00640B52"/>
    <w:rsid w:val="00640F2F"/>
    <w:rsid w:val="0064117C"/>
    <w:rsid w:val="00641E43"/>
    <w:rsid w:val="006421BF"/>
    <w:rsid w:val="0064395F"/>
    <w:rsid w:val="00643B3B"/>
    <w:rsid w:val="0064496D"/>
    <w:rsid w:val="00645D95"/>
    <w:rsid w:val="00645DBD"/>
    <w:rsid w:val="00645F0A"/>
    <w:rsid w:val="0064657C"/>
    <w:rsid w:val="00646D88"/>
    <w:rsid w:val="00646FD6"/>
    <w:rsid w:val="00647A9E"/>
    <w:rsid w:val="0065047F"/>
    <w:rsid w:val="00650769"/>
    <w:rsid w:val="00650DEC"/>
    <w:rsid w:val="00650EF5"/>
    <w:rsid w:val="0065129B"/>
    <w:rsid w:val="00652EAD"/>
    <w:rsid w:val="006534B4"/>
    <w:rsid w:val="00653C48"/>
    <w:rsid w:val="006542D6"/>
    <w:rsid w:val="00656433"/>
    <w:rsid w:val="0066168E"/>
    <w:rsid w:val="006618AE"/>
    <w:rsid w:val="00662968"/>
    <w:rsid w:val="006633B2"/>
    <w:rsid w:val="006650C4"/>
    <w:rsid w:val="00666E66"/>
    <w:rsid w:val="006715E9"/>
    <w:rsid w:val="00671CAF"/>
    <w:rsid w:val="00674578"/>
    <w:rsid w:val="00674873"/>
    <w:rsid w:val="00675521"/>
    <w:rsid w:val="006767D0"/>
    <w:rsid w:val="00677435"/>
    <w:rsid w:val="00677656"/>
    <w:rsid w:val="00677D45"/>
    <w:rsid w:val="00682383"/>
    <w:rsid w:val="00684A6B"/>
    <w:rsid w:val="00684C9A"/>
    <w:rsid w:val="00685371"/>
    <w:rsid w:val="00685714"/>
    <w:rsid w:val="00686F8F"/>
    <w:rsid w:val="0068717B"/>
    <w:rsid w:val="006875DE"/>
    <w:rsid w:val="00690F1C"/>
    <w:rsid w:val="00693F88"/>
    <w:rsid w:val="00695866"/>
    <w:rsid w:val="00695EA8"/>
    <w:rsid w:val="00696033"/>
    <w:rsid w:val="00696178"/>
    <w:rsid w:val="006966E5"/>
    <w:rsid w:val="00696FDB"/>
    <w:rsid w:val="00697319"/>
    <w:rsid w:val="006A09AA"/>
    <w:rsid w:val="006A41E6"/>
    <w:rsid w:val="006A510B"/>
    <w:rsid w:val="006A5232"/>
    <w:rsid w:val="006A5569"/>
    <w:rsid w:val="006A5C8A"/>
    <w:rsid w:val="006A688D"/>
    <w:rsid w:val="006A78D1"/>
    <w:rsid w:val="006A7F3B"/>
    <w:rsid w:val="006B06C5"/>
    <w:rsid w:val="006B074A"/>
    <w:rsid w:val="006B1AFC"/>
    <w:rsid w:val="006B4405"/>
    <w:rsid w:val="006B44B9"/>
    <w:rsid w:val="006B4896"/>
    <w:rsid w:val="006B68D0"/>
    <w:rsid w:val="006C3185"/>
    <w:rsid w:val="006C54F0"/>
    <w:rsid w:val="006C5DE3"/>
    <w:rsid w:val="006C5F4C"/>
    <w:rsid w:val="006C6A24"/>
    <w:rsid w:val="006D0A9D"/>
    <w:rsid w:val="006D407D"/>
    <w:rsid w:val="006D4B90"/>
    <w:rsid w:val="006D4BD1"/>
    <w:rsid w:val="006D5639"/>
    <w:rsid w:val="006D6A7F"/>
    <w:rsid w:val="006D6B61"/>
    <w:rsid w:val="006E055B"/>
    <w:rsid w:val="006E05D1"/>
    <w:rsid w:val="006E0AE7"/>
    <w:rsid w:val="006E0F51"/>
    <w:rsid w:val="006E2F3F"/>
    <w:rsid w:val="006E5B2C"/>
    <w:rsid w:val="006E5C2C"/>
    <w:rsid w:val="006E7B7D"/>
    <w:rsid w:val="006F0B06"/>
    <w:rsid w:val="006F10CE"/>
    <w:rsid w:val="006F2319"/>
    <w:rsid w:val="006F28B6"/>
    <w:rsid w:val="006F3823"/>
    <w:rsid w:val="006F55BB"/>
    <w:rsid w:val="007001E8"/>
    <w:rsid w:val="00700894"/>
    <w:rsid w:val="00701F2D"/>
    <w:rsid w:val="00702E52"/>
    <w:rsid w:val="00703C6B"/>
    <w:rsid w:val="007066D9"/>
    <w:rsid w:val="007075E3"/>
    <w:rsid w:val="00710268"/>
    <w:rsid w:val="007119AE"/>
    <w:rsid w:val="007126EC"/>
    <w:rsid w:val="00712F7E"/>
    <w:rsid w:val="007149A1"/>
    <w:rsid w:val="007152F6"/>
    <w:rsid w:val="007153F4"/>
    <w:rsid w:val="00715BD5"/>
    <w:rsid w:val="0071641B"/>
    <w:rsid w:val="0071725F"/>
    <w:rsid w:val="007202EE"/>
    <w:rsid w:val="00720EA2"/>
    <w:rsid w:val="00722927"/>
    <w:rsid w:val="0072358E"/>
    <w:rsid w:val="007240CC"/>
    <w:rsid w:val="007243C4"/>
    <w:rsid w:val="007245CF"/>
    <w:rsid w:val="00724933"/>
    <w:rsid w:val="00725838"/>
    <w:rsid w:val="00725994"/>
    <w:rsid w:val="0072659D"/>
    <w:rsid w:val="00727EC8"/>
    <w:rsid w:val="007309F0"/>
    <w:rsid w:val="00732991"/>
    <w:rsid w:val="00732F5E"/>
    <w:rsid w:val="0073303B"/>
    <w:rsid w:val="00735AC2"/>
    <w:rsid w:val="00737F43"/>
    <w:rsid w:val="007400E3"/>
    <w:rsid w:val="00741C05"/>
    <w:rsid w:val="00742084"/>
    <w:rsid w:val="0074237E"/>
    <w:rsid w:val="007425E6"/>
    <w:rsid w:val="007437CF"/>
    <w:rsid w:val="00747577"/>
    <w:rsid w:val="007505B9"/>
    <w:rsid w:val="0075060F"/>
    <w:rsid w:val="00751EA3"/>
    <w:rsid w:val="00752334"/>
    <w:rsid w:val="00753ACA"/>
    <w:rsid w:val="00756AEC"/>
    <w:rsid w:val="00757665"/>
    <w:rsid w:val="00757AD4"/>
    <w:rsid w:val="00757ECB"/>
    <w:rsid w:val="00760414"/>
    <w:rsid w:val="007616B5"/>
    <w:rsid w:val="007629ED"/>
    <w:rsid w:val="00762D2D"/>
    <w:rsid w:val="00763C70"/>
    <w:rsid w:val="00764BAE"/>
    <w:rsid w:val="00764DE3"/>
    <w:rsid w:val="0076593F"/>
    <w:rsid w:val="00765EFD"/>
    <w:rsid w:val="007660A6"/>
    <w:rsid w:val="00766330"/>
    <w:rsid w:val="00767F26"/>
    <w:rsid w:val="00770CDD"/>
    <w:rsid w:val="00770DB0"/>
    <w:rsid w:val="007739B9"/>
    <w:rsid w:val="00774313"/>
    <w:rsid w:val="00774D3B"/>
    <w:rsid w:val="00776137"/>
    <w:rsid w:val="00780B31"/>
    <w:rsid w:val="0078448D"/>
    <w:rsid w:val="0078564A"/>
    <w:rsid w:val="00787547"/>
    <w:rsid w:val="007876A0"/>
    <w:rsid w:val="007878F0"/>
    <w:rsid w:val="00787BA2"/>
    <w:rsid w:val="0079118B"/>
    <w:rsid w:val="007942F7"/>
    <w:rsid w:val="0079509A"/>
    <w:rsid w:val="0079552C"/>
    <w:rsid w:val="007960B2"/>
    <w:rsid w:val="00796A78"/>
    <w:rsid w:val="00796C94"/>
    <w:rsid w:val="00797A6E"/>
    <w:rsid w:val="007A1D53"/>
    <w:rsid w:val="007A33EB"/>
    <w:rsid w:val="007A42F8"/>
    <w:rsid w:val="007A4CC4"/>
    <w:rsid w:val="007A66FD"/>
    <w:rsid w:val="007B059D"/>
    <w:rsid w:val="007B085E"/>
    <w:rsid w:val="007B0D6C"/>
    <w:rsid w:val="007B17F1"/>
    <w:rsid w:val="007B1E85"/>
    <w:rsid w:val="007B2E6D"/>
    <w:rsid w:val="007B2E8F"/>
    <w:rsid w:val="007B327A"/>
    <w:rsid w:val="007B6E3E"/>
    <w:rsid w:val="007B6FE5"/>
    <w:rsid w:val="007B75CC"/>
    <w:rsid w:val="007C195D"/>
    <w:rsid w:val="007C2CFC"/>
    <w:rsid w:val="007C2E1F"/>
    <w:rsid w:val="007C3773"/>
    <w:rsid w:val="007C3B26"/>
    <w:rsid w:val="007C44C7"/>
    <w:rsid w:val="007C4AE0"/>
    <w:rsid w:val="007D14D3"/>
    <w:rsid w:val="007D183F"/>
    <w:rsid w:val="007D291A"/>
    <w:rsid w:val="007D385B"/>
    <w:rsid w:val="007D418C"/>
    <w:rsid w:val="007D48A7"/>
    <w:rsid w:val="007D4C35"/>
    <w:rsid w:val="007D540F"/>
    <w:rsid w:val="007D5AE8"/>
    <w:rsid w:val="007D5B96"/>
    <w:rsid w:val="007D60D4"/>
    <w:rsid w:val="007D753F"/>
    <w:rsid w:val="007D7DC3"/>
    <w:rsid w:val="007D7EDE"/>
    <w:rsid w:val="007E0B5D"/>
    <w:rsid w:val="007E2BD3"/>
    <w:rsid w:val="007E307C"/>
    <w:rsid w:val="007E41A2"/>
    <w:rsid w:val="007E5AFC"/>
    <w:rsid w:val="007E69EF"/>
    <w:rsid w:val="007E6E1F"/>
    <w:rsid w:val="007E6FD8"/>
    <w:rsid w:val="007F11FF"/>
    <w:rsid w:val="007F328E"/>
    <w:rsid w:val="007F442C"/>
    <w:rsid w:val="007F51F0"/>
    <w:rsid w:val="007F5DD2"/>
    <w:rsid w:val="007F69B3"/>
    <w:rsid w:val="007F75F0"/>
    <w:rsid w:val="008014B5"/>
    <w:rsid w:val="00802520"/>
    <w:rsid w:val="0080271D"/>
    <w:rsid w:val="00802EAA"/>
    <w:rsid w:val="00803012"/>
    <w:rsid w:val="00803BDD"/>
    <w:rsid w:val="00805AD0"/>
    <w:rsid w:val="008068AA"/>
    <w:rsid w:val="00806EF6"/>
    <w:rsid w:val="00810747"/>
    <w:rsid w:val="008127C1"/>
    <w:rsid w:val="0081341C"/>
    <w:rsid w:val="0081370E"/>
    <w:rsid w:val="008152AE"/>
    <w:rsid w:val="00815889"/>
    <w:rsid w:val="008173CC"/>
    <w:rsid w:val="0081744D"/>
    <w:rsid w:val="00817DFD"/>
    <w:rsid w:val="0082002B"/>
    <w:rsid w:val="008201AC"/>
    <w:rsid w:val="008201F7"/>
    <w:rsid w:val="008204BA"/>
    <w:rsid w:val="00820AC1"/>
    <w:rsid w:val="00820E6B"/>
    <w:rsid w:val="00821A60"/>
    <w:rsid w:val="00822084"/>
    <w:rsid w:val="0082366E"/>
    <w:rsid w:val="008247C7"/>
    <w:rsid w:val="0082544A"/>
    <w:rsid w:val="00825A50"/>
    <w:rsid w:val="00827FC0"/>
    <w:rsid w:val="008303D4"/>
    <w:rsid w:val="00830CA0"/>
    <w:rsid w:val="00831EEC"/>
    <w:rsid w:val="00832F91"/>
    <w:rsid w:val="008341F6"/>
    <w:rsid w:val="00834B15"/>
    <w:rsid w:val="00834DC2"/>
    <w:rsid w:val="00835B8F"/>
    <w:rsid w:val="00835D4A"/>
    <w:rsid w:val="00835E14"/>
    <w:rsid w:val="00836204"/>
    <w:rsid w:val="00836862"/>
    <w:rsid w:val="00836B90"/>
    <w:rsid w:val="00840449"/>
    <w:rsid w:val="00840BBF"/>
    <w:rsid w:val="00841918"/>
    <w:rsid w:val="008455C1"/>
    <w:rsid w:val="00847B09"/>
    <w:rsid w:val="00851D7C"/>
    <w:rsid w:val="00852C39"/>
    <w:rsid w:val="00855C7C"/>
    <w:rsid w:val="00855E67"/>
    <w:rsid w:val="0085624C"/>
    <w:rsid w:val="008562A0"/>
    <w:rsid w:val="0086088A"/>
    <w:rsid w:val="00860F58"/>
    <w:rsid w:val="00861E2A"/>
    <w:rsid w:val="008629F4"/>
    <w:rsid w:val="00865652"/>
    <w:rsid w:val="008657C5"/>
    <w:rsid w:val="008660DF"/>
    <w:rsid w:val="008675DC"/>
    <w:rsid w:val="00867601"/>
    <w:rsid w:val="00871778"/>
    <w:rsid w:val="00871AE0"/>
    <w:rsid w:val="00871C89"/>
    <w:rsid w:val="00872527"/>
    <w:rsid w:val="008738F9"/>
    <w:rsid w:val="0087429B"/>
    <w:rsid w:val="00874D11"/>
    <w:rsid w:val="00874F92"/>
    <w:rsid w:val="00875918"/>
    <w:rsid w:val="008761F9"/>
    <w:rsid w:val="008772FB"/>
    <w:rsid w:val="008804F8"/>
    <w:rsid w:val="00881176"/>
    <w:rsid w:val="00881F5F"/>
    <w:rsid w:val="00882654"/>
    <w:rsid w:val="00882A8D"/>
    <w:rsid w:val="008835B0"/>
    <w:rsid w:val="008849B6"/>
    <w:rsid w:val="00885A1B"/>
    <w:rsid w:val="008868C6"/>
    <w:rsid w:val="008901E9"/>
    <w:rsid w:val="008902E7"/>
    <w:rsid w:val="0089095C"/>
    <w:rsid w:val="0089123D"/>
    <w:rsid w:val="00892EEB"/>
    <w:rsid w:val="008942AA"/>
    <w:rsid w:val="00895338"/>
    <w:rsid w:val="00895C92"/>
    <w:rsid w:val="0089600B"/>
    <w:rsid w:val="008A0065"/>
    <w:rsid w:val="008A07E1"/>
    <w:rsid w:val="008A0F62"/>
    <w:rsid w:val="008A18F1"/>
    <w:rsid w:val="008A1ADD"/>
    <w:rsid w:val="008A210C"/>
    <w:rsid w:val="008A27AA"/>
    <w:rsid w:val="008A43B6"/>
    <w:rsid w:val="008A565D"/>
    <w:rsid w:val="008A65EC"/>
    <w:rsid w:val="008A7CA7"/>
    <w:rsid w:val="008B011F"/>
    <w:rsid w:val="008B1172"/>
    <w:rsid w:val="008B189A"/>
    <w:rsid w:val="008B1DF2"/>
    <w:rsid w:val="008B1E24"/>
    <w:rsid w:val="008B4573"/>
    <w:rsid w:val="008B5716"/>
    <w:rsid w:val="008B5CE3"/>
    <w:rsid w:val="008C056C"/>
    <w:rsid w:val="008C3DA8"/>
    <w:rsid w:val="008C3E91"/>
    <w:rsid w:val="008C4E3E"/>
    <w:rsid w:val="008C597C"/>
    <w:rsid w:val="008C6B3A"/>
    <w:rsid w:val="008D076F"/>
    <w:rsid w:val="008D0CE6"/>
    <w:rsid w:val="008D1366"/>
    <w:rsid w:val="008D29DA"/>
    <w:rsid w:val="008D2BA6"/>
    <w:rsid w:val="008D3005"/>
    <w:rsid w:val="008D4657"/>
    <w:rsid w:val="008D5DCD"/>
    <w:rsid w:val="008D68DF"/>
    <w:rsid w:val="008D6D27"/>
    <w:rsid w:val="008D762F"/>
    <w:rsid w:val="008E0F57"/>
    <w:rsid w:val="008E10DE"/>
    <w:rsid w:val="008E11CB"/>
    <w:rsid w:val="008E14A3"/>
    <w:rsid w:val="008E25F9"/>
    <w:rsid w:val="008E324C"/>
    <w:rsid w:val="008E3A43"/>
    <w:rsid w:val="008E4747"/>
    <w:rsid w:val="008E60EC"/>
    <w:rsid w:val="008E6464"/>
    <w:rsid w:val="008E6F83"/>
    <w:rsid w:val="008F1760"/>
    <w:rsid w:val="008F4073"/>
    <w:rsid w:val="008F4C5F"/>
    <w:rsid w:val="008F5067"/>
    <w:rsid w:val="008F7A70"/>
    <w:rsid w:val="00900D0C"/>
    <w:rsid w:val="00901D37"/>
    <w:rsid w:val="00901D8B"/>
    <w:rsid w:val="00902CC1"/>
    <w:rsid w:val="009039D0"/>
    <w:rsid w:val="00903B93"/>
    <w:rsid w:val="00904782"/>
    <w:rsid w:val="009108EF"/>
    <w:rsid w:val="009127E2"/>
    <w:rsid w:val="0091296B"/>
    <w:rsid w:val="009152BA"/>
    <w:rsid w:val="00915DE1"/>
    <w:rsid w:val="00915E2C"/>
    <w:rsid w:val="00916B3E"/>
    <w:rsid w:val="00916E95"/>
    <w:rsid w:val="0092017E"/>
    <w:rsid w:val="009203D8"/>
    <w:rsid w:val="00921A7B"/>
    <w:rsid w:val="00921B4C"/>
    <w:rsid w:val="00921DA4"/>
    <w:rsid w:val="00921F74"/>
    <w:rsid w:val="00925BB6"/>
    <w:rsid w:val="00925DFE"/>
    <w:rsid w:val="00925F03"/>
    <w:rsid w:val="00926036"/>
    <w:rsid w:val="00926424"/>
    <w:rsid w:val="009276E3"/>
    <w:rsid w:val="00927A0D"/>
    <w:rsid w:val="00931B55"/>
    <w:rsid w:val="00932199"/>
    <w:rsid w:val="00933CEF"/>
    <w:rsid w:val="0093467B"/>
    <w:rsid w:val="0094123B"/>
    <w:rsid w:val="009416DF"/>
    <w:rsid w:val="00941765"/>
    <w:rsid w:val="00942C32"/>
    <w:rsid w:val="00943DCD"/>
    <w:rsid w:val="009444C4"/>
    <w:rsid w:val="0094581E"/>
    <w:rsid w:val="009466F3"/>
    <w:rsid w:val="00946AB8"/>
    <w:rsid w:val="009476B2"/>
    <w:rsid w:val="0095345B"/>
    <w:rsid w:val="00956A0C"/>
    <w:rsid w:val="00956CCA"/>
    <w:rsid w:val="0095731C"/>
    <w:rsid w:val="00960BE1"/>
    <w:rsid w:val="00960C9D"/>
    <w:rsid w:val="00963411"/>
    <w:rsid w:val="0096360D"/>
    <w:rsid w:val="00965095"/>
    <w:rsid w:val="009652C1"/>
    <w:rsid w:val="00965703"/>
    <w:rsid w:val="00965E04"/>
    <w:rsid w:val="00970162"/>
    <w:rsid w:val="0097027A"/>
    <w:rsid w:val="00970BAD"/>
    <w:rsid w:val="00970FFC"/>
    <w:rsid w:val="00971A9F"/>
    <w:rsid w:val="00972C83"/>
    <w:rsid w:val="00973FDC"/>
    <w:rsid w:val="00975462"/>
    <w:rsid w:val="0097625E"/>
    <w:rsid w:val="00980C27"/>
    <w:rsid w:val="00980DB0"/>
    <w:rsid w:val="00981EE7"/>
    <w:rsid w:val="009826E9"/>
    <w:rsid w:val="0098278C"/>
    <w:rsid w:val="00983303"/>
    <w:rsid w:val="00984265"/>
    <w:rsid w:val="00984967"/>
    <w:rsid w:val="00984DAC"/>
    <w:rsid w:val="00985B25"/>
    <w:rsid w:val="00986435"/>
    <w:rsid w:val="009869A3"/>
    <w:rsid w:val="00990A11"/>
    <w:rsid w:val="009914FC"/>
    <w:rsid w:val="009957DD"/>
    <w:rsid w:val="00996DDF"/>
    <w:rsid w:val="00996EA5"/>
    <w:rsid w:val="009975B0"/>
    <w:rsid w:val="009A16E9"/>
    <w:rsid w:val="009A1F56"/>
    <w:rsid w:val="009A3086"/>
    <w:rsid w:val="009A3CBA"/>
    <w:rsid w:val="009A4119"/>
    <w:rsid w:val="009A553A"/>
    <w:rsid w:val="009A5DA0"/>
    <w:rsid w:val="009B1172"/>
    <w:rsid w:val="009B2C8A"/>
    <w:rsid w:val="009B3A1E"/>
    <w:rsid w:val="009B45B0"/>
    <w:rsid w:val="009B6A74"/>
    <w:rsid w:val="009B7D90"/>
    <w:rsid w:val="009C0341"/>
    <w:rsid w:val="009C0BA2"/>
    <w:rsid w:val="009C1A25"/>
    <w:rsid w:val="009C2224"/>
    <w:rsid w:val="009C2D2C"/>
    <w:rsid w:val="009C324C"/>
    <w:rsid w:val="009C42EF"/>
    <w:rsid w:val="009C58B1"/>
    <w:rsid w:val="009C6E30"/>
    <w:rsid w:val="009C7227"/>
    <w:rsid w:val="009C7C98"/>
    <w:rsid w:val="009D0464"/>
    <w:rsid w:val="009D09B9"/>
    <w:rsid w:val="009D0BC4"/>
    <w:rsid w:val="009D1585"/>
    <w:rsid w:val="009D21D9"/>
    <w:rsid w:val="009D38D2"/>
    <w:rsid w:val="009D4107"/>
    <w:rsid w:val="009D4303"/>
    <w:rsid w:val="009D4B8A"/>
    <w:rsid w:val="009D5119"/>
    <w:rsid w:val="009D6F61"/>
    <w:rsid w:val="009E3EC4"/>
    <w:rsid w:val="009E486B"/>
    <w:rsid w:val="009E55D2"/>
    <w:rsid w:val="009E6145"/>
    <w:rsid w:val="009E7169"/>
    <w:rsid w:val="009E72BC"/>
    <w:rsid w:val="009F0496"/>
    <w:rsid w:val="009F2048"/>
    <w:rsid w:val="009F247E"/>
    <w:rsid w:val="009F26DD"/>
    <w:rsid w:val="009F338B"/>
    <w:rsid w:val="009F3D2F"/>
    <w:rsid w:val="009F4008"/>
    <w:rsid w:val="009F4E5E"/>
    <w:rsid w:val="009F528B"/>
    <w:rsid w:val="009F5982"/>
    <w:rsid w:val="009F5EAF"/>
    <w:rsid w:val="009F6E73"/>
    <w:rsid w:val="009F79C5"/>
    <w:rsid w:val="009F7C28"/>
    <w:rsid w:val="00A0022D"/>
    <w:rsid w:val="00A0042E"/>
    <w:rsid w:val="00A007EE"/>
    <w:rsid w:val="00A0207B"/>
    <w:rsid w:val="00A02DE7"/>
    <w:rsid w:val="00A03869"/>
    <w:rsid w:val="00A043D3"/>
    <w:rsid w:val="00A04457"/>
    <w:rsid w:val="00A04C46"/>
    <w:rsid w:val="00A053D6"/>
    <w:rsid w:val="00A0653F"/>
    <w:rsid w:val="00A0657D"/>
    <w:rsid w:val="00A065A6"/>
    <w:rsid w:val="00A0665F"/>
    <w:rsid w:val="00A06EFF"/>
    <w:rsid w:val="00A101F9"/>
    <w:rsid w:val="00A1084F"/>
    <w:rsid w:val="00A10877"/>
    <w:rsid w:val="00A10ABE"/>
    <w:rsid w:val="00A10C70"/>
    <w:rsid w:val="00A122FD"/>
    <w:rsid w:val="00A1267D"/>
    <w:rsid w:val="00A12E82"/>
    <w:rsid w:val="00A131A9"/>
    <w:rsid w:val="00A14470"/>
    <w:rsid w:val="00A16405"/>
    <w:rsid w:val="00A16910"/>
    <w:rsid w:val="00A1702F"/>
    <w:rsid w:val="00A17710"/>
    <w:rsid w:val="00A2182C"/>
    <w:rsid w:val="00A22A7A"/>
    <w:rsid w:val="00A23C39"/>
    <w:rsid w:val="00A24807"/>
    <w:rsid w:val="00A24B9F"/>
    <w:rsid w:val="00A24CF7"/>
    <w:rsid w:val="00A251C4"/>
    <w:rsid w:val="00A251DB"/>
    <w:rsid w:val="00A25642"/>
    <w:rsid w:val="00A3105A"/>
    <w:rsid w:val="00A32094"/>
    <w:rsid w:val="00A32F0A"/>
    <w:rsid w:val="00A35393"/>
    <w:rsid w:val="00A35C21"/>
    <w:rsid w:val="00A35E75"/>
    <w:rsid w:val="00A3639F"/>
    <w:rsid w:val="00A412C2"/>
    <w:rsid w:val="00A414DA"/>
    <w:rsid w:val="00A417D2"/>
    <w:rsid w:val="00A42842"/>
    <w:rsid w:val="00A42FAE"/>
    <w:rsid w:val="00A43000"/>
    <w:rsid w:val="00A439C4"/>
    <w:rsid w:val="00A4435B"/>
    <w:rsid w:val="00A4510B"/>
    <w:rsid w:val="00A47953"/>
    <w:rsid w:val="00A5162D"/>
    <w:rsid w:val="00A53DCC"/>
    <w:rsid w:val="00A540C2"/>
    <w:rsid w:val="00A554FE"/>
    <w:rsid w:val="00A55DFF"/>
    <w:rsid w:val="00A57669"/>
    <w:rsid w:val="00A57837"/>
    <w:rsid w:val="00A610FA"/>
    <w:rsid w:val="00A612A2"/>
    <w:rsid w:val="00A612B6"/>
    <w:rsid w:val="00A612E8"/>
    <w:rsid w:val="00A620E1"/>
    <w:rsid w:val="00A6277F"/>
    <w:rsid w:val="00A637D0"/>
    <w:rsid w:val="00A64734"/>
    <w:rsid w:val="00A64B14"/>
    <w:rsid w:val="00A64B42"/>
    <w:rsid w:val="00A66435"/>
    <w:rsid w:val="00A701B6"/>
    <w:rsid w:val="00A7176B"/>
    <w:rsid w:val="00A71A69"/>
    <w:rsid w:val="00A71F89"/>
    <w:rsid w:val="00A73A23"/>
    <w:rsid w:val="00A73D08"/>
    <w:rsid w:val="00A74102"/>
    <w:rsid w:val="00A750BF"/>
    <w:rsid w:val="00A76336"/>
    <w:rsid w:val="00A76FEF"/>
    <w:rsid w:val="00A77147"/>
    <w:rsid w:val="00A77439"/>
    <w:rsid w:val="00A77B44"/>
    <w:rsid w:val="00A81415"/>
    <w:rsid w:val="00A830EB"/>
    <w:rsid w:val="00A84970"/>
    <w:rsid w:val="00A84C11"/>
    <w:rsid w:val="00A84F05"/>
    <w:rsid w:val="00A85EB1"/>
    <w:rsid w:val="00A90405"/>
    <w:rsid w:val="00A90DA5"/>
    <w:rsid w:val="00A9197C"/>
    <w:rsid w:val="00A928A0"/>
    <w:rsid w:val="00A95CC6"/>
    <w:rsid w:val="00A95F2D"/>
    <w:rsid w:val="00A97999"/>
    <w:rsid w:val="00AA101B"/>
    <w:rsid w:val="00AA1574"/>
    <w:rsid w:val="00AA5658"/>
    <w:rsid w:val="00AB0233"/>
    <w:rsid w:val="00AB0B0F"/>
    <w:rsid w:val="00AB3569"/>
    <w:rsid w:val="00AB3FF8"/>
    <w:rsid w:val="00AB535E"/>
    <w:rsid w:val="00AB5687"/>
    <w:rsid w:val="00AB58B1"/>
    <w:rsid w:val="00AB6400"/>
    <w:rsid w:val="00AB66BA"/>
    <w:rsid w:val="00AB6B8F"/>
    <w:rsid w:val="00AC085D"/>
    <w:rsid w:val="00AC0BA1"/>
    <w:rsid w:val="00AC20A5"/>
    <w:rsid w:val="00AC28B9"/>
    <w:rsid w:val="00AC32E3"/>
    <w:rsid w:val="00AC35ED"/>
    <w:rsid w:val="00AC4433"/>
    <w:rsid w:val="00AC4D61"/>
    <w:rsid w:val="00AC754C"/>
    <w:rsid w:val="00AD17AC"/>
    <w:rsid w:val="00AD1CEE"/>
    <w:rsid w:val="00AD27D1"/>
    <w:rsid w:val="00AD2B1D"/>
    <w:rsid w:val="00AD3499"/>
    <w:rsid w:val="00AD39A2"/>
    <w:rsid w:val="00AD3CB3"/>
    <w:rsid w:val="00AD5146"/>
    <w:rsid w:val="00AD6E33"/>
    <w:rsid w:val="00AD7112"/>
    <w:rsid w:val="00AE0E76"/>
    <w:rsid w:val="00AE0FEC"/>
    <w:rsid w:val="00AE17DE"/>
    <w:rsid w:val="00AE1F54"/>
    <w:rsid w:val="00AE2CE9"/>
    <w:rsid w:val="00AE3603"/>
    <w:rsid w:val="00AE4632"/>
    <w:rsid w:val="00AE499D"/>
    <w:rsid w:val="00AE7ADC"/>
    <w:rsid w:val="00AE7B03"/>
    <w:rsid w:val="00AE7E63"/>
    <w:rsid w:val="00AE7F3D"/>
    <w:rsid w:val="00AF17E3"/>
    <w:rsid w:val="00AF3DE1"/>
    <w:rsid w:val="00AF3E4B"/>
    <w:rsid w:val="00AF3E60"/>
    <w:rsid w:val="00AF4378"/>
    <w:rsid w:val="00AF5B38"/>
    <w:rsid w:val="00AF64F1"/>
    <w:rsid w:val="00AF7531"/>
    <w:rsid w:val="00B0079A"/>
    <w:rsid w:val="00B02433"/>
    <w:rsid w:val="00B02CF6"/>
    <w:rsid w:val="00B04FED"/>
    <w:rsid w:val="00B0586A"/>
    <w:rsid w:val="00B10A13"/>
    <w:rsid w:val="00B10BB0"/>
    <w:rsid w:val="00B10E94"/>
    <w:rsid w:val="00B10F69"/>
    <w:rsid w:val="00B10FD2"/>
    <w:rsid w:val="00B12692"/>
    <w:rsid w:val="00B14684"/>
    <w:rsid w:val="00B16828"/>
    <w:rsid w:val="00B16B86"/>
    <w:rsid w:val="00B1702C"/>
    <w:rsid w:val="00B2082A"/>
    <w:rsid w:val="00B2243E"/>
    <w:rsid w:val="00B22CA3"/>
    <w:rsid w:val="00B22DED"/>
    <w:rsid w:val="00B2383D"/>
    <w:rsid w:val="00B23A64"/>
    <w:rsid w:val="00B24F16"/>
    <w:rsid w:val="00B25406"/>
    <w:rsid w:val="00B256FD"/>
    <w:rsid w:val="00B2605D"/>
    <w:rsid w:val="00B26293"/>
    <w:rsid w:val="00B26C33"/>
    <w:rsid w:val="00B2722B"/>
    <w:rsid w:val="00B27DED"/>
    <w:rsid w:val="00B309F7"/>
    <w:rsid w:val="00B31351"/>
    <w:rsid w:val="00B3170C"/>
    <w:rsid w:val="00B31794"/>
    <w:rsid w:val="00B31C01"/>
    <w:rsid w:val="00B31D0C"/>
    <w:rsid w:val="00B32C4A"/>
    <w:rsid w:val="00B33B89"/>
    <w:rsid w:val="00B33E54"/>
    <w:rsid w:val="00B3643A"/>
    <w:rsid w:val="00B37EAD"/>
    <w:rsid w:val="00B4001A"/>
    <w:rsid w:val="00B40ADB"/>
    <w:rsid w:val="00B40FA2"/>
    <w:rsid w:val="00B4214C"/>
    <w:rsid w:val="00B4298F"/>
    <w:rsid w:val="00B45657"/>
    <w:rsid w:val="00B461DB"/>
    <w:rsid w:val="00B46D61"/>
    <w:rsid w:val="00B47C3F"/>
    <w:rsid w:val="00B47F54"/>
    <w:rsid w:val="00B50028"/>
    <w:rsid w:val="00B50A3B"/>
    <w:rsid w:val="00B51E04"/>
    <w:rsid w:val="00B52217"/>
    <w:rsid w:val="00B524E9"/>
    <w:rsid w:val="00B53115"/>
    <w:rsid w:val="00B562F3"/>
    <w:rsid w:val="00B573E1"/>
    <w:rsid w:val="00B578DA"/>
    <w:rsid w:val="00B612D2"/>
    <w:rsid w:val="00B614FB"/>
    <w:rsid w:val="00B62452"/>
    <w:rsid w:val="00B62CE5"/>
    <w:rsid w:val="00B633A5"/>
    <w:rsid w:val="00B63A9B"/>
    <w:rsid w:val="00B63DBD"/>
    <w:rsid w:val="00B6495B"/>
    <w:rsid w:val="00B64E1B"/>
    <w:rsid w:val="00B67619"/>
    <w:rsid w:val="00B678AC"/>
    <w:rsid w:val="00B67A67"/>
    <w:rsid w:val="00B71C5A"/>
    <w:rsid w:val="00B7317F"/>
    <w:rsid w:val="00B74514"/>
    <w:rsid w:val="00B75161"/>
    <w:rsid w:val="00B75883"/>
    <w:rsid w:val="00B75B7C"/>
    <w:rsid w:val="00B75E0F"/>
    <w:rsid w:val="00B762D0"/>
    <w:rsid w:val="00B76B06"/>
    <w:rsid w:val="00B76C19"/>
    <w:rsid w:val="00B77312"/>
    <w:rsid w:val="00B774E1"/>
    <w:rsid w:val="00B77A33"/>
    <w:rsid w:val="00B84292"/>
    <w:rsid w:val="00B85AD0"/>
    <w:rsid w:val="00B8602D"/>
    <w:rsid w:val="00B864E9"/>
    <w:rsid w:val="00B875FA"/>
    <w:rsid w:val="00B87641"/>
    <w:rsid w:val="00B9083B"/>
    <w:rsid w:val="00B90CA5"/>
    <w:rsid w:val="00B90DEB"/>
    <w:rsid w:val="00B912B0"/>
    <w:rsid w:val="00B91DEF"/>
    <w:rsid w:val="00B92F35"/>
    <w:rsid w:val="00B94F90"/>
    <w:rsid w:val="00B950FA"/>
    <w:rsid w:val="00B9517F"/>
    <w:rsid w:val="00B95548"/>
    <w:rsid w:val="00B95FB3"/>
    <w:rsid w:val="00B9785E"/>
    <w:rsid w:val="00B97A23"/>
    <w:rsid w:val="00BA05FD"/>
    <w:rsid w:val="00BA2395"/>
    <w:rsid w:val="00BA2F33"/>
    <w:rsid w:val="00BA53E5"/>
    <w:rsid w:val="00BA725A"/>
    <w:rsid w:val="00BB0A47"/>
    <w:rsid w:val="00BB25D4"/>
    <w:rsid w:val="00BB3214"/>
    <w:rsid w:val="00BB39C2"/>
    <w:rsid w:val="00BB4CF0"/>
    <w:rsid w:val="00BB69A8"/>
    <w:rsid w:val="00BC03C6"/>
    <w:rsid w:val="00BC2185"/>
    <w:rsid w:val="00BC26EB"/>
    <w:rsid w:val="00BC3B4E"/>
    <w:rsid w:val="00BC3F96"/>
    <w:rsid w:val="00BC4468"/>
    <w:rsid w:val="00BC5075"/>
    <w:rsid w:val="00BC526A"/>
    <w:rsid w:val="00BC678F"/>
    <w:rsid w:val="00BC67E5"/>
    <w:rsid w:val="00BC6FD1"/>
    <w:rsid w:val="00BD1B85"/>
    <w:rsid w:val="00BD1C20"/>
    <w:rsid w:val="00BD1F17"/>
    <w:rsid w:val="00BD3345"/>
    <w:rsid w:val="00BD343E"/>
    <w:rsid w:val="00BD4612"/>
    <w:rsid w:val="00BD58E7"/>
    <w:rsid w:val="00BE1626"/>
    <w:rsid w:val="00BE1674"/>
    <w:rsid w:val="00BE31AF"/>
    <w:rsid w:val="00BE5BF0"/>
    <w:rsid w:val="00BE63EA"/>
    <w:rsid w:val="00BF02D0"/>
    <w:rsid w:val="00BF0D98"/>
    <w:rsid w:val="00BF11DE"/>
    <w:rsid w:val="00BF1527"/>
    <w:rsid w:val="00BF1F9E"/>
    <w:rsid w:val="00BF20F5"/>
    <w:rsid w:val="00BF24A2"/>
    <w:rsid w:val="00BF2C46"/>
    <w:rsid w:val="00BF2F1F"/>
    <w:rsid w:val="00BF44FB"/>
    <w:rsid w:val="00BF4A5E"/>
    <w:rsid w:val="00BF518C"/>
    <w:rsid w:val="00BF6C70"/>
    <w:rsid w:val="00BF6E1B"/>
    <w:rsid w:val="00BF7044"/>
    <w:rsid w:val="00BF77DB"/>
    <w:rsid w:val="00BF7BE7"/>
    <w:rsid w:val="00C02677"/>
    <w:rsid w:val="00C0310A"/>
    <w:rsid w:val="00C036DE"/>
    <w:rsid w:val="00C03C99"/>
    <w:rsid w:val="00C0420B"/>
    <w:rsid w:val="00C046DB"/>
    <w:rsid w:val="00C048CF"/>
    <w:rsid w:val="00C04EC0"/>
    <w:rsid w:val="00C051EC"/>
    <w:rsid w:val="00C070F2"/>
    <w:rsid w:val="00C07C41"/>
    <w:rsid w:val="00C10EF5"/>
    <w:rsid w:val="00C11379"/>
    <w:rsid w:val="00C11464"/>
    <w:rsid w:val="00C117C6"/>
    <w:rsid w:val="00C12AE6"/>
    <w:rsid w:val="00C13503"/>
    <w:rsid w:val="00C1444C"/>
    <w:rsid w:val="00C154D6"/>
    <w:rsid w:val="00C21770"/>
    <w:rsid w:val="00C262E8"/>
    <w:rsid w:val="00C27C23"/>
    <w:rsid w:val="00C30B16"/>
    <w:rsid w:val="00C317C6"/>
    <w:rsid w:val="00C31925"/>
    <w:rsid w:val="00C34AC8"/>
    <w:rsid w:val="00C3536C"/>
    <w:rsid w:val="00C36987"/>
    <w:rsid w:val="00C36DF0"/>
    <w:rsid w:val="00C402EB"/>
    <w:rsid w:val="00C41118"/>
    <w:rsid w:val="00C4202B"/>
    <w:rsid w:val="00C42210"/>
    <w:rsid w:val="00C43A22"/>
    <w:rsid w:val="00C43E12"/>
    <w:rsid w:val="00C445F9"/>
    <w:rsid w:val="00C44ABC"/>
    <w:rsid w:val="00C459F0"/>
    <w:rsid w:val="00C46129"/>
    <w:rsid w:val="00C50B57"/>
    <w:rsid w:val="00C51377"/>
    <w:rsid w:val="00C521AD"/>
    <w:rsid w:val="00C5227F"/>
    <w:rsid w:val="00C5318E"/>
    <w:rsid w:val="00C551AA"/>
    <w:rsid w:val="00C557E3"/>
    <w:rsid w:val="00C55814"/>
    <w:rsid w:val="00C5607B"/>
    <w:rsid w:val="00C579C5"/>
    <w:rsid w:val="00C60576"/>
    <w:rsid w:val="00C61684"/>
    <w:rsid w:val="00C621D3"/>
    <w:rsid w:val="00C622A2"/>
    <w:rsid w:val="00C62378"/>
    <w:rsid w:val="00C62447"/>
    <w:rsid w:val="00C635CF"/>
    <w:rsid w:val="00C64345"/>
    <w:rsid w:val="00C6639B"/>
    <w:rsid w:val="00C6649D"/>
    <w:rsid w:val="00C66CE4"/>
    <w:rsid w:val="00C67AFD"/>
    <w:rsid w:val="00C7221E"/>
    <w:rsid w:val="00C72FF5"/>
    <w:rsid w:val="00C73EEA"/>
    <w:rsid w:val="00C73FD2"/>
    <w:rsid w:val="00C7422F"/>
    <w:rsid w:val="00C74812"/>
    <w:rsid w:val="00C7513D"/>
    <w:rsid w:val="00C75309"/>
    <w:rsid w:val="00C768A0"/>
    <w:rsid w:val="00C80221"/>
    <w:rsid w:val="00C808BC"/>
    <w:rsid w:val="00C818F8"/>
    <w:rsid w:val="00C81F78"/>
    <w:rsid w:val="00C843A6"/>
    <w:rsid w:val="00C862A0"/>
    <w:rsid w:val="00C87AE7"/>
    <w:rsid w:val="00C87EC1"/>
    <w:rsid w:val="00C90A7D"/>
    <w:rsid w:val="00C90AE4"/>
    <w:rsid w:val="00C912F2"/>
    <w:rsid w:val="00C92283"/>
    <w:rsid w:val="00C94A1A"/>
    <w:rsid w:val="00C94A6A"/>
    <w:rsid w:val="00C94DC7"/>
    <w:rsid w:val="00C95BDD"/>
    <w:rsid w:val="00C9683E"/>
    <w:rsid w:val="00C96B45"/>
    <w:rsid w:val="00C96E79"/>
    <w:rsid w:val="00C97494"/>
    <w:rsid w:val="00CA0845"/>
    <w:rsid w:val="00CA093B"/>
    <w:rsid w:val="00CA377D"/>
    <w:rsid w:val="00CA667F"/>
    <w:rsid w:val="00CA6D9B"/>
    <w:rsid w:val="00CB089C"/>
    <w:rsid w:val="00CB0A7D"/>
    <w:rsid w:val="00CB0E36"/>
    <w:rsid w:val="00CB0F81"/>
    <w:rsid w:val="00CB5C48"/>
    <w:rsid w:val="00CB747F"/>
    <w:rsid w:val="00CB7CB5"/>
    <w:rsid w:val="00CC16A1"/>
    <w:rsid w:val="00CC27FE"/>
    <w:rsid w:val="00CC296B"/>
    <w:rsid w:val="00CC439A"/>
    <w:rsid w:val="00CC5014"/>
    <w:rsid w:val="00CC549B"/>
    <w:rsid w:val="00CC5E59"/>
    <w:rsid w:val="00CC6710"/>
    <w:rsid w:val="00CC6719"/>
    <w:rsid w:val="00CD0E74"/>
    <w:rsid w:val="00CD2A5E"/>
    <w:rsid w:val="00CD3552"/>
    <w:rsid w:val="00CD3BB3"/>
    <w:rsid w:val="00CD5591"/>
    <w:rsid w:val="00CD56F2"/>
    <w:rsid w:val="00CD627A"/>
    <w:rsid w:val="00CD629B"/>
    <w:rsid w:val="00CD68A7"/>
    <w:rsid w:val="00CD6927"/>
    <w:rsid w:val="00CE42DF"/>
    <w:rsid w:val="00CE6588"/>
    <w:rsid w:val="00CE76D1"/>
    <w:rsid w:val="00CF0921"/>
    <w:rsid w:val="00CF16B0"/>
    <w:rsid w:val="00CF1A15"/>
    <w:rsid w:val="00CF20F9"/>
    <w:rsid w:val="00CF2B5A"/>
    <w:rsid w:val="00CF6296"/>
    <w:rsid w:val="00CF6F61"/>
    <w:rsid w:val="00CF728B"/>
    <w:rsid w:val="00D017F5"/>
    <w:rsid w:val="00D018CB"/>
    <w:rsid w:val="00D01FDB"/>
    <w:rsid w:val="00D02C32"/>
    <w:rsid w:val="00D0405A"/>
    <w:rsid w:val="00D048C3"/>
    <w:rsid w:val="00D05FFF"/>
    <w:rsid w:val="00D06E41"/>
    <w:rsid w:val="00D06F25"/>
    <w:rsid w:val="00D111D6"/>
    <w:rsid w:val="00D13866"/>
    <w:rsid w:val="00D144B3"/>
    <w:rsid w:val="00D15B94"/>
    <w:rsid w:val="00D16914"/>
    <w:rsid w:val="00D17411"/>
    <w:rsid w:val="00D17F9A"/>
    <w:rsid w:val="00D202E3"/>
    <w:rsid w:val="00D218CA"/>
    <w:rsid w:val="00D21B9B"/>
    <w:rsid w:val="00D231F5"/>
    <w:rsid w:val="00D23203"/>
    <w:rsid w:val="00D23F1C"/>
    <w:rsid w:val="00D25048"/>
    <w:rsid w:val="00D256F4"/>
    <w:rsid w:val="00D25AB3"/>
    <w:rsid w:val="00D26CCC"/>
    <w:rsid w:val="00D27456"/>
    <w:rsid w:val="00D30E80"/>
    <w:rsid w:val="00D3128F"/>
    <w:rsid w:val="00D346FA"/>
    <w:rsid w:val="00D351AB"/>
    <w:rsid w:val="00D36BF8"/>
    <w:rsid w:val="00D4027F"/>
    <w:rsid w:val="00D40886"/>
    <w:rsid w:val="00D40D97"/>
    <w:rsid w:val="00D42BA3"/>
    <w:rsid w:val="00D435B5"/>
    <w:rsid w:val="00D4378C"/>
    <w:rsid w:val="00D44108"/>
    <w:rsid w:val="00D441E9"/>
    <w:rsid w:val="00D456E2"/>
    <w:rsid w:val="00D46112"/>
    <w:rsid w:val="00D462C5"/>
    <w:rsid w:val="00D4787E"/>
    <w:rsid w:val="00D47BD4"/>
    <w:rsid w:val="00D50C6F"/>
    <w:rsid w:val="00D51CA4"/>
    <w:rsid w:val="00D51ECE"/>
    <w:rsid w:val="00D5269B"/>
    <w:rsid w:val="00D52877"/>
    <w:rsid w:val="00D52D6B"/>
    <w:rsid w:val="00D55625"/>
    <w:rsid w:val="00D560C7"/>
    <w:rsid w:val="00D60D0F"/>
    <w:rsid w:val="00D62254"/>
    <w:rsid w:val="00D624BB"/>
    <w:rsid w:val="00D63F7A"/>
    <w:rsid w:val="00D641E3"/>
    <w:rsid w:val="00D655E7"/>
    <w:rsid w:val="00D65C6B"/>
    <w:rsid w:val="00D66010"/>
    <w:rsid w:val="00D67BB6"/>
    <w:rsid w:val="00D72027"/>
    <w:rsid w:val="00D728EE"/>
    <w:rsid w:val="00D73146"/>
    <w:rsid w:val="00D737FE"/>
    <w:rsid w:val="00D75631"/>
    <w:rsid w:val="00D75CB1"/>
    <w:rsid w:val="00D76049"/>
    <w:rsid w:val="00D76624"/>
    <w:rsid w:val="00D772B7"/>
    <w:rsid w:val="00D7758B"/>
    <w:rsid w:val="00D80213"/>
    <w:rsid w:val="00D804CA"/>
    <w:rsid w:val="00D80F96"/>
    <w:rsid w:val="00D81085"/>
    <w:rsid w:val="00D814CD"/>
    <w:rsid w:val="00D815EE"/>
    <w:rsid w:val="00D817E7"/>
    <w:rsid w:val="00D825A4"/>
    <w:rsid w:val="00D82892"/>
    <w:rsid w:val="00D831BB"/>
    <w:rsid w:val="00D83964"/>
    <w:rsid w:val="00D83E34"/>
    <w:rsid w:val="00D84463"/>
    <w:rsid w:val="00D85351"/>
    <w:rsid w:val="00D8576A"/>
    <w:rsid w:val="00D879EF"/>
    <w:rsid w:val="00D91FD9"/>
    <w:rsid w:val="00D93484"/>
    <w:rsid w:val="00D9461C"/>
    <w:rsid w:val="00D94A39"/>
    <w:rsid w:val="00D9721A"/>
    <w:rsid w:val="00D975CF"/>
    <w:rsid w:val="00D978FF"/>
    <w:rsid w:val="00D97F2C"/>
    <w:rsid w:val="00D97F35"/>
    <w:rsid w:val="00DA117F"/>
    <w:rsid w:val="00DA18D4"/>
    <w:rsid w:val="00DA2F15"/>
    <w:rsid w:val="00DA4F15"/>
    <w:rsid w:val="00DA50AC"/>
    <w:rsid w:val="00DA58E2"/>
    <w:rsid w:val="00DA5BF8"/>
    <w:rsid w:val="00DA75BF"/>
    <w:rsid w:val="00DA7A1A"/>
    <w:rsid w:val="00DA7CF2"/>
    <w:rsid w:val="00DA7F7E"/>
    <w:rsid w:val="00DB06BD"/>
    <w:rsid w:val="00DB0FF6"/>
    <w:rsid w:val="00DB3DF1"/>
    <w:rsid w:val="00DB404B"/>
    <w:rsid w:val="00DB57FE"/>
    <w:rsid w:val="00DC0D08"/>
    <w:rsid w:val="00DC6382"/>
    <w:rsid w:val="00DC772D"/>
    <w:rsid w:val="00DD0059"/>
    <w:rsid w:val="00DD0B8F"/>
    <w:rsid w:val="00DD1AA1"/>
    <w:rsid w:val="00DD3B2E"/>
    <w:rsid w:val="00DD581E"/>
    <w:rsid w:val="00DD6938"/>
    <w:rsid w:val="00DD76C2"/>
    <w:rsid w:val="00DD7A53"/>
    <w:rsid w:val="00DD7A6D"/>
    <w:rsid w:val="00DE17E8"/>
    <w:rsid w:val="00DE2F47"/>
    <w:rsid w:val="00DE30B6"/>
    <w:rsid w:val="00DE33B5"/>
    <w:rsid w:val="00DE3AC1"/>
    <w:rsid w:val="00DE423F"/>
    <w:rsid w:val="00DE47FD"/>
    <w:rsid w:val="00DE4CB9"/>
    <w:rsid w:val="00DE514E"/>
    <w:rsid w:val="00DE5A06"/>
    <w:rsid w:val="00DE6F50"/>
    <w:rsid w:val="00DF040A"/>
    <w:rsid w:val="00DF0668"/>
    <w:rsid w:val="00DF20C4"/>
    <w:rsid w:val="00DF2B70"/>
    <w:rsid w:val="00DF4268"/>
    <w:rsid w:val="00DF65E4"/>
    <w:rsid w:val="00DF7757"/>
    <w:rsid w:val="00E00D37"/>
    <w:rsid w:val="00E00D48"/>
    <w:rsid w:val="00E01020"/>
    <w:rsid w:val="00E0124D"/>
    <w:rsid w:val="00E02FCF"/>
    <w:rsid w:val="00E03446"/>
    <w:rsid w:val="00E03F19"/>
    <w:rsid w:val="00E04533"/>
    <w:rsid w:val="00E04FD0"/>
    <w:rsid w:val="00E05EA3"/>
    <w:rsid w:val="00E0621E"/>
    <w:rsid w:val="00E066D0"/>
    <w:rsid w:val="00E06ABC"/>
    <w:rsid w:val="00E11BE2"/>
    <w:rsid w:val="00E1646A"/>
    <w:rsid w:val="00E1654E"/>
    <w:rsid w:val="00E16AE2"/>
    <w:rsid w:val="00E170F6"/>
    <w:rsid w:val="00E1787D"/>
    <w:rsid w:val="00E205A4"/>
    <w:rsid w:val="00E21910"/>
    <w:rsid w:val="00E21F50"/>
    <w:rsid w:val="00E240CC"/>
    <w:rsid w:val="00E26FCD"/>
    <w:rsid w:val="00E27FD4"/>
    <w:rsid w:val="00E31B6C"/>
    <w:rsid w:val="00E33185"/>
    <w:rsid w:val="00E351E6"/>
    <w:rsid w:val="00E35616"/>
    <w:rsid w:val="00E37846"/>
    <w:rsid w:val="00E405C8"/>
    <w:rsid w:val="00E4060E"/>
    <w:rsid w:val="00E407EA"/>
    <w:rsid w:val="00E40F2F"/>
    <w:rsid w:val="00E4191F"/>
    <w:rsid w:val="00E41960"/>
    <w:rsid w:val="00E420A0"/>
    <w:rsid w:val="00E4257E"/>
    <w:rsid w:val="00E42610"/>
    <w:rsid w:val="00E43E57"/>
    <w:rsid w:val="00E440F4"/>
    <w:rsid w:val="00E4619A"/>
    <w:rsid w:val="00E46D00"/>
    <w:rsid w:val="00E473CB"/>
    <w:rsid w:val="00E47AE2"/>
    <w:rsid w:val="00E500C3"/>
    <w:rsid w:val="00E508AD"/>
    <w:rsid w:val="00E51AFE"/>
    <w:rsid w:val="00E53CF1"/>
    <w:rsid w:val="00E54661"/>
    <w:rsid w:val="00E556C4"/>
    <w:rsid w:val="00E55A2A"/>
    <w:rsid w:val="00E56F6B"/>
    <w:rsid w:val="00E60C48"/>
    <w:rsid w:val="00E62007"/>
    <w:rsid w:val="00E62880"/>
    <w:rsid w:val="00E6343E"/>
    <w:rsid w:val="00E6546C"/>
    <w:rsid w:val="00E65BCD"/>
    <w:rsid w:val="00E66A2F"/>
    <w:rsid w:val="00E70A4B"/>
    <w:rsid w:val="00E71AEB"/>
    <w:rsid w:val="00E72535"/>
    <w:rsid w:val="00E7260E"/>
    <w:rsid w:val="00E7292A"/>
    <w:rsid w:val="00E73B11"/>
    <w:rsid w:val="00E7503E"/>
    <w:rsid w:val="00E750F5"/>
    <w:rsid w:val="00E76138"/>
    <w:rsid w:val="00E7740E"/>
    <w:rsid w:val="00E81C97"/>
    <w:rsid w:val="00E81C98"/>
    <w:rsid w:val="00E83339"/>
    <w:rsid w:val="00E8373A"/>
    <w:rsid w:val="00E848D5"/>
    <w:rsid w:val="00E84A7D"/>
    <w:rsid w:val="00E84F68"/>
    <w:rsid w:val="00E862F7"/>
    <w:rsid w:val="00E86824"/>
    <w:rsid w:val="00E871C1"/>
    <w:rsid w:val="00E903D8"/>
    <w:rsid w:val="00E90C59"/>
    <w:rsid w:val="00E91CD1"/>
    <w:rsid w:val="00E928A2"/>
    <w:rsid w:val="00E93818"/>
    <w:rsid w:val="00E95E78"/>
    <w:rsid w:val="00E96258"/>
    <w:rsid w:val="00EA01B3"/>
    <w:rsid w:val="00EA0727"/>
    <w:rsid w:val="00EA11E2"/>
    <w:rsid w:val="00EA1AFA"/>
    <w:rsid w:val="00EA5CB6"/>
    <w:rsid w:val="00EA5F50"/>
    <w:rsid w:val="00EA6899"/>
    <w:rsid w:val="00EA6F8B"/>
    <w:rsid w:val="00EB34E0"/>
    <w:rsid w:val="00EB4860"/>
    <w:rsid w:val="00EB64E4"/>
    <w:rsid w:val="00EB6701"/>
    <w:rsid w:val="00EB6B0F"/>
    <w:rsid w:val="00EB76E2"/>
    <w:rsid w:val="00EB7EFB"/>
    <w:rsid w:val="00EC14E2"/>
    <w:rsid w:val="00EC1511"/>
    <w:rsid w:val="00EC21B4"/>
    <w:rsid w:val="00EC2506"/>
    <w:rsid w:val="00EC33BE"/>
    <w:rsid w:val="00EC3A72"/>
    <w:rsid w:val="00EC3B35"/>
    <w:rsid w:val="00EC3F42"/>
    <w:rsid w:val="00EC4E36"/>
    <w:rsid w:val="00EC5FAE"/>
    <w:rsid w:val="00EC62F7"/>
    <w:rsid w:val="00EC6679"/>
    <w:rsid w:val="00EC7B59"/>
    <w:rsid w:val="00ED0FDB"/>
    <w:rsid w:val="00ED2A6E"/>
    <w:rsid w:val="00ED602E"/>
    <w:rsid w:val="00ED6C68"/>
    <w:rsid w:val="00ED6D06"/>
    <w:rsid w:val="00ED6DFD"/>
    <w:rsid w:val="00EE032B"/>
    <w:rsid w:val="00EE1125"/>
    <w:rsid w:val="00EE11BD"/>
    <w:rsid w:val="00EE2739"/>
    <w:rsid w:val="00EE30D7"/>
    <w:rsid w:val="00EE3D7A"/>
    <w:rsid w:val="00EE4421"/>
    <w:rsid w:val="00EE4637"/>
    <w:rsid w:val="00EE489C"/>
    <w:rsid w:val="00EE5FED"/>
    <w:rsid w:val="00EE7204"/>
    <w:rsid w:val="00EE75EE"/>
    <w:rsid w:val="00EE7BF6"/>
    <w:rsid w:val="00EE7CC8"/>
    <w:rsid w:val="00EF02B1"/>
    <w:rsid w:val="00EF179F"/>
    <w:rsid w:val="00EF2535"/>
    <w:rsid w:val="00EF269C"/>
    <w:rsid w:val="00EF3400"/>
    <w:rsid w:val="00EF3DC4"/>
    <w:rsid w:val="00EF3E92"/>
    <w:rsid w:val="00EF4B28"/>
    <w:rsid w:val="00F000DC"/>
    <w:rsid w:val="00F01014"/>
    <w:rsid w:val="00F03053"/>
    <w:rsid w:val="00F03B4F"/>
    <w:rsid w:val="00F03D0E"/>
    <w:rsid w:val="00F0534A"/>
    <w:rsid w:val="00F065FC"/>
    <w:rsid w:val="00F06F81"/>
    <w:rsid w:val="00F10D4A"/>
    <w:rsid w:val="00F110B3"/>
    <w:rsid w:val="00F1184E"/>
    <w:rsid w:val="00F14F9C"/>
    <w:rsid w:val="00F16C51"/>
    <w:rsid w:val="00F17560"/>
    <w:rsid w:val="00F20242"/>
    <w:rsid w:val="00F211C4"/>
    <w:rsid w:val="00F228D7"/>
    <w:rsid w:val="00F22E59"/>
    <w:rsid w:val="00F236F3"/>
    <w:rsid w:val="00F2722A"/>
    <w:rsid w:val="00F30154"/>
    <w:rsid w:val="00F30501"/>
    <w:rsid w:val="00F33926"/>
    <w:rsid w:val="00F34796"/>
    <w:rsid w:val="00F34938"/>
    <w:rsid w:val="00F3603E"/>
    <w:rsid w:val="00F37AE1"/>
    <w:rsid w:val="00F41BA6"/>
    <w:rsid w:val="00F4201B"/>
    <w:rsid w:val="00F42150"/>
    <w:rsid w:val="00F45686"/>
    <w:rsid w:val="00F479EF"/>
    <w:rsid w:val="00F50E43"/>
    <w:rsid w:val="00F514BE"/>
    <w:rsid w:val="00F559DF"/>
    <w:rsid w:val="00F56AB0"/>
    <w:rsid w:val="00F57A41"/>
    <w:rsid w:val="00F602EE"/>
    <w:rsid w:val="00F60F9D"/>
    <w:rsid w:val="00F62963"/>
    <w:rsid w:val="00F66CA1"/>
    <w:rsid w:val="00F670A2"/>
    <w:rsid w:val="00F70F3D"/>
    <w:rsid w:val="00F71A00"/>
    <w:rsid w:val="00F71E28"/>
    <w:rsid w:val="00F74404"/>
    <w:rsid w:val="00F83CC9"/>
    <w:rsid w:val="00F844F4"/>
    <w:rsid w:val="00F8505C"/>
    <w:rsid w:val="00F8568D"/>
    <w:rsid w:val="00F86E4D"/>
    <w:rsid w:val="00F90BAF"/>
    <w:rsid w:val="00F92968"/>
    <w:rsid w:val="00F92C3A"/>
    <w:rsid w:val="00F92D2A"/>
    <w:rsid w:val="00F956C3"/>
    <w:rsid w:val="00F96E52"/>
    <w:rsid w:val="00FA1792"/>
    <w:rsid w:val="00FA18E3"/>
    <w:rsid w:val="00FA1E1D"/>
    <w:rsid w:val="00FA208E"/>
    <w:rsid w:val="00FA2316"/>
    <w:rsid w:val="00FA2EED"/>
    <w:rsid w:val="00FA5C40"/>
    <w:rsid w:val="00FA5D15"/>
    <w:rsid w:val="00FA734D"/>
    <w:rsid w:val="00FB1116"/>
    <w:rsid w:val="00FB3CAF"/>
    <w:rsid w:val="00FB4F7B"/>
    <w:rsid w:val="00FC1A54"/>
    <w:rsid w:val="00FC21A9"/>
    <w:rsid w:val="00FC3FE0"/>
    <w:rsid w:val="00FC50D2"/>
    <w:rsid w:val="00FC527C"/>
    <w:rsid w:val="00FC6163"/>
    <w:rsid w:val="00FC67B0"/>
    <w:rsid w:val="00FC6FF0"/>
    <w:rsid w:val="00FD0273"/>
    <w:rsid w:val="00FD0C96"/>
    <w:rsid w:val="00FD152B"/>
    <w:rsid w:val="00FD1711"/>
    <w:rsid w:val="00FD2060"/>
    <w:rsid w:val="00FD3888"/>
    <w:rsid w:val="00FD3F41"/>
    <w:rsid w:val="00FD41C9"/>
    <w:rsid w:val="00FD526C"/>
    <w:rsid w:val="00FD65FE"/>
    <w:rsid w:val="00FD6B40"/>
    <w:rsid w:val="00FD778D"/>
    <w:rsid w:val="00FD78B4"/>
    <w:rsid w:val="00FE16CC"/>
    <w:rsid w:val="00FE2091"/>
    <w:rsid w:val="00FE228F"/>
    <w:rsid w:val="00FE26C0"/>
    <w:rsid w:val="00FE2B06"/>
    <w:rsid w:val="00FE42D6"/>
    <w:rsid w:val="00FE573F"/>
    <w:rsid w:val="00FE580C"/>
    <w:rsid w:val="00FE6563"/>
    <w:rsid w:val="00FE740B"/>
    <w:rsid w:val="00FF105E"/>
    <w:rsid w:val="00FF1AEE"/>
    <w:rsid w:val="00FF534B"/>
    <w:rsid w:val="00FF5F2B"/>
    <w:rsid w:val="00FF6CC9"/>
    <w:rsid w:val="058788F8"/>
    <w:rsid w:val="063F0A11"/>
    <w:rsid w:val="07A3278D"/>
    <w:rsid w:val="15860352"/>
    <w:rsid w:val="1B54C124"/>
    <w:rsid w:val="24938253"/>
    <w:rsid w:val="24BE8595"/>
    <w:rsid w:val="2A1FC846"/>
    <w:rsid w:val="2E760542"/>
    <w:rsid w:val="374A76E6"/>
    <w:rsid w:val="3DE91F06"/>
    <w:rsid w:val="3F998AE2"/>
    <w:rsid w:val="40DA94A7"/>
    <w:rsid w:val="45EBC8EF"/>
    <w:rsid w:val="479002AF"/>
    <w:rsid w:val="493D2888"/>
    <w:rsid w:val="49ECC8E7"/>
    <w:rsid w:val="54CD03DF"/>
    <w:rsid w:val="556D7264"/>
    <w:rsid w:val="58285EE4"/>
    <w:rsid w:val="61A6F6A0"/>
    <w:rsid w:val="639A5AB5"/>
    <w:rsid w:val="66EE4CC1"/>
    <w:rsid w:val="68B49169"/>
    <w:rsid w:val="700AA92B"/>
    <w:rsid w:val="70E59A39"/>
    <w:rsid w:val="7118574E"/>
    <w:rsid w:val="73179397"/>
    <w:rsid w:val="78A88BA3"/>
    <w:rsid w:val="7BD08DFE"/>
    <w:rsid w:val="7EFB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2"/>
    </o:shapelayout>
  </w:shapeDefaults>
  <w:decimalSymbol w:val="."/>
  <w:listSeparator w:val=","/>
  <w14:docId w14:val="2F7D5A69"/>
  <w14:defaultImageDpi w14:val="330"/>
  <w15:docId w15:val="{E66FD4D9-0742-480A-ACA2-E9F39D0F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3A"/>
    <w:rPr>
      <w:rFonts w:ascii="Palatino" w:hAnsi="Palatino"/>
      <w:szCs w:val="24"/>
    </w:rPr>
  </w:style>
  <w:style w:type="paragraph" w:styleId="Heading1">
    <w:name w:val="heading 1"/>
    <w:basedOn w:val="Notessubhead"/>
    <w:next w:val="NotesBody11pt"/>
    <w:link w:val="Heading1Char"/>
    <w:uiPriority w:val="9"/>
    <w:qFormat/>
    <w:rsid w:val="00C13503"/>
    <w:pPr>
      <w:numPr>
        <w:numId w:val="1"/>
      </w:numPr>
      <w:spacing w:before="240" w:after="120"/>
      <w:outlineLvl w:val="0"/>
    </w:pPr>
  </w:style>
  <w:style w:type="paragraph" w:styleId="Heading2">
    <w:name w:val="heading 2"/>
    <w:basedOn w:val="Normal"/>
    <w:next w:val="NotesBody11pt"/>
    <w:link w:val="Heading2Char"/>
    <w:uiPriority w:val="9"/>
    <w:qFormat/>
    <w:rsid w:val="00AD6E33"/>
    <w:pPr>
      <w:keepNext/>
      <w:numPr>
        <w:ilvl w:val="1"/>
        <w:numId w:val="1"/>
      </w:numPr>
      <w:overflowPunct w:val="0"/>
      <w:autoSpaceDE w:val="0"/>
      <w:autoSpaceDN w:val="0"/>
      <w:adjustRightInd w:val="0"/>
      <w:spacing w:before="240" w:after="60"/>
      <w:textAlignment w:val="baseline"/>
      <w:outlineLvl w:val="1"/>
    </w:pPr>
    <w:rPr>
      <w:rFonts w:ascii="Helvetica" w:eastAsia="MS Gothic" w:hAnsi="Helvetica" w:cs="Helvetica"/>
      <w:bCs/>
      <w:color w:val="004C97"/>
      <w:sz w:val="22"/>
      <w:szCs w:val="26"/>
    </w:rPr>
  </w:style>
  <w:style w:type="paragraph" w:styleId="Heading3">
    <w:name w:val="heading 3"/>
    <w:basedOn w:val="Normal"/>
    <w:next w:val="Normal"/>
    <w:link w:val="Heading3Char"/>
    <w:uiPriority w:val="9"/>
    <w:qFormat/>
    <w:rsid w:val="00003ED5"/>
    <w:pPr>
      <w:keepNext/>
      <w:keepLines/>
      <w:numPr>
        <w:ilvl w:val="2"/>
        <w:numId w:val="1"/>
      </w:numPr>
      <w:spacing w:before="200"/>
      <w:outlineLvl w:val="2"/>
    </w:pPr>
    <w:rPr>
      <w:rFonts w:ascii="Helvetica" w:eastAsia="MS Gothic" w:hAnsi="Helvetica" w:cs="Helvetica"/>
      <w:bCs/>
      <w:color w:val="4F81BD"/>
      <w:sz w:val="22"/>
      <w:szCs w:val="22"/>
    </w:rPr>
  </w:style>
  <w:style w:type="paragraph" w:styleId="Heading4">
    <w:name w:val="heading 4"/>
    <w:basedOn w:val="Normal"/>
    <w:next w:val="Normal"/>
    <w:link w:val="Heading4Char"/>
    <w:uiPriority w:val="9"/>
    <w:unhideWhenUsed/>
    <w:qFormat/>
    <w:rsid w:val="00402E14"/>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1792"/>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1792"/>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1792"/>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179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79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8738F9"/>
    <w:pPr>
      <w:keepNext/>
      <w:keepLines/>
      <w:tabs>
        <w:tab w:val="center" w:pos="4680"/>
        <w:tab w:val="right" w:pos="10710"/>
      </w:tabs>
      <w:spacing w:before="120"/>
      <w:ind w:left="-605" w:right="-965"/>
      <w:jc w:val="left"/>
    </w:pPr>
    <w:rPr>
      <w:sz w:val="15"/>
      <w:szCs w:val="15"/>
    </w:rPr>
  </w:style>
  <w:style w:type="character" w:customStyle="1" w:styleId="HeaderChar">
    <w:name w:val="Header Char"/>
    <w:link w:val="Header"/>
    <w:uiPriority w:val="99"/>
    <w:rsid w:val="008738F9"/>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AD6E33"/>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rFonts w:ascii="Helvetica" w:hAnsi="Helvetica"/>
      <w:b/>
      <w:color w:val="004C97"/>
      <w:sz w:val="48"/>
      <w:szCs w:val="28"/>
    </w:rPr>
  </w:style>
  <w:style w:type="paragraph" w:customStyle="1" w:styleId="Subtitle16pt">
    <w:name w:val="Subtitle 16pt"/>
    <w:basedOn w:val="AgendaTitle"/>
    <w:autoRedefine/>
    <w:rsid w:val="007B2E8F"/>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787547"/>
    <w:pPr>
      <w:spacing w:line="300" w:lineRule="auto"/>
      <w:jc w:val="both"/>
    </w:pPr>
    <w:rPr>
      <w:rFonts w:ascii="Helvetica" w:hAnsi="Helvetica"/>
      <w:sz w:val="22"/>
      <w:szCs w:val="22"/>
    </w:rPr>
  </w:style>
  <w:style w:type="table" w:styleId="TableGrid">
    <w:name w:val="Table Grid"/>
    <w:basedOn w:val="TableNormal"/>
    <w:uiPriority w:val="5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autoSpaceDE w:val="0"/>
      <w:autoSpaceDN w:val="0"/>
      <w:adjustRightInd w:val="0"/>
      <w:spacing w:line="320" w:lineRule="atLeast"/>
      <w:textAlignment w:val="center"/>
    </w:pPr>
    <w:rPr>
      <w:rFonts w:ascii="HelveticaNeue-Roman" w:hAnsi="HelveticaNeue-Roman" w:cs="HelveticaNeue-Roman"/>
      <w:color w:val="000000"/>
      <w:sz w:val="22"/>
      <w:szCs w:val="22"/>
    </w:rPr>
  </w:style>
  <w:style w:type="paragraph" w:customStyle="1" w:styleId="Tablesubhead">
    <w:name w:val="Table subhead"/>
    <w:basedOn w:val="Normal"/>
    <w:rsid w:val="00831EEC"/>
    <w:pPr>
      <w:spacing w:before="240" w:after="120" w:line="360" w:lineRule="auto"/>
    </w:pPr>
    <w:rPr>
      <w:rFonts w:ascii="Helvetica" w:hAnsi="Helvetica"/>
      <w:b/>
      <w:color w:val="004C97"/>
    </w:rPr>
  </w:style>
  <w:style w:type="paragraph" w:customStyle="1" w:styleId="Style1">
    <w:name w:val="Style1"/>
    <w:basedOn w:val="Normal"/>
    <w:rsid w:val="000B6145"/>
    <w:pPr>
      <w:spacing w:line="480" w:lineRule="auto"/>
    </w:pPr>
    <w:rPr>
      <w:rFonts w:ascii="Helvetica" w:hAnsi="Helvetica"/>
    </w:r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sz w:val="22"/>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003ED5"/>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rPr>
      <w:rFonts w:ascii="Helvetica" w:hAnsi="Helvetica"/>
    </w:rPr>
  </w:style>
  <w:style w:type="character" w:customStyle="1" w:styleId="Heading1Char">
    <w:name w:val="Heading 1 Char"/>
    <w:basedOn w:val="DefaultParagraphFont"/>
    <w:link w:val="Heading1"/>
    <w:uiPriority w:val="9"/>
    <w:rsid w:val="00C13503"/>
    <w:rPr>
      <w:rFonts w:ascii="Helvetica" w:eastAsia="MS Gothic" w:hAnsi="Helvetica"/>
      <w:b/>
      <w:color w:val="004C97"/>
      <w:spacing w:val="5"/>
      <w:kern w:val="28"/>
      <w:sz w:val="22"/>
      <w:szCs w:val="52"/>
    </w:rPr>
  </w:style>
  <w:style w:type="paragraph" w:styleId="TOC1">
    <w:name w:val="toc 1"/>
    <w:next w:val="Normal"/>
    <w:autoRedefine/>
    <w:uiPriority w:val="39"/>
    <w:unhideWhenUsed/>
    <w:rsid w:val="001062B2"/>
    <w:pPr>
      <w:tabs>
        <w:tab w:val="left" w:pos="440"/>
        <w:tab w:val="right" w:leader="dot" w:pos="10070"/>
      </w:tabs>
      <w:spacing w:after="100" w:line="360" w:lineRule="auto"/>
    </w:pPr>
    <w:rPr>
      <w:rFonts w:ascii="Helvetica" w:hAnsi="Helvetica"/>
      <w:noProof/>
      <w:sz w:val="24"/>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link w:val="ListParagraphChar"/>
    <w:uiPriority w:val="1"/>
    <w:qFormat/>
    <w:rsid w:val="005B1C2F"/>
    <w:pPr>
      <w:ind w:left="720"/>
      <w:contextualSpacing/>
    </w:pPr>
  </w:style>
  <w:style w:type="paragraph" w:styleId="Caption">
    <w:name w:val="caption"/>
    <w:next w:val="NotesBody11pt"/>
    <w:link w:val="CaptionChar"/>
    <w:unhideWhenUsed/>
    <w:qFormat/>
    <w:rsid w:val="00F2722A"/>
    <w:pPr>
      <w:keepNext/>
      <w:spacing w:before="120" w:after="120"/>
      <w:ind w:left="360" w:hanging="360"/>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1062B2"/>
    <w:pPr>
      <w:tabs>
        <w:tab w:val="left" w:pos="880"/>
        <w:tab w:val="right" w:leader="dot" w:pos="10070"/>
      </w:tabs>
      <w:spacing w:after="100"/>
      <w:ind w:left="200"/>
    </w:pPr>
    <w:rPr>
      <w:rFonts w:ascii="Helvetica" w:hAnsi="Helvetica"/>
      <w:noProof/>
      <w:sz w:val="22"/>
    </w:rPr>
  </w:style>
  <w:style w:type="character" w:customStyle="1" w:styleId="Heading4Char">
    <w:name w:val="Heading 4 Char"/>
    <w:basedOn w:val="DefaultParagraphFont"/>
    <w:link w:val="Heading4"/>
    <w:uiPriority w:val="9"/>
    <w:rsid w:val="00402E14"/>
    <w:rPr>
      <w:rFonts w:asciiTheme="majorHAnsi" w:eastAsiaTheme="majorEastAsia" w:hAnsiTheme="majorHAnsi" w:cstheme="majorBidi"/>
      <w:i/>
      <w:iCs/>
      <w:color w:val="365F91" w:themeColor="accent1" w:themeShade="BF"/>
      <w:szCs w:val="24"/>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overflowPunct w:val="0"/>
      <w:autoSpaceDE w:val="0"/>
      <w:autoSpaceDN w:val="0"/>
      <w:adjustRightInd w:val="0"/>
      <w:ind w:left="288"/>
      <w:textAlignment w:val="baseline"/>
    </w:pPr>
    <w:rPr>
      <w:rFonts w:ascii="Calibri" w:eastAsia="Times New Roman" w:hAnsi="Calibri"/>
      <w:sz w:val="22"/>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spacing w:after="240" w:line="280" w:lineRule="exact"/>
    </w:pPr>
    <w:rPr>
      <w:rFonts w:asciiTheme="minorHAnsi" w:eastAsia="Cambria" w:hAnsiTheme="minorHAnsi" w:cs="TimesNewRomanPSMT"/>
      <w:noProof/>
      <w:sz w:val="22"/>
    </w:rPr>
  </w:style>
  <w:style w:type="character" w:customStyle="1" w:styleId="CaptionChar">
    <w:name w:val="Caption Char"/>
    <w:basedOn w:val="DefaultParagraphFont"/>
    <w:link w:val="Caption"/>
    <w:rsid w:val="002D72C2"/>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iPriority w:val="99"/>
    <w:unhideWhenUsed/>
    <w:rsid w:val="00D05FFF"/>
    <w:pPr>
      <w:overflowPunct w:val="0"/>
      <w:autoSpaceDE w:val="0"/>
      <w:autoSpaceDN w:val="0"/>
      <w:adjustRightInd w:val="0"/>
      <w:textAlignment w:val="baseline"/>
    </w:pPr>
    <w:rPr>
      <w:rFonts w:asciiTheme="minorHAnsi" w:eastAsia="Times New Roman" w:hAnsiTheme="minorHAnsi"/>
    </w:rPr>
  </w:style>
  <w:style w:type="character" w:customStyle="1" w:styleId="CommentTextChar">
    <w:name w:val="Comment Text Char"/>
    <w:basedOn w:val="DefaultParagraphFont"/>
    <w:link w:val="CommentText"/>
    <w:uiPriority w:val="99"/>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autoSpaceDE w:val="0"/>
      <w:autoSpaceDN w:val="0"/>
      <w:spacing w:before="117"/>
      <w:ind w:left="880" w:hanging="36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qFormat/>
    <w:rsid w:val="00AD6E33"/>
    <w:pPr>
      <w:ind w:left="270"/>
    </w:pPr>
    <w:rPr>
      <w:rFonts w:ascii="Helvetica" w:hAnsi="Helvetica"/>
      <w:sz w:val="22"/>
      <w:szCs w:val="22"/>
    </w:rPr>
  </w:style>
  <w:style w:type="paragraph" w:customStyle="1" w:styleId="Normal2">
    <w:name w:val="Normal 2"/>
    <w:basedOn w:val="NotesBody11pt"/>
    <w:link w:val="Normal2Char"/>
    <w:qFormat/>
    <w:rsid w:val="00110A9C"/>
    <w:pPr>
      <w:ind w:left="720"/>
    </w:pPr>
  </w:style>
  <w:style w:type="character" w:customStyle="1" w:styleId="Normal1Char">
    <w:name w:val="Normal 1 Char"/>
    <w:basedOn w:val="DefaultParagraphFont"/>
    <w:link w:val="Normal1"/>
    <w:rsid w:val="00AD6E33"/>
    <w:rPr>
      <w:rFonts w:ascii="Helvetica" w:hAnsi="Helvetica"/>
      <w:sz w:val="22"/>
      <w:szCs w:val="22"/>
    </w:rPr>
  </w:style>
  <w:style w:type="paragraph" w:customStyle="1" w:styleId="Normal2a">
    <w:name w:val="Normal 2a"/>
    <w:basedOn w:val="Normal2"/>
    <w:link w:val="Normal2aChar"/>
    <w:qFormat/>
    <w:rsid w:val="00110A9C"/>
    <w:pPr>
      <w:numPr>
        <w:numId w:val="3"/>
      </w:numPr>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customStyle="1" w:styleId="Heading5Char">
    <w:name w:val="Heading 5 Char"/>
    <w:basedOn w:val="DefaultParagraphFont"/>
    <w:link w:val="Heading5"/>
    <w:uiPriority w:val="9"/>
    <w:semiHidden/>
    <w:rsid w:val="00FA1792"/>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FA179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FA1792"/>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FA17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1792"/>
    <w:rPr>
      <w:rFonts w:asciiTheme="majorHAnsi" w:eastAsiaTheme="majorEastAsia" w:hAnsiTheme="majorHAnsi" w:cstheme="majorBidi"/>
      <w:i/>
      <w:iCs/>
      <w:color w:val="272727" w:themeColor="text1" w:themeTint="D8"/>
      <w:sz w:val="21"/>
      <w:szCs w:val="21"/>
    </w:rPr>
  </w:style>
  <w:style w:type="paragraph" w:styleId="TOC3">
    <w:name w:val="toc 3"/>
    <w:basedOn w:val="Normal"/>
    <w:uiPriority w:val="39"/>
    <w:qFormat/>
    <w:rsid w:val="00FF105E"/>
    <w:pPr>
      <w:ind w:left="1839" w:hanging="624"/>
    </w:pPr>
    <w:rPr>
      <w:rFonts w:ascii="Helvetica" w:eastAsia="Arial" w:hAnsi="Helvetica" w:cs="Arial"/>
      <w:sz w:val="22"/>
    </w:rPr>
  </w:style>
  <w:style w:type="paragraph" w:customStyle="1" w:styleId="TableParagraph">
    <w:name w:val="Table Paragraph"/>
    <w:basedOn w:val="Normal"/>
    <w:uiPriority w:val="1"/>
    <w:qFormat/>
    <w:rsid w:val="00FA1792"/>
    <w:pPr>
      <w:spacing w:before="19"/>
    </w:pPr>
    <w:rPr>
      <w:rFonts w:ascii="Arial Narrow" w:eastAsia="Arial Narrow" w:hAnsi="Arial Narrow" w:cs="Arial Narrow"/>
    </w:rPr>
  </w:style>
  <w:style w:type="paragraph" w:customStyle="1" w:styleId="p1">
    <w:name w:val="p1"/>
    <w:basedOn w:val="Normal"/>
    <w:rsid w:val="00FA1792"/>
    <w:rPr>
      <w:rFonts w:eastAsiaTheme="minorHAnsi"/>
      <w:sz w:val="18"/>
      <w:szCs w:val="18"/>
    </w:rPr>
  </w:style>
  <w:style w:type="paragraph" w:customStyle="1" w:styleId="Normal20">
    <w:name w:val="Normal2"/>
    <w:basedOn w:val="Normal"/>
    <w:link w:val="Normal2Char0"/>
    <w:uiPriority w:val="1"/>
    <w:qFormat/>
    <w:rsid w:val="00FA1792"/>
    <w:pPr>
      <w:ind w:left="1710"/>
    </w:pPr>
  </w:style>
  <w:style w:type="paragraph" w:customStyle="1" w:styleId="ListPar2">
    <w:name w:val="List Par 2"/>
    <w:basedOn w:val="ListParagraph"/>
    <w:link w:val="ListPar2Char"/>
    <w:uiPriority w:val="1"/>
    <w:qFormat/>
    <w:rsid w:val="00FA1792"/>
    <w:pPr>
      <w:numPr>
        <w:ilvl w:val="2"/>
        <w:numId w:val="4"/>
      </w:numPr>
    </w:pPr>
  </w:style>
  <w:style w:type="character" w:customStyle="1" w:styleId="ListParagraphChar">
    <w:name w:val="List Paragraph Char"/>
    <w:basedOn w:val="DefaultParagraphFont"/>
    <w:link w:val="ListParagraph"/>
    <w:uiPriority w:val="1"/>
    <w:rsid w:val="00FA1792"/>
    <w:rPr>
      <w:rFonts w:ascii="Palatino" w:hAnsi="Palatino"/>
      <w:szCs w:val="24"/>
    </w:rPr>
  </w:style>
  <w:style w:type="character" w:customStyle="1" w:styleId="Normal2Char0">
    <w:name w:val="Normal2 Char"/>
    <w:basedOn w:val="ListParagraphChar"/>
    <w:link w:val="Normal20"/>
    <w:uiPriority w:val="1"/>
    <w:rsid w:val="00FA1792"/>
    <w:rPr>
      <w:rFonts w:ascii="Palatino" w:hAnsi="Palatino"/>
      <w:szCs w:val="24"/>
    </w:rPr>
  </w:style>
  <w:style w:type="character" w:customStyle="1" w:styleId="ListPar2Char">
    <w:name w:val="List Par 2 Char"/>
    <w:basedOn w:val="ListParagraphChar"/>
    <w:link w:val="ListPar2"/>
    <w:uiPriority w:val="1"/>
    <w:rsid w:val="00FA1792"/>
    <w:rPr>
      <w:rFonts w:ascii="Palatino" w:hAnsi="Palatino"/>
      <w:szCs w:val="24"/>
    </w:rPr>
  </w:style>
  <w:style w:type="character" w:styleId="CommentReference">
    <w:name w:val="annotation reference"/>
    <w:basedOn w:val="DefaultParagraphFont"/>
    <w:uiPriority w:val="99"/>
    <w:semiHidden/>
    <w:unhideWhenUsed/>
    <w:rsid w:val="00FA1792"/>
    <w:rPr>
      <w:sz w:val="16"/>
      <w:szCs w:val="16"/>
    </w:rPr>
  </w:style>
  <w:style w:type="paragraph" w:styleId="CommentSubject">
    <w:name w:val="annotation subject"/>
    <w:basedOn w:val="CommentText"/>
    <w:next w:val="CommentText"/>
    <w:link w:val="CommentSubjectChar"/>
    <w:uiPriority w:val="99"/>
    <w:semiHidden/>
    <w:unhideWhenUsed/>
    <w:rsid w:val="00FA1792"/>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FA1792"/>
    <w:rPr>
      <w:rFonts w:ascii="Palatino" w:eastAsia="Times New Roman" w:hAnsi="Palatino"/>
      <w:b/>
      <w:bCs/>
      <w:szCs w:val="24"/>
    </w:rPr>
  </w:style>
  <w:style w:type="paragraph" w:customStyle="1" w:styleId="paragraph">
    <w:name w:val="paragraph"/>
    <w:basedOn w:val="Normal"/>
    <w:rsid w:val="00FA179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A1792"/>
  </w:style>
  <w:style w:type="character" w:customStyle="1" w:styleId="eop">
    <w:name w:val="eop"/>
    <w:basedOn w:val="DefaultParagraphFont"/>
    <w:rsid w:val="00FA1792"/>
  </w:style>
  <w:style w:type="table" w:styleId="PlainTable5">
    <w:name w:val="Plain Table 5"/>
    <w:basedOn w:val="TableNormal"/>
    <w:uiPriority w:val="45"/>
    <w:rsid w:val="00FA1792"/>
    <w:pPr>
      <w:widowControl w:val="0"/>
      <w:autoSpaceDE w:val="0"/>
      <w:autoSpaceDN w:val="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FA1792"/>
    <w:pPr>
      <w:spacing w:before="100" w:beforeAutospacing="1" w:after="100" w:afterAutospacing="1"/>
    </w:pPr>
    <w:rPr>
      <w:rFonts w:ascii="Times New Roman" w:hAnsi="Times New Roman"/>
      <w:sz w:val="24"/>
    </w:rPr>
  </w:style>
  <w:style w:type="character" w:customStyle="1" w:styleId="UnresolvedMention10">
    <w:name w:val="Unresolved Mention10"/>
    <w:basedOn w:val="DefaultParagraphFont"/>
    <w:uiPriority w:val="99"/>
    <w:semiHidden/>
    <w:unhideWhenUsed/>
    <w:rsid w:val="00FA1792"/>
    <w:rPr>
      <w:color w:val="808080"/>
      <w:shd w:val="clear" w:color="auto" w:fill="E6E6E6"/>
    </w:rPr>
  </w:style>
  <w:style w:type="paragraph" w:customStyle="1" w:styleId="tatiana">
    <w:name w:val="tatiana"/>
    <w:basedOn w:val="Heading1"/>
    <w:link w:val="tatianaChar"/>
    <w:qFormat/>
    <w:rsid w:val="00FA1792"/>
    <w:pPr>
      <w:numPr>
        <w:numId w:val="2"/>
      </w:numPr>
    </w:pPr>
  </w:style>
  <w:style w:type="character" w:customStyle="1" w:styleId="tatianaChar">
    <w:name w:val="tatiana Char"/>
    <w:basedOn w:val="Heading1Char"/>
    <w:link w:val="tatiana"/>
    <w:rsid w:val="00FA1792"/>
    <w:rPr>
      <w:rFonts w:ascii="Helvetica" w:eastAsia="MS Gothic" w:hAnsi="Helvetica"/>
      <w:b/>
      <w:color w:val="004C97"/>
      <w:spacing w:val="5"/>
      <w:kern w:val="28"/>
      <w:sz w:val="22"/>
      <w:szCs w:val="52"/>
    </w:rPr>
  </w:style>
  <w:style w:type="table" w:styleId="ListTable3-Accent1">
    <w:name w:val="List Table 3 Accent 1"/>
    <w:basedOn w:val="TableNormal"/>
    <w:uiPriority w:val="48"/>
    <w:rsid w:val="002266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FE2B06"/>
    <w:rPr>
      <w:color w:val="800080" w:themeColor="followedHyperlink"/>
      <w:u w:val="single"/>
    </w:rPr>
  </w:style>
  <w:style w:type="character" w:customStyle="1" w:styleId="UnresolvedMention100">
    <w:name w:val="Unresolved Mention100"/>
    <w:basedOn w:val="DefaultParagraphFont"/>
    <w:uiPriority w:val="99"/>
    <w:semiHidden/>
    <w:unhideWhenUsed/>
    <w:rsid w:val="00A84C11"/>
    <w:rPr>
      <w:color w:val="808080"/>
      <w:shd w:val="clear" w:color="auto" w:fill="E6E6E6"/>
    </w:rPr>
  </w:style>
  <w:style w:type="character" w:customStyle="1" w:styleId="UnresolvedMention1000">
    <w:name w:val="Unresolved Mention1000"/>
    <w:basedOn w:val="DefaultParagraphFont"/>
    <w:uiPriority w:val="99"/>
    <w:semiHidden/>
    <w:unhideWhenUsed/>
    <w:rsid w:val="00810747"/>
    <w:rPr>
      <w:color w:val="808080"/>
      <w:shd w:val="clear" w:color="auto" w:fill="E6E6E6"/>
    </w:rPr>
  </w:style>
  <w:style w:type="character" w:customStyle="1" w:styleId="UnresolvedMention2">
    <w:name w:val="Unresolved Mention2"/>
    <w:basedOn w:val="DefaultParagraphFont"/>
    <w:uiPriority w:val="99"/>
    <w:semiHidden/>
    <w:unhideWhenUsed/>
    <w:rsid w:val="002212D4"/>
    <w:rPr>
      <w:color w:val="605E5C"/>
      <w:shd w:val="clear" w:color="auto" w:fill="E1DFDD"/>
    </w:rPr>
  </w:style>
  <w:style w:type="character" w:styleId="LineNumber">
    <w:name w:val="line number"/>
    <w:basedOn w:val="DefaultParagraphFont"/>
    <w:uiPriority w:val="99"/>
    <w:semiHidden/>
    <w:unhideWhenUsed/>
    <w:rsid w:val="00183075"/>
  </w:style>
  <w:style w:type="paragraph" w:customStyle="1" w:styleId="bulletstyle">
    <w:name w:val="bulletstyle"/>
    <w:basedOn w:val="Normal"/>
    <w:rsid w:val="007E41A2"/>
    <w:pPr>
      <w:spacing w:before="100" w:beforeAutospacing="1" w:after="100" w:afterAutospacing="1"/>
    </w:pPr>
    <w:rPr>
      <w:rFonts w:ascii="Times New Roman" w:eastAsia="Times New Roman" w:hAnsi="Times New Roman"/>
      <w:sz w:val="24"/>
    </w:rPr>
  </w:style>
  <w:style w:type="table" w:customStyle="1" w:styleId="TableGrid1">
    <w:name w:val="Table Grid1"/>
    <w:basedOn w:val="TableNormal"/>
    <w:next w:val="TableGrid"/>
    <w:uiPriority w:val="59"/>
    <w:rsid w:val="0025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0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2925">
      <w:bodyDiv w:val="1"/>
      <w:marLeft w:val="0"/>
      <w:marRight w:val="0"/>
      <w:marTop w:val="0"/>
      <w:marBottom w:val="0"/>
      <w:divBdr>
        <w:top w:val="none" w:sz="0" w:space="0" w:color="auto"/>
        <w:left w:val="none" w:sz="0" w:space="0" w:color="auto"/>
        <w:bottom w:val="none" w:sz="0" w:space="0" w:color="auto"/>
        <w:right w:val="none" w:sz="0" w:space="0" w:color="auto"/>
      </w:divBdr>
      <w:divsChild>
        <w:div w:id="354964266">
          <w:marLeft w:val="547"/>
          <w:marRight w:val="0"/>
          <w:marTop w:val="0"/>
          <w:marBottom w:val="0"/>
          <w:divBdr>
            <w:top w:val="none" w:sz="0" w:space="0" w:color="auto"/>
            <w:left w:val="none" w:sz="0" w:space="0" w:color="auto"/>
            <w:bottom w:val="none" w:sz="0" w:space="0" w:color="auto"/>
            <w:right w:val="none" w:sz="0" w:space="0" w:color="auto"/>
          </w:divBdr>
        </w:div>
      </w:divsChild>
    </w:div>
    <w:div w:id="707530854">
      <w:bodyDiv w:val="1"/>
      <w:marLeft w:val="0"/>
      <w:marRight w:val="0"/>
      <w:marTop w:val="0"/>
      <w:marBottom w:val="0"/>
      <w:divBdr>
        <w:top w:val="none" w:sz="0" w:space="0" w:color="auto"/>
        <w:left w:val="none" w:sz="0" w:space="0" w:color="auto"/>
        <w:bottom w:val="none" w:sz="0" w:space="0" w:color="auto"/>
        <w:right w:val="none" w:sz="0" w:space="0" w:color="auto"/>
      </w:divBdr>
      <w:divsChild>
        <w:div w:id="69425389">
          <w:marLeft w:val="0"/>
          <w:marRight w:val="0"/>
          <w:marTop w:val="450"/>
          <w:marBottom w:val="0"/>
          <w:divBdr>
            <w:top w:val="single" w:sz="6" w:space="0" w:color="000000"/>
            <w:left w:val="single" w:sz="6" w:space="0" w:color="000000"/>
            <w:bottom w:val="single" w:sz="6" w:space="0" w:color="000000"/>
            <w:right w:val="single" w:sz="6" w:space="0" w:color="000000"/>
          </w:divBdr>
          <w:divsChild>
            <w:div w:id="1531602010">
              <w:marLeft w:val="0"/>
              <w:marRight w:val="0"/>
              <w:marTop w:val="0"/>
              <w:marBottom w:val="0"/>
              <w:divBdr>
                <w:top w:val="none" w:sz="0" w:space="0" w:color="auto"/>
                <w:left w:val="none" w:sz="0" w:space="0" w:color="auto"/>
                <w:bottom w:val="none" w:sz="0" w:space="0" w:color="auto"/>
                <w:right w:val="none" w:sz="0" w:space="0" w:color="auto"/>
              </w:divBdr>
              <w:divsChild>
                <w:div w:id="1714959042">
                  <w:marLeft w:val="0"/>
                  <w:marRight w:val="0"/>
                  <w:marTop w:val="0"/>
                  <w:marBottom w:val="0"/>
                  <w:divBdr>
                    <w:top w:val="none" w:sz="0" w:space="0" w:color="auto"/>
                    <w:left w:val="none" w:sz="0" w:space="0" w:color="auto"/>
                    <w:bottom w:val="none" w:sz="0" w:space="0" w:color="auto"/>
                    <w:right w:val="none" w:sz="0" w:space="0" w:color="auto"/>
                  </w:divBdr>
                  <w:divsChild>
                    <w:div w:id="2030837591">
                      <w:marLeft w:val="0"/>
                      <w:marRight w:val="0"/>
                      <w:marTop w:val="300"/>
                      <w:marBottom w:val="0"/>
                      <w:divBdr>
                        <w:top w:val="single" w:sz="2" w:space="0" w:color="000000"/>
                        <w:left w:val="single" w:sz="2" w:space="8" w:color="000000"/>
                        <w:bottom w:val="single" w:sz="2" w:space="0" w:color="000000"/>
                        <w:right w:val="single" w:sz="2" w:space="8" w:color="000000"/>
                      </w:divBdr>
                      <w:divsChild>
                        <w:div w:id="628172579">
                          <w:marLeft w:val="0"/>
                          <w:marRight w:val="0"/>
                          <w:marTop w:val="0"/>
                          <w:marBottom w:val="0"/>
                          <w:divBdr>
                            <w:top w:val="none" w:sz="0" w:space="0" w:color="auto"/>
                            <w:left w:val="none" w:sz="0" w:space="0" w:color="auto"/>
                            <w:bottom w:val="none" w:sz="0" w:space="0" w:color="auto"/>
                            <w:right w:val="none" w:sz="0" w:space="0" w:color="auto"/>
                          </w:divBdr>
                          <w:divsChild>
                            <w:div w:id="1548494585">
                              <w:marLeft w:val="0"/>
                              <w:marRight w:val="0"/>
                              <w:marTop w:val="0"/>
                              <w:marBottom w:val="0"/>
                              <w:divBdr>
                                <w:top w:val="none" w:sz="0" w:space="0" w:color="auto"/>
                                <w:left w:val="none" w:sz="0" w:space="0" w:color="auto"/>
                                <w:bottom w:val="none" w:sz="0" w:space="0" w:color="auto"/>
                                <w:right w:val="none" w:sz="0" w:space="0" w:color="auto"/>
                              </w:divBdr>
                              <w:divsChild>
                                <w:div w:id="1347292720">
                                  <w:marLeft w:val="0"/>
                                  <w:marRight w:val="0"/>
                                  <w:marTop w:val="0"/>
                                  <w:marBottom w:val="0"/>
                                  <w:divBdr>
                                    <w:top w:val="none" w:sz="0" w:space="0" w:color="auto"/>
                                    <w:left w:val="none" w:sz="0" w:space="0" w:color="auto"/>
                                    <w:bottom w:val="none" w:sz="0" w:space="0" w:color="auto"/>
                                    <w:right w:val="none" w:sz="0" w:space="0" w:color="auto"/>
                                  </w:divBdr>
                                  <w:divsChild>
                                    <w:div w:id="1269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66251">
      <w:bodyDiv w:val="1"/>
      <w:marLeft w:val="0"/>
      <w:marRight w:val="0"/>
      <w:marTop w:val="0"/>
      <w:marBottom w:val="0"/>
      <w:divBdr>
        <w:top w:val="none" w:sz="0" w:space="0" w:color="auto"/>
        <w:left w:val="none" w:sz="0" w:space="0" w:color="auto"/>
        <w:bottom w:val="none" w:sz="0" w:space="0" w:color="auto"/>
        <w:right w:val="none" w:sz="0" w:space="0" w:color="auto"/>
      </w:divBdr>
    </w:div>
    <w:div w:id="1510751125">
      <w:bodyDiv w:val="1"/>
      <w:marLeft w:val="0"/>
      <w:marRight w:val="0"/>
      <w:marTop w:val="0"/>
      <w:marBottom w:val="0"/>
      <w:divBdr>
        <w:top w:val="none" w:sz="0" w:space="0" w:color="auto"/>
        <w:left w:val="none" w:sz="0" w:space="0" w:color="auto"/>
        <w:bottom w:val="none" w:sz="0" w:space="0" w:color="auto"/>
        <w:right w:val="none" w:sz="0" w:space="0" w:color="auto"/>
      </w:divBdr>
    </w:div>
    <w:div w:id="1530412950">
      <w:bodyDiv w:val="1"/>
      <w:marLeft w:val="0"/>
      <w:marRight w:val="0"/>
      <w:marTop w:val="0"/>
      <w:marBottom w:val="0"/>
      <w:divBdr>
        <w:top w:val="none" w:sz="0" w:space="0" w:color="auto"/>
        <w:left w:val="none" w:sz="0" w:space="0" w:color="auto"/>
        <w:bottom w:val="none" w:sz="0" w:space="0" w:color="auto"/>
        <w:right w:val="none" w:sz="0" w:space="0" w:color="auto"/>
      </w:divBdr>
    </w:div>
    <w:div w:id="1616909585">
      <w:bodyDiv w:val="1"/>
      <w:marLeft w:val="0"/>
      <w:marRight w:val="0"/>
      <w:marTop w:val="0"/>
      <w:marBottom w:val="0"/>
      <w:divBdr>
        <w:top w:val="none" w:sz="0" w:space="0" w:color="auto"/>
        <w:left w:val="none" w:sz="0" w:space="0" w:color="auto"/>
        <w:bottom w:val="none" w:sz="0" w:space="0" w:color="auto"/>
        <w:right w:val="none" w:sz="0" w:space="0" w:color="auto"/>
      </w:divBdr>
      <w:divsChild>
        <w:div w:id="964850235">
          <w:marLeft w:val="0"/>
          <w:marRight w:val="0"/>
          <w:marTop w:val="0"/>
          <w:marBottom w:val="0"/>
          <w:divBdr>
            <w:top w:val="none" w:sz="0" w:space="0" w:color="auto"/>
            <w:left w:val="none" w:sz="0" w:space="0" w:color="auto"/>
            <w:bottom w:val="none" w:sz="0" w:space="0" w:color="auto"/>
            <w:right w:val="none" w:sz="0" w:space="0" w:color="auto"/>
          </w:divBdr>
          <w:divsChild>
            <w:div w:id="1249926025">
              <w:marLeft w:val="0"/>
              <w:marRight w:val="0"/>
              <w:marTop w:val="0"/>
              <w:marBottom w:val="0"/>
              <w:divBdr>
                <w:top w:val="none" w:sz="0" w:space="0" w:color="auto"/>
                <w:left w:val="none" w:sz="0" w:space="0" w:color="auto"/>
                <w:bottom w:val="none" w:sz="0" w:space="0" w:color="auto"/>
                <w:right w:val="none" w:sz="0" w:space="0" w:color="auto"/>
              </w:divBdr>
              <w:divsChild>
                <w:div w:id="1854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57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6">
          <w:marLeft w:val="0"/>
          <w:marRight w:val="0"/>
          <w:marTop w:val="0"/>
          <w:marBottom w:val="0"/>
          <w:divBdr>
            <w:top w:val="none" w:sz="0" w:space="0" w:color="auto"/>
            <w:left w:val="none" w:sz="0" w:space="0" w:color="auto"/>
            <w:bottom w:val="none" w:sz="0" w:space="0" w:color="auto"/>
            <w:right w:val="none" w:sz="0" w:space="0" w:color="auto"/>
          </w:divBdr>
          <w:divsChild>
            <w:div w:id="371537895">
              <w:marLeft w:val="0"/>
              <w:marRight w:val="0"/>
              <w:marTop w:val="0"/>
              <w:marBottom w:val="0"/>
              <w:divBdr>
                <w:top w:val="none" w:sz="0" w:space="0" w:color="auto"/>
                <w:left w:val="none" w:sz="0" w:space="0" w:color="auto"/>
                <w:bottom w:val="none" w:sz="0" w:space="0" w:color="auto"/>
                <w:right w:val="none" w:sz="0" w:space="0" w:color="auto"/>
              </w:divBdr>
            </w:div>
          </w:divsChild>
        </w:div>
        <w:div w:id="2097747886">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786005572">
                  <w:marLeft w:val="0"/>
                  <w:marRight w:val="0"/>
                  <w:marTop w:val="0"/>
                  <w:marBottom w:val="0"/>
                  <w:divBdr>
                    <w:top w:val="none" w:sz="0" w:space="0" w:color="auto"/>
                    <w:left w:val="none" w:sz="0" w:space="0" w:color="auto"/>
                    <w:bottom w:val="none" w:sz="0" w:space="0" w:color="auto"/>
                    <w:right w:val="none" w:sz="0" w:space="0" w:color="auto"/>
                  </w:divBdr>
                </w:div>
                <w:div w:id="679896994">
                  <w:marLeft w:val="0"/>
                  <w:marRight w:val="0"/>
                  <w:marTop w:val="0"/>
                  <w:marBottom w:val="0"/>
                  <w:divBdr>
                    <w:top w:val="none" w:sz="0" w:space="0" w:color="auto"/>
                    <w:left w:val="none" w:sz="0" w:space="0" w:color="auto"/>
                    <w:bottom w:val="none" w:sz="0" w:space="0" w:color="auto"/>
                    <w:right w:val="none" w:sz="0" w:space="0" w:color="auto"/>
                  </w:divBdr>
                </w:div>
                <w:div w:id="1455321180">
                  <w:marLeft w:val="0"/>
                  <w:marRight w:val="0"/>
                  <w:marTop w:val="0"/>
                  <w:marBottom w:val="0"/>
                  <w:divBdr>
                    <w:top w:val="none" w:sz="0" w:space="0" w:color="auto"/>
                    <w:left w:val="none" w:sz="0" w:space="0" w:color="auto"/>
                    <w:bottom w:val="none" w:sz="0" w:space="0" w:color="auto"/>
                    <w:right w:val="none" w:sz="0" w:space="0" w:color="auto"/>
                  </w:divBdr>
                </w:div>
                <w:div w:id="725109847">
                  <w:marLeft w:val="0"/>
                  <w:marRight w:val="0"/>
                  <w:marTop w:val="0"/>
                  <w:marBottom w:val="0"/>
                  <w:divBdr>
                    <w:top w:val="none" w:sz="0" w:space="0" w:color="auto"/>
                    <w:left w:val="none" w:sz="0" w:space="0" w:color="auto"/>
                    <w:bottom w:val="none" w:sz="0" w:space="0" w:color="auto"/>
                    <w:right w:val="none" w:sz="0" w:space="0" w:color="auto"/>
                  </w:divBdr>
                </w:div>
                <w:div w:id="1052575875">
                  <w:marLeft w:val="0"/>
                  <w:marRight w:val="0"/>
                  <w:marTop w:val="0"/>
                  <w:marBottom w:val="0"/>
                  <w:divBdr>
                    <w:top w:val="none" w:sz="0" w:space="0" w:color="auto"/>
                    <w:left w:val="none" w:sz="0" w:space="0" w:color="auto"/>
                    <w:bottom w:val="none" w:sz="0" w:space="0" w:color="auto"/>
                    <w:right w:val="none" w:sz="0" w:space="0" w:color="auto"/>
                  </w:divBdr>
                </w:div>
                <w:div w:id="4639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016">
      <w:bodyDiv w:val="1"/>
      <w:marLeft w:val="0"/>
      <w:marRight w:val="0"/>
      <w:marTop w:val="0"/>
      <w:marBottom w:val="0"/>
      <w:divBdr>
        <w:top w:val="none" w:sz="0" w:space="0" w:color="auto"/>
        <w:left w:val="none" w:sz="0" w:space="0" w:color="auto"/>
        <w:bottom w:val="none" w:sz="0" w:space="0" w:color="auto"/>
        <w:right w:val="none" w:sz="0" w:space="0" w:color="auto"/>
      </w:divBdr>
      <w:divsChild>
        <w:div w:id="949702494">
          <w:marLeft w:val="0"/>
          <w:marRight w:val="0"/>
          <w:marTop w:val="450"/>
          <w:marBottom w:val="0"/>
          <w:divBdr>
            <w:top w:val="single" w:sz="6" w:space="0" w:color="000000"/>
            <w:left w:val="single" w:sz="6" w:space="0" w:color="000000"/>
            <w:bottom w:val="single" w:sz="6" w:space="0" w:color="000000"/>
            <w:right w:val="single" w:sz="6" w:space="0" w:color="000000"/>
          </w:divBdr>
          <w:divsChild>
            <w:div w:id="714163149">
              <w:marLeft w:val="0"/>
              <w:marRight w:val="0"/>
              <w:marTop w:val="0"/>
              <w:marBottom w:val="0"/>
              <w:divBdr>
                <w:top w:val="none" w:sz="0" w:space="0" w:color="auto"/>
                <w:left w:val="none" w:sz="0" w:space="0" w:color="auto"/>
                <w:bottom w:val="none" w:sz="0" w:space="0" w:color="auto"/>
                <w:right w:val="none" w:sz="0" w:space="0" w:color="auto"/>
              </w:divBdr>
              <w:divsChild>
                <w:div w:id="9383260">
                  <w:marLeft w:val="0"/>
                  <w:marRight w:val="0"/>
                  <w:marTop w:val="0"/>
                  <w:marBottom w:val="0"/>
                  <w:divBdr>
                    <w:top w:val="none" w:sz="0" w:space="0" w:color="auto"/>
                    <w:left w:val="none" w:sz="0" w:space="0" w:color="auto"/>
                    <w:bottom w:val="none" w:sz="0" w:space="0" w:color="auto"/>
                    <w:right w:val="none" w:sz="0" w:space="0" w:color="auto"/>
                  </w:divBdr>
                  <w:divsChild>
                    <w:div w:id="1306620626">
                      <w:marLeft w:val="0"/>
                      <w:marRight w:val="0"/>
                      <w:marTop w:val="300"/>
                      <w:marBottom w:val="0"/>
                      <w:divBdr>
                        <w:top w:val="single" w:sz="2" w:space="0" w:color="000000"/>
                        <w:left w:val="single" w:sz="2" w:space="8" w:color="000000"/>
                        <w:bottom w:val="single" w:sz="2" w:space="0" w:color="000000"/>
                        <w:right w:val="single" w:sz="2" w:space="8" w:color="000000"/>
                      </w:divBdr>
                      <w:divsChild>
                        <w:div w:id="886382242">
                          <w:marLeft w:val="0"/>
                          <w:marRight w:val="0"/>
                          <w:marTop w:val="0"/>
                          <w:marBottom w:val="0"/>
                          <w:divBdr>
                            <w:top w:val="none" w:sz="0" w:space="0" w:color="auto"/>
                            <w:left w:val="none" w:sz="0" w:space="0" w:color="auto"/>
                            <w:bottom w:val="none" w:sz="0" w:space="0" w:color="auto"/>
                            <w:right w:val="none" w:sz="0" w:space="0" w:color="auto"/>
                          </w:divBdr>
                          <w:divsChild>
                            <w:div w:id="636494638">
                              <w:marLeft w:val="0"/>
                              <w:marRight w:val="0"/>
                              <w:marTop w:val="0"/>
                              <w:marBottom w:val="0"/>
                              <w:divBdr>
                                <w:top w:val="none" w:sz="0" w:space="0" w:color="auto"/>
                                <w:left w:val="none" w:sz="0" w:space="0" w:color="auto"/>
                                <w:bottom w:val="none" w:sz="0" w:space="0" w:color="auto"/>
                                <w:right w:val="none" w:sz="0" w:space="0" w:color="auto"/>
                              </w:divBdr>
                              <w:divsChild>
                                <w:div w:id="1060447662">
                                  <w:marLeft w:val="0"/>
                                  <w:marRight w:val="0"/>
                                  <w:marTop w:val="0"/>
                                  <w:marBottom w:val="0"/>
                                  <w:divBdr>
                                    <w:top w:val="none" w:sz="0" w:space="0" w:color="auto"/>
                                    <w:left w:val="none" w:sz="0" w:space="0" w:color="auto"/>
                                    <w:bottom w:val="none" w:sz="0" w:space="0" w:color="auto"/>
                                    <w:right w:val="none" w:sz="0" w:space="0" w:color="auto"/>
                                  </w:divBdr>
                                  <w:divsChild>
                                    <w:div w:id="17512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E8F3402ADD1E4DA05C9668DF8947C8" ma:contentTypeVersion="13" ma:contentTypeDescription="Create a new document." ma:contentTypeScope="" ma:versionID="fa0f4d5ab5aa42cd3ec70f93d4b723a4">
  <xsd:schema xmlns:xsd="http://www.w3.org/2001/XMLSchema" xmlns:xs="http://www.w3.org/2001/XMLSchema" xmlns:p="http://schemas.microsoft.com/office/2006/metadata/properties" xmlns:ns3="7a3a7298-5a2c-4a7b-947f-d94a8383171a" xmlns:ns4="090e68c1-01bf-4ca3-9902-f13c0b861372" targetNamespace="http://schemas.microsoft.com/office/2006/metadata/properties" ma:root="true" ma:fieldsID="2b764e3433437b387c19c7dfe68ae41f" ns3:_="" ns4:_="">
    <xsd:import namespace="7a3a7298-5a2c-4a7b-947f-d94a8383171a"/>
    <xsd:import namespace="090e68c1-01bf-4ca3-9902-f13c0b8613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a7298-5a2c-4a7b-947f-d94a838317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e68c1-01bf-4ca3-9902-f13c0b8613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A6251-40B7-49E4-91B9-61EE48B0AA52}">
  <ds:schemaRefs>
    <ds:schemaRef ds:uri="http://schemas.openxmlformats.org/officeDocument/2006/bibliography"/>
  </ds:schemaRefs>
</ds:datastoreItem>
</file>

<file path=customXml/itemProps2.xml><?xml version="1.0" encoding="utf-8"?>
<ds:datastoreItem xmlns:ds="http://schemas.openxmlformats.org/officeDocument/2006/customXml" ds:itemID="{1F3009CC-C09C-4B98-B8F9-EB85B1ABF1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DF80EE-CA50-4666-9788-8E24D0830475}">
  <ds:schemaRefs>
    <ds:schemaRef ds:uri="http://schemas.microsoft.com/sharepoint/v3/contenttype/forms"/>
  </ds:schemaRefs>
</ds:datastoreItem>
</file>

<file path=customXml/itemProps4.xml><?xml version="1.0" encoding="utf-8"?>
<ds:datastoreItem xmlns:ds="http://schemas.openxmlformats.org/officeDocument/2006/customXml" ds:itemID="{F28F1711-AA32-46B6-AFFD-355D6CD1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a7298-5a2c-4a7b-947f-d94a8383171a"/>
    <ds:schemaRef ds:uri="090e68c1-01bf-4ca3-9902-f13c0b861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12</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Physics Requirement Document (PRD)</vt:lpstr>
    </vt:vector>
  </TitlesOfParts>
  <Manager/>
  <Company>Fermi National Accelerator Laboratory</Company>
  <LinksUpToDate>false</LinksUpToDate>
  <CharactersWithSpaces>16362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Requirement Document (PRD)</dc:title>
  <dc:subject>Vacuum</dc:subject>
  <dc:creator>Alex Martinez</dc:creator>
  <cp:keywords/>
  <dc:description/>
  <cp:lastModifiedBy>Lucy E Nobrega</cp:lastModifiedBy>
  <cp:revision>19</cp:revision>
  <cp:lastPrinted>2019-03-21T14:42:00Z</cp:lastPrinted>
  <dcterms:created xsi:type="dcterms:W3CDTF">2024-01-05T22:32:00Z</dcterms:created>
  <dcterms:modified xsi:type="dcterms:W3CDTF">2024-02-05T23:06:00Z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ED0010228</vt:lpwstr>
  </property>
  <property fmtid="{D5CDD505-2E9C-101B-9397-08002B2CF9AE}" pid="3" name="Project">
    <vt:lpwstr>PIP-II</vt:lpwstr>
  </property>
  <property fmtid="{D5CDD505-2E9C-101B-9397-08002B2CF9AE}" pid="4" name="ContentTypeId">
    <vt:lpwstr>0x0101004EE8F3402ADD1E4DA05C9668DF8947C8</vt:lpwstr>
  </property>
</Properties>
</file>