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E1DDA" w14:textId="3F2C0F3E" w:rsidR="00D04D59" w:rsidRDefault="00D04D59" w:rsidP="00D04D59">
      <w:pPr>
        <w:pStyle w:val="Title"/>
      </w:pPr>
      <w:r>
        <w:t xml:space="preserve">Scope Selection Meeting Summary </w:t>
      </w:r>
      <w:r w:rsidR="00E43955">
        <w:br/>
      </w:r>
      <w:bookmarkStart w:id="0" w:name="_GoBack"/>
      <w:bookmarkEnd w:id="0"/>
      <w:r>
        <w:t>(Nov. 6, 2012)</w:t>
      </w:r>
    </w:p>
    <w:p w14:paraId="3A56B315" w14:textId="2B20EDF8" w:rsidR="00AD1280" w:rsidRPr="00AD1280" w:rsidRDefault="00AD1280" w:rsidP="00AD1280">
      <w:r>
        <w:t>Eric Prebys</w:t>
      </w:r>
    </w:p>
    <w:p w14:paraId="662B723D" w14:textId="4D7FF638" w:rsidR="002E7FE6" w:rsidRPr="002E7FE6" w:rsidRDefault="00D04D59" w:rsidP="002E7FE6">
      <w:pPr>
        <w:rPr>
          <w:rStyle w:val="SubtleEmphasis"/>
        </w:rPr>
      </w:pPr>
      <w:r>
        <w:rPr>
          <w:rStyle w:val="SubtleEmphasis"/>
        </w:rPr>
        <w:t xml:space="preserve">Present: Eric Prebys, Marc </w:t>
      </w:r>
      <w:proofErr w:type="spellStart"/>
      <w:r>
        <w:rPr>
          <w:rStyle w:val="SubtleEmphasis"/>
        </w:rPr>
        <w:t>Kaducak</w:t>
      </w:r>
      <w:proofErr w:type="spellEnd"/>
      <w:r>
        <w:rPr>
          <w:rStyle w:val="SubtleEmphasis"/>
        </w:rPr>
        <w:t xml:space="preserve">, Stuart Henderson, Tom </w:t>
      </w:r>
      <w:proofErr w:type="spellStart"/>
      <w:r>
        <w:rPr>
          <w:rStyle w:val="SubtleEmphasis"/>
        </w:rPr>
        <w:t>Markiewicz</w:t>
      </w:r>
      <w:proofErr w:type="spellEnd"/>
      <w:r>
        <w:rPr>
          <w:rStyle w:val="SubtleEmphasis"/>
        </w:rPr>
        <w:t xml:space="preserve">, </w:t>
      </w:r>
      <w:proofErr w:type="spellStart"/>
      <w:r>
        <w:rPr>
          <w:rStyle w:val="SubtleEmphasis"/>
        </w:rPr>
        <w:t>GianLuca</w:t>
      </w:r>
      <w:proofErr w:type="spellEnd"/>
      <w:r>
        <w:rPr>
          <w:rStyle w:val="SubtleEmphasis"/>
        </w:rPr>
        <w:t xml:space="preserve"> </w:t>
      </w:r>
      <w:proofErr w:type="spellStart"/>
      <w:r>
        <w:rPr>
          <w:rStyle w:val="SubtleEmphasis"/>
        </w:rPr>
        <w:t>Sabbi</w:t>
      </w:r>
      <w:proofErr w:type="spellEnd"/>
      <w:r>
        <w:rPr>
          <w:rStyle w:val="SubtleEmphasis"/>
        </w:rPr>
        <w:t xml:space="preserve">, Bruce Strauss, Oliver </w:t>
      </w:r>
      <w:proofErr w:type="spellStart"/>
      <w:r>
        <w:rPr>
          <w:rStyle w:val="SubtleEmphasis"/>
        </w:rPr>
        <w:t>Br</w:t>
      </w:r>
      <w:r>
        <w:rPr>
          <w:rStyle w:val="SubtleEmphasis"/>
          <w:rFonts w:ascii="Calibri" w:hAnsi="Calibri"/>
        </w:rPr>
        <w:t>ü</w:t>
      </w:r>
      <w:r>
        <w:rPr>
          <w:rStyle w:val="SubtleEmphasis"/>
        </w:rPr>
        <w:t>ning</w:t>
      </w:r>
      <w:proofErr w:type="spellEnd"/>
      <w:r>
        <w:rPr>
          <w:rStyle w:val="SubtleEmphasis"/>
        </w:rPr>
        <w:t xml:space="preserve">, </w:t>
      </w:r>
      <w:proofErr w:type="spellStart"/>
      <w:r>
        <w:rPr>
          <w:rStyle w:val="SubtleEmphasis"/>
        </w:rPr>
        <w:t>Lucio</w:t>
      </w:r>
      <w:proofErr w:type="spellEnd"/>
      <w:r>
        <w:rPr>
          <w:rStyle w:val="SubtleEmphasis"/>
        </w:rPr>
        <w:t xml:space="preserve"> Rossi</w:t>
      </w:r>
    </w:p>
    <w:p w14:paraId="5F5C61FD" w14:textId="75A1C68F" w:rsidR="00EB4587" w:rsidRDefault="00D04D59" w:rsidP="00EB4587">
      <w:pPr>
        <w:pStyle w:val="Heading1"/>
      </w:pPr>
      <w:r>
        <w:t>Summary</w:t>
      </w:r>
    </w:p>
    <w:p w14:paraId="61E697C5" w14:textId="194D3125" w:rsidR="00F37989" w:rsidRDefault="00F37989" w:rsidP="00813FB6">
      <w:pPr>
        <w:jc w:val="both"/>
      </w:pPr>
      <w:r>
        <w:t>Pursuant to the plan put forth in the LARP down selection document</w:t>
      </w:r>
      <w:sdt>
        <w:sdtPr>
          <w:id w:val="-1840534378"/>
          <w:citation/>
        </w:sdtPr>
        <w:sdtEndPr/>
        <w:sdtContent>
          <w:r w:rsidR="004D1F09">
            <w:fldChar w:fldCharType="begin"/>
          </w:r>
          <w:r w:rsidR="00AD1280">
            <w:instrText xml:space="preserve">CITATION Eri12 \l 1033 </w:instrText>
          </w:r>
          <w:r w:rsidR="004D1F09">
            <w:fldChar w:fldCharType="separate"/>
          </w:r>
          <w:r w:rsidR="00AD1280">
            <w:rPr>
              <w:noProof/>
            </w:rPr>
            <w:t xml:space="preserve"> [</w:t>
          </w:r>
          <w:hyperlink w:anchor="Eri12" w:history="1">
            <w:r w:rsidR="00AD1280" w:rsidRPr="00AD1280">
              <w:rPr>
                <w:rStyle w:val="Heading1Char"/>
                <w:rFonts w:asciiTheme="minorHAnsi" w:eastAsiaTheme="minorHAnsi" w:hAnsiTheme="minorHAnsi" w:cstheme="minorBidi"/>
                <w:noProof/>
                <w:color w:val="auto"/>
                <w:sz w:val="22"/>
                <w:szCs w:val="22"/>
              </w:rPr>
              <w:t>1</w:t>
            </w:r>
          </w:hyperlink>
          <w:r w:rsidR="00AD1280">
            <w:rPr>
              <w:noProof/>
            </w:rPr>
            <w:t>]</w:t>
          </w:r>
          <w:r w:rsidR="004D1F09">
            <w:fldChar w:fldCharType="end"/>
          </w:r>
        </w:sdtContent>
      </w:sdt>
      <w:r w:rsidR="00AD1280">
        <w:t>, we held the first meeting of the LARP Scope Selection Committee</w:t>
      </w:r>
      <w:sdt>
        <w:sdtPr>
          <w:id w:val="-1318653507"/>
          <w:citation/>
        </w:sdtPr>
        <w:sdtEndPr/>
        <w:sdtContent>
          <w:r w:rsidR="00AD1280">
            <w:fldChar w:fldCharType="begin"/>
          </w:r>
          <w:r w:rsidR="00AD1280">
            <w:instrText xml:space="preserve"> CITATION EPr12 \l 1033 </w:instrText>
          </w:r>
          <w:r w:rsidR="00AD1280">
            <w:fldChar w:fldCharType="separate"/>
          </w:r>
          <w:r w:rsidR="00AD1280">
            <w:rPr>
              <w:noProof/>
            </w:rPr>
            <w:t xml:space="preserve"> [</w:t>
          </w:r>
          <w:hyperlink w:anchor="EPr12" w:history="1">
            <w:r w:rsidR="00AD1280" w:rsidRPr="00AD1280">
              <w:rPr>
                <w:rStyle w:val="Heading1Char"/>
                <w:rFonts w:asciiTheme="minorHAnsi" w:eastAsiaTheme="minorHAnsi" w:hAnsiTheme="minorHAnsi" w:cstheme="minorBidi"/>
                <w:noProof/>
                <w:color w:val="auto"/>
                <w:sz w:val="22"/>
                <w:szCs w:val="22"/>
              </w:rPr>
              <w:t>2</w:t>
            </w:r>
          </w:hyperlink>
          <w:r w:rsidR="00AD1280">
            <w:rPr>
              <w:noProof/>
            </w:rPr>
            <w:t>]</w:t>
          </w:r>
          <w:r w:rsidR="00AD1280">
            <w:fldChar w:fldCharType="end"/>
          </w:r>
        </w:sdtContent>
      </w:sdt>
      <w:r w:rsidR="00AD1280">
        <w:t xml:space="preserve">.  We did not have all the costs and schedules quite in the consistent form we had hoped for, </w:t>
      </w:r>
      <w:r w:rsidR="001F394D">
        <w:t>it’s sufficient to start laying out the big choices.</w:t>
      </w:r>
      <w:r w:rsidR="00863681">
        <w:t xml:space="preserve">  The costs of the individual projects are described in Marc </w:t>
      </w:r>
      <w:proofErr w:type="spellStart"/>
      <w:r w:rsidR="00863681">
        <w:t>Kaducak’s</w:t>
      </w:r>
      <w:proofErr w:type="spellEnd"/>
      <w:r w:rsidR="00863681">
        <w:t xml:space="preserve"> talk at from the meeting, and the totals are shown in </w:t>
      </w:r>
      <w:r w:rsidR="00AB3F7B">
        <w:fldChar w:fldCharType="begin"/>
      </w:r>
      <w:r w:rsidR="00AB3F7B">
        <w:instrText xml:space="preserve"> REF _Ref213833706 \h </w:instrText>
      </w:r>
      <w:r w:rsidR="00AB3F7B">
        <w:fldChar w:fldCharType="separate"/>
      </w:r>
      <w:r w:rsidR="00AB3F7B">
        <w:t xml:space="preserve">Table </w:t>
      </w:r>
      <w:r w:rsidR="00AB3F7B">
        <w:rPr>
          <w:noProof/>
        </w:rPr>
        <w:t>1</w:t>
      </w:r>
      <w:r w:rsidR="00AB3F7B">
        <w:fldChar w:fldCharType="end"/>
      </w:r>
      <w:r w:rsidR="00AB3F7B">
        <w:t>. This should be compared to the DOE budget guidelines of flat-flat LARP finding at $12.3M/year for four years plus a total project cost of $200M (</w:t>
      </w:r>
      <w:r w:rsidR="00AB3F7B">
        <w:rPr>
          <w:rFonts w:ascii="Calibri" w:hAnsi="Calibri"/>
        </w:rPr>
        <w:t>≈</w:t>
      </w:r>
      <w:r w:rsidR="00AB3F7B">
        <w:t>$250M), in addition to as yet non-quantified contributions from the General Accelerator Development (GAD) funds.   We see that significant scope reduction is necessary.  In addition, the spending profile requires money beyond the LARP budget in the years before FY17.</w:t>
      </w:r>
    </w:p>
    <w:p w14:paraId="5E6A1FCB" w14:textId="05152011" w:rsidR="00AB3F7B" w:rsidRDefault="00AB3F7B" w:rsidP="00AB3F7B">
      <w:pPr>
        <w:pStyle w:val="Caption"/>
        <w:jc w:val="center"/>
      </w:pPr>
      <w:bookmarkStart w:id="1" w:name="_Ref213833706"/>
      <w:r>
        <w:t xml:space="preserve">Table </w:t>
      </w:r>
      <w:r w:rsidR="00E43955">
        <w:fldChar w:fldCharType="begin"/>
      </w:r>
      <w:r w:rsidR="00E43955">
        <w:instrText xml:space="preserve"> SEQ Table \* ARABIC </w:instrText>
      </w:r>
      <w:r w:rsidR="00E43955">
        <w:fldChar w:fldCharType="separate"/>
      </w:r>
      <w:r>
        <w:rPr>
          <w:noProof/>
        </w:rPr>
        <w:t>1</w:t>
      </w:r>
      <w:r w:rsidR="00E43955">
        <w:rPr>
          <w:noProof/>
        </w:rPr>
        <w:fldChar w:fldCharType="end"/>
      </w:r>
      <w:bookmarkEnd w:id="1"/>
      <w:r>
        <w:t xml:space="preserve"> </w:t>
      </w:r>
      <w:r w:rsidR="00E43955" w:rsidRPr="00E43955">
        <w:rPr>
          <w:i/>
        </w:rPr>
        <w:t xml:space="preserve">Preliminary </w:t>
      </w:r>
      <w:r>
        <w:t>Summary of all costs, including R&amp;D and Management.</w:t>
      </w:r>
    </w:p>
    <w:p w14:paraId="037674CF" w14:textId="7E0C6AAC" w:rsidR="00AB3F7B" w:rsidRDefault="00E43955" w:rsidP="00AB3F7B">
      <w:pPr>
        <w:jc w:val="center"/>
      </w:pPr>
      <w:r>
        <w:rPr>
          <w:noProof/>
        </w:rPr>
        <w:drawing>
          <wp:inline distT="0" distB="0" distL="0" distR="0" wp14:anchorId="229F23A7" wp14:editId="7610FF0A">
            <wp:extent cx="5943600" cy="17059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994"/>
                    </a:xfrm>
                    <a:prstGeom prst="rect">
                      <a:avLst/>
                    </a:prstGeom>
                    <a:noFill/>
                    <a:ln>
                      <a:noFill/>
                    </a:ln>
                  </pic:spPr>
                </pic:pic>
              </a:graphicData>
            </a:graphic>
          </wp:inline>
        </w:drawing>
      </w:r>
    </w:p>
    <w:p w14:paraId="65E46E73" w14:textId="1307E608" w:rsidR="00A14FC4" w:rsidRDefault="00A14FC4" w:rsidP="00813FB6">
      <w:pPr>
        <w:jc w:val="both"/>
      </w:pPr>
      <w:r>
        <w:t>We will continue to refine these numbers, but some things are immediately clear:</w:t>
      </w:r>
    </w:p>
    <w:p w14:paraId="076E2DF0" w14:textId="23691F1D" w:rsidR="00A14FC4" w:rsidRPr="006F51B6" w:rsidRDefault="00A14FC4" w:rsidP="00813FB6">
      <w:pPr>
        <w:pStyle w:val="ListParagraph"/>
        <w:numPr>
          <w:ilvl w:val="0"/>
          <w:numId w:val="7"/>
        </w:numPr>
        <w:jc w:val="both"/>
        <w:rPr>
          <w:i/>
        </w:rPr>
      </w:pPr>
      <w:r>
        <w:t xml:space="preserve">The original plan to build half of the cold masses for the IR quads will consume the vast majority of the proposed budget, leaving little room for additional scope.  On the other hand, reducing the US contribution to one quarter of the cold mass could allow for significant additional scope from the other potential projects.  </w:t>
      </w:r>
      <w:r w:rsidRPr="006F51B6">
        <w:rPr>
          <w:i/>
        </w:rPr>
        <w:t>This is the single most important question that the committee must decide.</w:t>
      </w:r>
    </w:p>
    <w:p w14:paraId="5E595044" w14:textId="3F053F40" w:rsidR="00A14FC4" w:rsidRDefault="00A14FC4" w:rsidP="00813FB6">
      <w:pPr>
        <w:pStyle w:val="ListParagraph"/>
        <w:numPr>
          <w:ilvl w:val="0"/>
          <w:numId w:val="7"/>
        </w:numPr>
        <w:jc w:val="both"/>
      </w:pPr>
      <w:r>
        <w:t xml:space="preserve">The guidance from the DOE specifies that </w:t>
      </w:r>
      <w:r w:rsidR="006F51B6">
        <w:t xml:space="preserve">the funding $200M total project cost </w:t>
      </w:r>
      <w:proofErr w:type="gramStart"/>
      <w:r w:rsidR="006F51B6">
        <w:t>is</w:t>
      </w:r>
      <w:proofErr w:type="gramEnd"/>
      <w:r w:rsidR="006F51B6">
        <w:t xml:space="preserve"> based on obtaining CD-3 at roughly the beginning of FY17; however, it’s clear that some fraction of the </w:t>
      </w:r>
      <w:r w:rsidR="006F51B6">
        <w:lastRenderedPageBreak/>
        <w:t>money will be necessary before that to do the necessary R&amp;D and preparatory work.  A realistic budget profile for the years before FY17 is an important question for us to discuss with the DOE.</w:t>
      </w:r>
    </w:p>
    <w:p w14:paraId="1BFC7445" w14:textId="634E262E" w:rsidR="006F51B6" w:rsidRDefault="00AD0E44" w:rsidP="00813FB6">
      <w:pPr>
        <w:pStyle w:val="ListParagraph"/>
        <w:numPr>
          <w:ilvl w:val="0"/>
          <w:numId w:val="7"/>
        </w:numPr>
        <w:jc w:val="both"/>
      </w:pPr>
      <w:r>
        <w:t>Both the Nb</w:t>
      </w:r>
      <w:r w:rsidRPr="00AD0E44">
        <w:rPr>
          <w:vertAlign w:val="subscript"/>
        </w:rPr>
        <w:t>3</w:t>
      </w:r>
      <w:r>
        <w:t>Sn quad project and 11 T dipole project rely on significant contributions from GAD funds.  It’s very important that these funds be quantified and committed. This is a discussion to have with the relevant lab management at the individual labs.</w:t>
      </w:r>
    </w:p>
    <w:p w14:paraId="0678CC9C" w14:textId="4A1103C0" w:rsidR="00AD0E44" w:rsidRDefault="00AD0E44" w:rsidP="00813FB6">
      <w:pPr>
        <w:jc w:val="both"/>
      </w:pPr>
      <w:r>
        <w:t>Action items:</w:t>
      </w:r>
    </w:p>
    <w:p w14:paraId="3F8AC76A" w14:textId="07ED82E6" w:rsidR="00AD0E44" w:rsidRDefault="001C15FE" w:rsidP="00813FB6">
      <w:pPr>
        <w:pStyle w:val="ListParagraph"/>
        <w:numPr>
          <w:ilvl w:val="0"/>
          <w:numId w:val="8"/>
        </w:numPr>
        <w:jc w:val="both"/>
      </w:pPr>
      <w:r>
        <w:t xml:space="preserve">Oliver and </w:t>
      </w:r>
      <w:proofErr w:type="spellStart"/>
      <w:r>
        <w:t>Lucio</w:t>
      </w:r>
      <w:proofErr w:type="spellEnd"/>
      <w:r>
        <w:t xml:space="preserve"> will discuss the prioritization of the projects with the appropriate people at CERN, with particular emphasis on the question of 25% </w:t>
      </w:r>
      <w:proofErr w:type="spellStart"/>
      <w:r>
        <w:t>vs</w:t>
      </w:r>
      <w:proofErr w:type="spellEnd"/>
      <w:r>
        <w:t xml:space="preserve"> 50% of the cold masses for the Nb</w:t>
      </w:r>
      <w:r w:rsidRPr="00E43955">
        <w:rPr>
          <w:vertAlign w:val="subscript"/>
        </w:rPr>
        <w:t>3</w:t>
      </w:r>
      <w:r>
        <w:t>Sn quads.</w:t>
      </w:r>
    </w:p>
    <w:p w14:paraId="60751D2F" w14:textId="09FF6CFD" w:rsidR="001C15FE" w:rsidRDefault="001C15FE" w:rsidP="00813FB6">
      <w:pPr>
        <w:pStyle w:val="ListParagraph"/>
        <w:numPr>
          <w:ilvl w:val="0"/>
          <w:numId w:val="8"/>
        </w:numPr>
        <w:jc w:val="both"/>
      </w:pPr>
      <w:r>
        <w:t>Stuart and I will discuss possible funding profiles with Bruce and the DOE.</w:t>
      </w:r>
    </w:p>
    <w:p w14:paraId="3DC35778" w14:textId="028FC00F" w:rsidR="001C15FE" w:rsidRDefault="001C15FE" w:rsidP="00813FB6">
      <w:pPr>
        <w:pStyle w:val="ListParagraph"/>
        <w:numPr>
          <w:ilvl w:val="0"/>
          <w:numId w:val="8"/>
        </w:numPr>
        <w:jc w:val="both"/>
      </w:pPr>
      <w:r>
        <w:t>We will also work with lab management to quantify the GAD contribution.</w:t>
      </w:r>
    </w:p>
    <w:p w14:paraId="2704E9F2" w14:textId="5FC7BC70" w:rsidR="001C15FE" w:rsidRPr="00F37989" w:rsidRDefault="001C15FE" w:rsidP="00813FB6">
      <w:pPr>
        <w:pStyle w:val="ListParagraph"/>
        <w:numPr>
          <w:ilvl w:val="0"/>
          <w:numId w:val="8"/>
        </w:numPr>
        <w:jc w:val="both"/>
      </w:pPr>
      <w:r>
        <w:t>Marc and I will continue to work with the project representatives to refine and complete the cost estimates.</w:t>
      </w:r>
    </w:p>
    <w:sdt>
      <w:sdtPr>
        <w:rPr>
          <w:rFonts w:asciiTheme="minorHAnsi" w:eastAsiaTheme="minorHAnsi" w:hAnsiTheme="minorHAnsi" w:cstheme="minorBidi"/>
          <w:b w:val="0"/>
          <w:bCs w:val="0"/>
          <w:color w:val="auto"/>
          <w:sz w:val="22"/>
          <w:szCs w:val="22"/>
        </w:rPr>
        <w:id w:val="2025047688"/>
        <w:docPartObj>
          <w:docPartGallery w:val="Bibliographies"/>
          <w:docPartUnique/>
        </w:docPartObj>
      </w:sdtPr>
      <w:sdtEndPr/>
      <w:sdtContent>
        <w:p w14:paraId="66595201" w14:textId="555FBAD0" w:rsidR="00F37989" w:rsidRDefault="00F37989">
          <w:pPr>
            <w:pStyle w:val="Heading1"/>
          </w:pPr>
          <w:r>
            <w:t>Bibliography</w:t>
          </w:r>
        </w:p>
        <w:sdt>
          <w:sdtPr>
            <w:id w:val="111145805"/>
            <w:bibliography/>
          </w:sdtPr>
          <w:sdtEndPr/>
          <w:sdtContent>
            <w:p w14:paraId="2F3E63C1" w14:textId="77777777" w:rsidR="00AD1280" w:rsidRDefault="00F37989" w:rsidP="00AD1280">
              <w:pPr>
                <w:pStyle w:val="Bibliography"/>
                <w:rPr>
                  <w:rFonts w:cs="Times New Roman"/>
                  <w:noProof/>
                  <w:vanish/>
                </w:rPr>
              </w:pPr>
              <w:r>
                <w:fldChar w:fldCharType="begin"/>
              </w:r>
              <w:r>
                <w:instrText xml:space="preserve"> BIBLIOGRAPHY </w:instrText>
              </w:r>
              <w:r>
                <w:fldChar w:fldCharType="separate"/>
              </w:r>
              <w:r w:rsidR="00AD1280">
                <w:rPr>
                  <w:rFonts w:cs="Times New Roman"/>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128"/>
              </w:tblGrid>
              <w:tr w:rsidR="00AD1280" w14:paraId="7B7A9CC2" w14:textId="77777777" w:rsidTr="00AD1280">
                <w:trPr>
                  <w:tblCellSpacing w:w="15" w:type="dxa"/>
                </w:trPr>
                <w:tc>
                  <w:tcPr>
                    <w:tcW w:w="0" w:type="auto"/>
                    <w:hideMark/>
                  </w:tcPr>
                  <w:p w14:paraId="0785B743" w14:textId="77777777" w:rsidR="00AD1280" w:rsidRDefault="00AD1280">
                    <w:pPr>
                      <w:pStyle w:val="Bibliography"/>
                      <w:jc w:val="right"/>
                      <w:rPr>
                        <w:rFonts w:cs="Times New Roman"/>
                        <w:noProof/>
                      </w:rPr>
                    </w:pPr>
                    <w:bookmarkStart w:id="2" w:name="Eri12"/>
                    <w:r>
                      <w:rPr>
                        <w:rFonts w:cs="Times New Roman"/>
                        <w:noProof/>
                      </w:rPr>
                      <w:t>[1]</w:t>
                    </w:r>
                    <w:bookmarkEnd w:id="2"/>
                  </w:p>
                </w:tc>
                <w:tc>
                  <w:tcPr>
                    <w:tcW w:w="0" w:type="auto"/>
                    <w:hideMark/>
                  </w:tcPr>
                  <w:p w14:paraId="2FD43824" w14:textId="77777777" w:rsidR="00AD1280" w:rsidRDefault="00AD1280">
                    <w:pPr>
                      <w:pStyle w:val="Bibliography"/>
                      <w:rPr>
                        <w:rFonts w:cs="Times New Roman"/>
                        <w:noProof/>
                      </w:rPr>
                    </w:pPr>
                    <w:r>
                      <w:rPr>
                        <w:rFonts w:cs="Times New Roman"/>
                        <w:noProof/>
                      </w:rPr>
                      <w:t xml:space="preserve">T. Markiewicz, M. Kaducak, G. Sabbi, S. Henderson E. Prebys. (2012, September) LARP Document Database. [Online]. </w:t>
                    </w:r>
                    <w:hyperlink r:id="rId10" w:history="1">
                      <w:r>
                        <w:rPr>
                          <w:rStyle w:val="Hyperlink"/>
                          <w:rFonts w:cs="Times New Roman"/>
                          <w:noProof/>
                        </w:rPr>
                        <w:t>http://larpdocs.fnal.gov//LARP-public/DocDB/ShowDocument?docid=1069</w:t>
                      </w:r>
                    </w:hyperlink>
                  </w:p>
                </w:tc>
              </w:tr>
              <w:tr w:rsidR="00AD1280" w14:paraId="6E6B3601" w14:textId="77777777" w:rsidTr="00AD1280">
                <w:trPr>
                  <w:tblCellSpacing w:w="15" w:type="dxa"/>
                </w:trPr>
                <w:tc>
                  <w:tcPr>
                    <w:tcW w:w="0" w:type="auto"/>
                    <w:hideMark/>
                  </w:tcPr>
                  <w:p w14:paraId="29DCBCF5" w14:textId="77777777" w:rsidR="00AD1280" w:rsidRDefault="00AD1280">
                    <w:pPr>
                      <w:pStyle w:val="Bibliography"/>
                      <w:jc w:val="right"/>
                      <w:rPr>
                        <w:rFonts w:cs="Times New Roman"/>
                        <w:noProof/>
                      </w:rPr>
                    </w:pPr>
                    <w:r>
                      <w:rPr>
                        <w:rFonts w:cs="Times New Roman"/>
                        <w:noProof/>
                      </w:rPr>
                      <w:t>[2]</w:t>
                    </w:r>
                  </w:p>
                </w:tc>
                <w:tc>
                  <w:tcPr>
                    <w:tcW w:w="0" w:type="auto"/>
                    <w:hideMark/>
                  </w:tcPr>
                  <w:p w14:paraId="1449CDDC" w14:textId="77777777" w:rsidR="00AD1280" w:rsidRDefault="00AD1280">
                    <w:pPr>
                      <w:pStyle w:val="Bibliography"/>
                      <w:rPr>
                        <w:rFonts w:cs="Times New Roman"/>
                        <w:noProof/>
                      </w:rPr>
                    </w:pPr>
                    <w:r>
                      <w:rPr>
                        <w:rFonts w:cs="Times New Roman"/>
                        <w:noProof/>
                      </w:rPr>
                      <w:t xml:space="preserve">M. Kaducak, S. Henderson, T. Markiewicz, G. Sabbi, B. Strauss, L. Rossi, O. Bruning E. Prebys. (2012, November) Scope Selection Meeting. [Online]. </w:t>
                    </w:r>
                    <w:hyperlink r:id="rId11" w:history="1">
                      <w:r>
                        <w:rPr>
                          <w:rStyle w:val="Hyperlink"/>
                          <w:rFonts w:cs="Times New Roman"/>
                          <w:noProof/>
                        </w:rPr>
                        <w:t>https://indico.fnal.gov/conferenceDisplay.py?confId=6111</w:t>
                      </w:r>
                    </w:hyperlink>
                  </w:p>
                </w:tc>
              </w:tr>
            </w:tbl>
            <w:p w14:paraId="2203B056" w14:textId="77777777" w:rsidR="00AD1280" w:rsidRDefault="00AD1280" w:rsidP="00AD1280">
              <w:pPr>
                <w:pStyle w:val="Bibliography"/>
                <w:rPr>
                  <w:rFonts w:eastAsiaTheme="minorEastAsia" w:cs="Times New Roman"/>
                  <w:noProof/>
                  <w:vanish/>
                </w:rPr>
              </w:pPr>
              <w:r>
                <w:rPr>
                  <w:rFonts w:cs="Times New Roman"/>
                  <w:noProof/>
                  <w:vanish/>
                </w:rPr>
                <w:t>x</w:t>
              </w:r>
            </w:p>
            <w:p w14:paraId="0BABF0B8" w14:textId="7E95D6D6" w:rsidR="00F37989" w:rsidRDefault="00F37989" w:rsidP="00AD1280">
              <w:r>
                <w:rPr>
                  <w:b/>
                  <w:bCs/>
                  <w:noProof/>
                </w:rPr>
                <w:fldChar w:fldCharType="end"/>
              </w:r>
            </w:p>
          </w:sdtContent>
        </w:sdt>
      </w:sdtContent>
    </w:sdt>
    <w:p w14:paraId="52D55224" w14:textId="409C6E5F" w:rsidR="00F37989" w:rsidRPr="00F37989" w:rsidRDefault="00F37989" w:rsidP="00F37989"/>
    <w:sectPr w:rsidR="00F37989" w:rsidRPr="00F379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BE0C0" w14:textId="77777777" w:rsidR="00813FB6" w:rsidRDefault="00813FB6" w:rsidP="003B5581">
      <w:pPr>
        <w:spacing w:after="0" w:line="240" w:lineRule="auto"/>
      </w:pPr>
      <w:r>
        <w:separator/>
      </w:r>
    </w:p>
  </w:endnote>
  <w:endnote w:type="continuationSeparator" w:id="0">
    <w:p w14:paraId="59AD4972" w14:textId="77777777" w:rsidR="00813FB6" w:rsidRDefault="00813FB6" w:rsidP="003B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D603C" w14:textId="77777777" w:rsidR="00813FB6" w:rsidRDefault="00813FB6" w:rsidP="003B5581">
      <w:pPr>
        <w:spacing w:after="0" w:line="240" w:lineRule="auto"/>
      </w:pPr>
      <w:r>
        <w:separator/>
      </w:r>
    </w:p>
  </w:footnote>
  <w:footnote w:type="continuationSeparator" w:id="0">
    <w:p w14:paraId="6A1DBCE0" w14:textId="77777777" w:rsidR="00813FB6" w:rsidRDefault="00813FB6" w:rsidP="003B55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AD2"/>
    <w:multiLevelType w:val="hybridMultilevel"/>
    <w:tmpl w:val="649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86684"/>
    <w:multiLevelType w:val="hybridMultilevel"/>
    <w:tmpl w:val="B73AA0DA"/>
    <w:lvl w:ilvl="0" w:tplc="0409000F">
      <w:start w:val="1"/>
      <w:numFmt w:val="decimal"/>
      <w:lvlText w:val="%1."/>
      <w:lvlJc w:val="left"/>
      <w:pPr>
        <w:ind w:left="720" w:hanging="360"/>
      </w:pPr>
      <w:rPr>
        <w:rFonts w:hint="default"/>
      </w:rPr>
    </w:lvl>
    <w:lvl w:ilvl="1" w:tplc="5BFEB81E">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83A0F"/>
    <w:multiLevelType w:val="hybridMultilevel"/>
    <w:tmpl w:val="2C62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90436"/>
    <w:multiLevelType w:val="hybridMultilevel"/>
    <w:tmpl w:val="99829D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9B5769"/>
    <w:multiLevelType w:val="hybridMultilevel"/>
    <w:tmpl w:val="1FC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B3E49"/>
    <w:multiLevelType w:val="hybridMultilevel"/>
    <w:tmpl w:val="6C1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95627"/>
    <w:multiLevelType w:val="hybridMultilevel"/>
    <w:tmpl w:val="CCB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037F1"/>
    <w:multiLevelType w:val="hybridMultilevel"/>
    <w:tmpl w:val="BC1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4C"/>
    <w:rsid w:val="00012440"/>
    <w:rsid w:val="00017A1D"/>
    <w:rsid w:val="000316D6"/>
    <w:rsid w:val="00066501"/>
    <w:rsid w:val="00067373"/>
    <w:rsid w:val="000C4901"/>
    <w:rsid w:val="000C5D3D"/>
    <w:rsid w:val="00150EE4"/>
    <w:rsid w:val="00164781"/>
    <w:rsid w:val="001737FD"/>
    <w:rsid w:val="00177F52"/>
    <w:rsid w:val="001A1E06"/>
    <w:rsid w:val="001C15FE"/>
    <w:rsid w:val="001D56BE"/>
    <w:rsid w:val="001F28FF"/>
    <w:rsid w:val="001F394D"/>
    <w:rsid w:val="00201329"/>
    <w:rsid w:val="00204ECC"/>
    <w:rsid w:val="00206309"/>
    <w:rsid w:val="0021162F"/>
    <w:rsid w:val="00217209"/>
    <w:rsid w:val="002173CE"/>
    <w:rsid w:val="00225C77"/>
    <w:rsid w:val="002365D9"/>
    <w:rsid w:val="00247776"/>
    <w:rsid w:val="0025205D"/>
    <w:rsid w:val="00263DB2"/>
    <w:rsid w:val="002658D8"/>
    <w:rsid w:val="002848D5"/>
    <w:rsid w:val="00290CFE"/>
    <w:rsid w:val="002A053D"/>
    <w:rsid w:val="002C7D89"/>
    <w:rsid w:val="002D524F"/>
    <w:rsid w:val="002E3E12"/>
    <w:rsid w:val="002E7FE6"/>
    <w:rsid w:val="002F6F7F"/>
    <w:rsid w:val="00323E64"/>
    <w:rsid w:val="00326F89"/>
    <w:rsid w:val="00333E35"/>
    <w:rsid w:val="00345860"/>
    <w:rsid w:val="00354A64"/>
    <w:rsid w:val="00364B3C"/>
    <w:rsid w:val="003A2CFF"/>
    <w:rsid w:val="003B414F"/>
    <w:rsid w:val="003B5581"/>
    <w:rsid w:val="003C2280"/>
    <w:rsid w:val="003C5965"/>
    <w:rsid w:val="003D572F"/>
    <w:rsid w:val="003D7DDA"/>
    <w:rsid w:val="004534A8"/>
    <w:rsid w:val="004A0674"/>
    <w:rsid w:val="004B48A6"/>
    <w:rsid w:val="004B4EB1"/>
    <w:rsid w:val="004D1F09"/>
    <w:rsid w:val="004E04C1"/>
    <w:rsid w:val="004E145F"/>
    <w:rsid w:val="004E6CD5"/>
    <w:rsid w:val="005050D1"/>
    <w:rsid w:val="00527F19"/>
    <w:rsid w:val="00567AA8"/>
    <w:rsid w:val="0058552E"/>
    <w:rsid w:val="0059007C"/>
    <w:rsid w:val="005A0FE6"/>
    <w:rsid w:val="005D46E9"/>
    <w:rsid w:val="0061376B"/>
    <w:rsid w:val="0061623F"/>
    <w:rsid w:val="00636E2E"/>
    <w:rsid w:val="0066124A"/>
    <w:rsid w:val="00677BA5"/>
    <w:rsid w:val="00677C37"/>
    <w:rsid w:val="006877C8"/>
    <w:rsid w:val="006A155D"/>
    <w:rsid w:val="006B5DFD"/>
    <w:rsid w:val="006E3500"/>
    <w:rsid w:val="006F51B6"/>
    <w:rsid w:val="00737197"/>
    <w:rsid w:val="007478CB"/>
    <w:rsid w:val="00772835"/>
    <w:rsid w:val="00785A40"/>
    <w:rsid w:val="00785D4C"/>
    <w:rsid w:val="00790ED2"/>
    <w:rsid w:val="00797C7B"/>
    <w:rsid w:val="007B1C3E"/>
    <w:rsid w:val="007B40A3"/>
    <w:rsid w:val="007E3806"/>
    <w:rsid w:val="007E609F"/>
    <w:rsid w:val="00813FB6"/>
    <w:rsid w:val="008439A0"/>
    <w:rsid w:val="00844683"/>
    <w:rsid w:val="00853773"/>
    <w:rsid w:val="00863681"/>
    <w:rsid w:val="008664A7"/>
    <w:rsid w:val="008822CF"/>
    <w:rsid w:val="008D3283"/>
    <w:rsid w:val="00941E2A"/>
    <w:rsid w:val="009A5EF2"/>
    <w:rsid w:val="009C5B88"/>
    <w:rsid w:val="009C68B6"/>
    <w:rsid w:val="009C700B"/>
    <w:rsid w:val="009D402E"/>
    <w:rsid w:val="009E74F0"/>
    <w:rsid w:val="009F0752"/>
    <w:rsid w:val="00A129D2"/>
    <w:rsid w:val="00A14FC4"/>
    <w:rsid w:val="00A17DBB"/>
    <w:rsid w:val="00A21FBC"/>
    <w:rsid w:val="00A476CC"/>
    <w:rsid w:val="00A741E4"/>
    <w:rsid w:val="00AA0E11"/>
    <w:rsid w:val="00AB3F7B"/>
    <w:rsid w:val="00AC3E5F"/>
    <w:rsid w:val="00AD0E44"/>
    <w:rsid w:val="00AD0F1D"/>
    <w:rsid w:val="00AD1280"/>
    <w:rsid w:val="00B07897"/>
    <w:rsid w:val="00B122EE"/>
    <w:rsid w:val="00B31668"/>
    <w:rsid w:val="00B50890"/>
    <w:rsid w:val="00B70EF5"/>
    <w:rsid w:val="00B71BAB"/>
    <w:rsid w:val="00B7273B"/>
    <w:rsid w:val="00B77ABA"/>
    <w:rsid w:val="00B85A14"/>
    <w:rsid w:val="00BC5F09"/>
    <w:rsid w:val="00BD373F"/>
    <w:rsid w:val="00BD5856"/>
    <w:rsid w:val="00BE40AD"/>
    <w:rsid w:val="00BF07E2"/>
    <w:rsid w:val="00C04C62"/>
    <w:rsid w:val="00C3124C"/>
    <w:rsid w:val="00C338D5"/>
    <w:rsid w:val="00C3696B"/>
    <w:rsid w:val="00C50B4C"/>
    <w:rsid w:val="00CB0209"/>
    <w:rsid w:val="00CB2E8A"/>
    <w:rsid w:val="00CC16FD"/>
    <w:rsid w:val="00CD7089"/>
    <w:rsid w:val="00CE6214"/>
    <w:rsid w:val="00CE7F45"/>
    <w:rsid w:val="00D00307"/>
    <w:rsid w:val="00D0451C"/>
    <w:rsid w:val="00D04D59"/>
    <w:rsid w:val="00D20561"/>
    <w:rsid w:val="00D377E1"/>
    <w:rsid w:val="00D53D0E"/>
    <w:rsid w:val="00D563AB"/>
    <w:rsid w:val="00DE598E"/>
    <w:rsid w:val="00DF04D1"/>
    <w:rsid w:val="00E1360A"/>
    <w:rsid w:val="00E321F1"/>
    <w:rsid w:val="00E43955"/>
    <w:rsid w:val="00E46764"/>
    <w:rsid w:val="00E86FD5"/>
    <w:rsid w:val="00E96386"/>
    <w:rsid w:val="00EB4587"/>
    <w:rsid w:val="00ED2449"/>
    <w:rsid w:val="00ED6DE3"/>
    <w:rsid w:val="00EF3DAA"/>
    <w:rsid w:val="00EF50D9"/>
    <w:rsid w:val="00F37989"/>
    <w:rsid w:val="00F41223"/>
    <w:rsid w:val="00F47E00"/>
    <w:rsid w:val="00F53673"/>
    <w:rsid w:val="00F554DE"/>
    <w:rsid w:val="00F610D5"/>
    <w:rsid w:val="00F6580E"/>
    <w:rsid w:val="00F71B05"/>
    <w:rsid w:val="00F87295"/>
    <w:rsid w:val="00FA6534"/>
    <w:rsid w:val="00FB0AC0"/>
    <w:rsid w:val="00FC1AC1"/>
    <w:rsid w:val="00FD23AE"/>
    <w:rsid w:val="00FD3026"/>
    <w:rsid w:val="00FE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F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5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4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A8"/>
    <w:pPr>
      <w:ind w:left="720"/>
      <w:contextualSpacing/>
    </w:pPr>
  </w:style>
  <w:style w:type="character" w:customStyle="1" w:styleId="Heading1Char">
    <w:name w:val="Heading 1 Char"/>
    <w:basedOn w:val="DefaultParagraphFont"/>
    <w:link w:val="Heading1"/>
    <w:uiPriority w:val="9"/>
    <w:rsid w:val="00EB458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B4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5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4A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EF2"/>
    <w:rPr>
      <w:rFonts w:asciiTheme="majorHAnsi" w:eastAsiaTheme="majorEastAsia" w:hAnsiTheme="majorHAnsi" w:cstheme="majorBidi"/>
      <w:b/>
      <w:bCs/>
      <w:color w:val="4F81BD" w:themeColor="accent1"/>
    </w:rPr>
  </w:style>
  <w:style w:type="paragraph" w:styleId="NoSpacing">
    <w:name w:val="No Spacing"/>
    <w:uiPriority w:val="1"/>
    <w:qFormat/>
    <w:rsid w:val="009A5EF2"/>
    <w:pPr>
      <w:spacing w:after="0" w:line="240" w:lineRule="auto"/>
    </w:pPr>
  </w:style>
  <w:style w:type="paragraph" w:styleId="FootnoteText">
    <w:name w:val="footnote text"/>
    <w:basedOn w:val="Normal"/>
    <w:link w:val="FootnoteTextChar"/>
    <w:uiPriority w:val="99"/>
    <w:unhideWhenUsed/>
    <w:rsid w:val="003B5581"/>
    <w:pPr>
      <w:spacing w:after="0" w:line="240" w:lineRule="auto"/>
    </w:pPr>
    <w:rPr>
      <w:sz w:val="24"/>
      <w:szCs w:val="24"/>
    </w:rPr>
  </w:style>
  <w:style w:type="character" w:customStyle="1" w:styleId="FootnoteTextChar">
    <w:name w:val="Footnote Text Char"/>
    <w:basedOn w:val="DefaultParagraphFont"/>
    <w:link w:val="FootnoteText"/>
    <w:uiPriority w:val="99"/>
    <w:rsid w:val="003B5581"/>
    <w:rPr>
      <w:sz w:val="24"/>
      <w:szCs w:val="24"/>
    </w:rPr>
  </w:style>
  <w:style w:type="character" w:styleId="FootnoteReference">
    <w:name w:val="footnote reference"/>
    <w:basedOn w:val="DefaultParagraphFont"/>
    <w:uiPriority w:val="99"/>
    <w:unhideWhenUsed/>
    <w:rsid w:val="003B5581"/>
    <w:rPr>
      <w:vertAlign w:val="superscript"/>
    </w:rPr>
  </w:style>
  <w:style w:type="paragraph" w:styleId="BalloonText">
    <w:name w:val="Balloon Text"/>
    <w:basedOn w:val="Normal"/>
    <w:link w:val="BalloonTextChar"/>
    <w:uiPriority w:val="99"/>
    <w:semiHidden/>
    <w:unhideWhenUsed/>
    <w:rsid w:val="009F07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752"/>
    <w:rPr>
      <w:rFonts w:ascii="Lucida Grande" w:hAnsi="Lucida Grande"/>
      <w:sz w:val="18"/>
      <w:szCs w:val="18"/>
    </w:rPr>
  </w:style>
  <w:style w:type="character" w:styleId="SubtleEmphasis">
    <w:name w:val="Subtle Emphasis"/>
    <w:basedOn w:val="DefaultParagraphFont"/>
    <w:uiPriority w:val="19"/>
    <w:qFormat/>
    <w:rsid w:val="002E7FE6"/>
    <w:rPr>
      <w:i/>
      <w:iCs/>
      <w:color w:val="808080" w:themeColor="text1" w:themeTint="7F"/>
    </w:rPr>
  </w:style>
  <w:style w:type="paragraph" w:styleId="Caption">
    <w:name w:val="caption"/>
    <w:basedOn w:val="Normal"/>
    <w:next w:val="Normal"/>
    <w:uiPriority w:val="35"/>
    <w:unhideWhenUsed/>
    <w:qFormat/>
    <w:rsid w:val="00FD3026"/>
    <w:pPr>
      <w:spacing w:line="240" w:lineRule="auto"/>
    </w:pPr>
    <w:rPr>
      <w:b/>
      <w:bCs/>
      <w:color w:val="4F81BD" w:themeColor="accent1"/>
      <w:sz w:val="18"/>
      <w:szCs w:val="18"/>
    </w:rPr>
  </w:style>
  <w:style w:type="paragraph" w:styleId="Bibliography">
    <w:name w:val="Bibliography"/>
    <w:basedOn w:val="Normal"/>
    <w:next w:val="Normal"/>
    <w:uiPriority w:val="37"/>
    <w:unhideWhenUsed/>
    <w:rsid w:val="004D1F09"/>
  </w:style>
  <w:style w:type="character" w:styleId="Hyperlink">
    <w:name w:val="Hyperlink"/>
    <w:basedOn w:val="DefaultParagraphFont"/>
    <w:uiPriority w:val="99"/>
    <w:semiHidden/>
    <w:unhideWhenUsed/>
    <w:rsid w:val="00AD12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5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4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A8"/>
    <w:pPr>
      <w:ind w:left="720"/>
      <w:contextualSpacing/>
    </w:pPr>
  </w:style>
  <w:style w:type="character" w:customStyle="1" w:styleId="Heading1Char">
    <w:name w:val="Heading 1 Char"/>
    <w:basedOn w:val="DefaultParagraphFont"/>
    <w:link w:val="Heading1"/>
    <w:uiPriority w:val="9"/>
    <w:rsid w:val="00EB458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B4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5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4A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EF2"/>
    <w:rPr>
      <w:rFonts w:asciiTheme="majorHAnsi" w:eastAsiaTheme="majorEastAsia" w:hAnsiTheme="majorHAnsi" w:cstheme="majorBidi"/>
      <w:b/>
      <w:bCs/>
      <w:color w:val="4F81BD" w:themeColor="accent1"/>
    </w:rPr>
  </w:style>
  <w:style w:type="paragraph" w:styleId="NoSpacing">
    <w:name w:val="No Spacing"/>
    <w:uiPriority w:val="1"/>
    <w:qFormat/>
    <w:rsid w:val="009A5EF2"/>
    <w:pPr>
      <w:spacing w:after="0" w:line="240" w:lineRule="auto"/>
    </w:pPr>
  </w:style>
  <w:style w:type="paragraph" w:styleId="FootnoteText">
    <w:name w:val="footnote text"/>
    <w:basedOn w:val="Normal"/>
    <w:link w:val="FootnoteTextChar"/>
    <w:uiPriority w:val="99"/>
    <w:unhideWhenUsed/>
    <w:rsid w:val="003B5581"/>
    <w:pPr>
      <w:spacing w:after="0" w:line="240" w:lineRule="auto"/>
    </w:pPr>
    <w:rPr>
      <w:sz w:val="24"/>
      <w:szCs w:val="24"/>
    </w:rPr>
  </w:style>
  <w:style w:type="character" w:customStyle="1" w:styleId="FootnoteTextChar">
    <w:name w:val="Footnote Text Char"/>
    <w:basedOn w:val="DefaultParagraphFont"/>
    <w:link w:val="FootnoteText"/>
    <w:uiPriority w:val="99"/>
    <w:rsid w:val="003B5581"/>
    <w:rPr>
      <w:sz w:val="24"/>
      <w:szCs w:val="24"/>
    </w:rPr>
  </w:style>
  <w:style w:type="character" w:styleId="FootnoteReference">
    <w:name w:val="footnote reference"/>
    <w:basedOn w:val="DefaultParagraphFont"/>
    <w:uiPriority w:val="99"/>
    <w:unhideWhenUsed/>
    <w:rsid w:val="003B5581"/>
    <w:rPr>
      <w:vertAlign w:val="superscript"/>
    </w:rPr>
  </w:style>
  <w:style w:type="paragraph" w:styleId="BalloonText">
    <w:name w:val="Balloon Text"/>
    <w:basedOn w:val="Normal"/>
    <w:link w:val="BalloonTextChar"/>
    <w:uiPriority w:val="99"/>
    <w:semiHidden/>
    <w:unhideWhenUsed/>
    <w:rsid w:val="009F07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752"/>
    <w:rPr>
      <w:rFonts w:ascii="Lucida Grande" w:hAnsi="Lucida Grande"/>
      <w:sz w:val="18"/>
      <w:szCs w:val="18"/>
    </w:rPr>
  </w:style>
  <w:style w:type="character" w:styleId="SubtleEmphasis">
    <w:name w:val="Subtle Emphasis"/>
    <w:basedOn w:val="DefaultParagraphFont"/>
    <w:uiPriority w:val="19"/>
    <w:qFormat/>
    <w:rsid w:val="002E7FE6"/>
    <w:rPr>
      <w:i/>
      <w:iCs/>
      <w:color w:val="808080" w:themeColor="text1" w:themeTint="7F"/>
    </w:rPr>
  </w:style>
  <w:style w:type="paragraph" w:styleId="Caption">
    <w:name w:val="caption"/>
    <w:basedOn w:val="Normal"/>
    <w:next w:val="Normal"/>
    <w:uiPriority w:val="35"/>
    <w:unhideWhenUsed/>
    <w:qFormat/>
    <w:rsid w:val="00FD3026"/>
    <w:pPr>
      <w:spacing w:line="240" w:lineRule="auto"/>
    </w:pPr>
    <w:rPr>
      <w:b/>
      <w:bCs/>
      <w:color w:val="4F81BD" w:themeColor="accent1"/>
      <w:sz w:val="18"/>
      <w:szCs w:val="18"/>
    </w:rPr>
  </w:style>
  <w:style w:type="paragraph" w:styleId="Bibliography">
    <w:name w:val="Bibliography"/>
    <w:basedOn w:val="Normal"/>
    <w:next w:val="Normal"/>
    <w:uiPriority w:val="37"/>
    <w:unhideWhenUsed/>
    <w:rsid w:val="004D1F09"/>
  </w:style>
  <w:style w:type="character" w:styleId="Hyperlink">
    <w:name w:val="Hyperlink"/>
    <w:basedOn w:val="DefaultParagraphFont"/>
    <w:uiPriority w:val="99"/>
    <w:semiHidden/>
    <w:unhideWhenUsed/>
    <w:rsid w:val="00AD1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dico.fnal.gov/conferenceDisplay.py?confId=611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larpdocs.fnal.gov//LARP-public/DocDB/ShowDocument?docid=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EPr12</b:Tag>
    <b:SourceType>InternetSite</b:SourceType>
    <b:Guid>{FC9C4DE3-C59D-AE45-9946-72C5D39D364F}</b:Guid>
    <b:InternetSiteTitle>Scope Selection Meeting</b:InternetSiteTitle>
    <b:URL>https://indico.fnal.gov/conferenceDisplay.py?confId=6111</b:URL>
    <b:Year>2012</b:Year>
    <b:Month>November</b:Month>
    <b:Author>
      <b:Author>
        <b:NameList>
          <b:Person>
            <b:Last>E. Prebys</b:Last>
            <b:First>M.</b:First>
            <b:Middle>Kaducak, S. Henderson, T. Markiewicz, G. Sabbi, B. Strauss, L. Rossi, O. Bruning</b:Middle>
          </b:Person>
        </b:NameList>
      </b:Author>
    </b:Author>
    <b:RefOrder>2</b:RefOrder>
  </b:Source>
  <b:Source>
    <b:Tag>Eri12</b:Tag>
    <b:SourceType>DocumentFromInternetSite</b:SourceType>
    <b:Guid>{647FC0BC-32B8-B34F-A15C-3269D378A7D2}</b:Guid>
    <b:Author>
      <b:Author>
        <b:NameList>
          <b:Person>
            <b:Last>E. Prebys</b:Last>
            <b:First>T.</b:First>
            <b:Middle>Markiewicz, M. Kaducak, G. Sabbi, S. Henderson</b:Middle>
          </b:Person>
        </b:NameList>
      </b:Author>
    </b:Author>
    <b:Title>Scope Selection Process for US Contributions to the LHC Luminosity Upgrade</b:Title>
    <b:InternetSiteTitle>LARP Document Database</b:InternetSiteTitle>
    <b:URL>http://larpdocs.fnal.gov//LARP-public/DocDB/ShowDocument?docid=1069</b:URL>
    <b:Year>2012</b:Year>
    <b:Month>September</b:Month>
    <b:Day>4</b:Day>
    <b:YearAccessed>2012</b:YearAccessed>
    <b:MonthAccessed>November</b:MonthAccessed>
    <b:DayAccessed>6</b:DayAccessed>
    <b:RefOrder>1</b:RefOrder>
  </b:Source>
</b:Sources>
</file>

<file path=customXml/itemProps1.xml><?xml version="1.0" encoding="utf-8"?>
<ds:datastoreItem xmlns:ds="http://schemas.openxmlformats.org/officeDocument/2006/customXml" ds:itemID="{AEAF1E0F-8857-304A-B02A-1942075D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512</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D. Henderson</dc:creator>
  <cp:lastModifiedBy>Eric Prebys</cp:lastModifiedBy>
  <cp:revision>9</cp:revision>
  <cp:lastPrinted>2012-05-31T20:39:00Z</cp:lastPrinted>
  <dcterms:created xsi:type="dcterms:W3CDTF">2012-11-06T17:49:00Z</dcterms:created>
  <dcterms:modified xsi:type="dcterms:W3CDTF">2012-11-06T23:25:00Z</dcterms:modified>
</cp:coreProperties>
</file>