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15" w:rsidRDefault="00F21215" w:rsidP="002F4A4C">
      <w:pPr>
        <w:pStyle w:val="Heading1"/>
        <w:spacing w:line="360" w:lineRule="auto"/>
        <w:jc w:val="both"/>
      </w:pPr>
      <w:r>
        <w:t>World Facilities, Capabilities, and Needs</w:t>
      </w:r>
    </w:p>
    <w:p w:rsidR="00F21215" w:rsidRDefault="00F21215" w:rsidP="002F4A4C">
      <w:pPr>
        <w:spacing w:line="360" w:lineRule="auto"/>
        <w:jc w:val="both"/>
      </w:pPr>
      <w:r>
        <w:t xml:space="preserve">At the moment of writing (2013) there are four muSR facilities </w:t>
      </w:r>
      <w:r w:rsidR="00A47E9B">
        <w:t>in operation</w:t>
      </w:r>
      <w:r w:rsidR="00A95AD8">
        <w:t xml:space="preserve"> worldwide: two</w:t>
      </w:r>
      <w:r>
        <w:t xml:space="preserve"> in Europe (</w:t>
      </w:r>
      <w:r w:rsidR="00A95AD8">
        <w:t>PSI and ISIS), one</w:t>
      </w:r>
      <w:r w:rsidR="00B3358C">
        <w:t xml:space="preserve"> in</w:t>
      </w:r>
      <w:r w:rsidR="00A95AD8">
        <w:t xml:space="preserve"> North America (TRIUMF), and one</w:t>
      </w:r>
      <w:r w:rsidR="00B3358C">
        <w:t xml:space="preserve"> in Asia (J-PARC</w:t>
      </w:r>
      <w:r>
        <w:t xml:space="preserve">). </w:t>
      </w:r>
      <w:r w:rsidR="001D13DB">
        <w:t xml:space="preserve">Two facilities </w:t>
      </w:r>
      <w:r w:rsidR="00B3358C">
        <w:t>(PSI, TRIUMF) are based on the pseudo-continuous muon source</w:t>
      </w:r>
      <w:r w:rsidR="00A95AD8">
        <w:t>s</w:t>
      </w:r>
      <w:r w:rsidR="00B3358C">
        <w:t>, while ISIS and J-PARC are pulsed. Both continuous and pulsed beams have their pros and cons as discussed in the previous section.</w:t>
      </w:r>
      <w:r w:rsidR="00873525">
        <w:t xml:space="preserve"> </w:t>
      </w:r>
    </w:p>
    <w:p w:rsidR="00B3358C" w:rsidRDefault="00B3358C" w:rsidP="002F4A4C">
      <w:pPr>
        <w:spacing w:line="360" w:lineRule="auto"/>
        <w:jc w:val="both"/>
      </w:pPr>
    </w:p>
    <w:p w:rsidR="00B3358C" w:rsidRDefault="00A95AD8" w:rsidP="002F4A4C">
      <w:pPr>
        <w:spacing w:line="360" w:lineRule="auto"/>
        <w:jc w:val="both"/>
      </w:pPr>
      <w:r>
        <w:t>Key parameters of the existing</w:t>
      </w:r>
      <w:r w:rsidR="00B3358C">
        <w:t xml:space="preserve"> facilities are summarized </w:t>
      </w:r>
      <w:r>
        <w:t xml:space="preserve">in the table </w:t>
      </w:r>
      <w:r w:rsidR="00B3358C">
        <w:t>belo</w:t>
      </w:r>
      <w:r w:rsidR="00E7147F">
        <w:t>w</w:t>
      </w:r>
      <w:r w:rsidR="00B3358C">
        <w:t>.</w:t>
      </w:r>
      <w:r>
        <w:t xml:space="preserve"> </w:t>
      </w:r>
    </w:p>
    <w:p w:rsidR="00B3358C" w:rsidRDefault="00B3358C" w:rsidP="002F4A4C">
      <w:pPr>
        <w:spacing w:line="360" w:lineRule="auto"/>
        <w:jc w:val="both"/>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1515"/>
        <w:gridCol w:w="1439"/>
        <w:gridCol w:w="2434"/>
        <w:gridCol w:w="2124"/>
      </w:tblGrid>
      <w:tr w:rsidR="007A5DCA">
        <w:trPr>
          <w:cnfStyle w:val="100000000000"/>
        </w:trPr>
        <w:tc>
          <w:tcPr>
            <w:cnfStyle w:val="001000000000"/>
            <w:tcW w:w="1110" w:type="dxa"/>
          </w:tcPr>
          <w:p w:rsidR="007A5DCA" w:rsidRDefault="007A5DCA" w:rsidP="002F4A4C">
            <w:pPr>
              <w:spacing w:line="360" w:lineRule="auto"/>
              <w:jc w:val="both"/>
            </w:pPr>
            <w:r>
              <w:t>Facility</w:t>
            </w:r>
          </w:p>
        </w:tc>
        <w:tc>
          <w:tcPr>
            <w:tcW w:w="1515" w:type="dxa"/>
          </w:tcPr>
          <w:p w:rsidR="007A5DCA" w:rsidRDefault="00873525" w:rsidP="002F4A4C">
            <w:pPr>
              <w:spacing w:line="360" w:lineRule="auto"/>
              <w:jc w:val="both"/>
              <w:cnfStyle w:val="100000000000"/>
            </w:pPr>
            <w:r>
              <w:t>Muon beams</w:t>
            </w:r>
          </w:p>
        </w:tc>
        <w:tc>
          <w:tcPr>
            <w:tcW w:w="1439" w:type="dxa"/>
          </w:tcPr>
          <w:p w:rsidR="007A5DCA" w:rsidRDefault="007A5DCA" w:rsidP="002F4A4C">
            <w:pPr>
              <w:spacing w:line="360" w:lineRule="auto"/>
              <w:jc w:val="both"/>
              <w:cnfStyle w:val="100000000000"/>
            </w:pPr>
            <w:r>
              <w:t>Time structure</w:t>
            </w:r>
          </w:p>
        </w:tc>
        <w:tc>
          <w:tcPr>
            <w:tcW w:w="2434" w:type="dxa"/>
          </w:tcPr>
          <w:p w:rsidR="007A5DCA" w:rsidRDefault="007A5DCA" w:rsidP="002F4A4C">
            <w:pPr>
              <w:spacing w:line="360" w:lineRule="auto"/>
              <w:jc w:val="both"/>
              <w:cnfStyle w:val="100000000000"/>
            </w:pPr>
            <w:r>
              <w:t>Beam parameters</w:t>
            </w:r>
          </w:p>
        </w:tc>
        <w:tc>
          <w:tcPr>
            <w:tcW w:w="2124" w:type="dxa"/>
          </w:tcPr>
          <w:p w:rsidR="007A5DCA" w:rsidRDefault="007A5DCA" w:rsidP="002F4A4C">
            <w:pPr>
              <w:spacing w:line="360" w:lineRule="auto"/>
              <w:jc w:val="both"/>
              <w:cnfStyle w:val="100000000000"/>
            </w:pPr>
            <w:r>
              <w:t>Upgrade plans</w:t>
            </w:r>
          </w:p>
        </w:tc>
      </w:tr>
      <w:tr w:rsidR="007A5DCA">
        <w:trPr>
          <w:cnfStyle w:val="000000100000"/>
        </w:trPr>
        <w:tc>
          <w:tcPr>
            <w:cnfStyle w:val="001000000000"/>
            <w:tcW w:w="1110" w:type="dxa"/>
            <w:tcBorders>
              <w:top w:val="none" w:sz="0" w:space="0" w:color="auto"/>
              <w:left w:val="none" w:sz="0" w:space="0" w:color="auto"/>
              <w:bottom w:val="none" w:sz="0" w:space="0" w:color="auto"/>
            </w:tcBorders>
          </w:tcPr>
          <w:p w:rsidR="007A5DCA" w:rsidRDefault="007A5DCA" w:rsidP="002F4A4C">
            <w:pPr>
              <w:spacing w:line="360" w:lineRule="auto"/>
              <w:jc w:val="both"/>
            </w:pPr>
            <w:r>
              <w:t>PSI</w:t>
            </w:r>
          </w:p>
        </w:tc>
        <w:tc>
          <w:tcPr>
            <w:tcW w:w="1515" w:type="dxa"/>
            <w:tcBorders>
              <w:top w:val="none" w:sz="0" w:space="0" w:color="auto"/>
              <w:bottom w:val="none" w:sz="0" w:space="0" w:color="auto"/>
            </w:tcBorders>
          </w:tcPr>
          <w:p w:rsidR="007A5DCA" w:rsidRDefault="007A5DCA" w:rsidP="002F4A4C">
            <w:pPr>
              <w:spacing w:line="360" w:lineRule="auto"/>
              <w:jc w:val="both"/>
              <w:cnfStyle w:val="000000100000"/>
            </w:pPr>
            <w:r>
              <w:t>High energy (4-50 MeV), surface (4 MeV), low energy (0-30 keV)</w:t>
            </w:r>
          </w:p>
        </w:tc>
        <w:tc>
          <w:tcPr>
            <w:tcW w:w="1439" w:type="dxa"/>
            <w:tcBorders>
              <w:top w:val="none" w:sz="0" w:space="0" w:color="auto"/>
              <w:bottom w:val="none" w:sz="0" w:space="0" w:color="auto"/>
            </w:tcBorders>
          </w:tcPr>
          <w:p w:rsidR="007A5DCA" w:rsidRDefault="00873525" w:rsidP="002F4A4C">
            <w:pPr>
              <w:spacing w:line="360" w:lineRule="auto"/>
              <w:jc w:val="both"/>
              <w:cnfStyle w:val="000000100000"/>
            </w:pPr>
            <w:r>
              <w:t>Pseudo-continuous (CW)</w:t>
            </w:r>
            <w:r w:rsidR="00B668F8">
              <w:t>,</w:t>
            </w:r>
          </w:p>
          <w:p w:rsidR="00B668F8" w:rsidRDefault="00B668F8" w:rsidP="002F4A4C">
            <w:pPr>
              <w:spacing w:line="360" w:lineRule="auto"/>
              <w:jc w:val="both"/>
              <w:cnfStyle w:val="000000100000"/>
            </w:pPr>
          </w:p>
          <w:p w:rsidR="00B668F8" w:rsidRDefault="00B668F8" w:rsidP="002F4A4C">
            <w:pPr>
              <w:spacing w:line="360" w:lineRule="auto"/>
              <w:jc w:val="both"/>
              <w:cnfStyle w:val="000000100000"/>
            </w:pPr>
            <w:r>
              <w:t>MORE available</w:t>
            </w:r>
          </w:p>
        </w:tc>
        <w:tc>
          <w:tcPr>
            <w:tcW w:w="2434" w:type="dxa"/>
            <w:tcBorders>
              <w:top w:val="none" w:sz="0" w:space="0" w:color="auto"/>
              <w:bottom w:val="none" w:sz="0" w:space="0" w:color="auto"/>
            </w:tcBorders>
          </w:tcPr>
          <w:p w:rsidR="00A9042F" w:rsidRDefault="00A9042F" w:rsidP="002F4A4C">
            <w:pPr>
              <w:pStyle w:val="NormalWeb"/>
              <w:spacing w:before="240" w:beforeAutospacing="0" w:after="60" w:afterAutospacing="0" w:line="360" w:lineRule="auto"/>
              <w:jc w:val="both"/>
              <w:textAlignment w:val="baseline"/>
              <w:cnfStyle w:val="000000100000"/>
              <w:rPr>
                <w:rFonts w:asciiTheme="minorHAnsi" w:eastAsia="ＭＳ Ｐゴシック" w:hAnsiTheme="minorHAnsi" w:cstheme="minorBidi"/>
                <w:color w:val="000000" w:themeColor="text1"/>
                <w:kern w:val="24"/>
                <w:sz w:val="24"/>
                <w:szCs w:val="24"/>
                <w:lang w:val="de-CH"/>
              </w:rPr>
            </w:pPr>
            <w:r>
              <w:rPr>
                <w:rFonts w:asciiTheme="minorHAnsi" w:eastAsia="ＭＳ Ｐゴシック" w:hAnsiTheme="minorHAnsi" w:cstheme="minorBidi"/>
                <w:color w:val="000000" w:themeColor="text1"/>
                <w:kern w:val="24"/>
                <w:sz w:val="24"/>
                <w:szCs w:val="24"/>
                <w:lang w:val="de-CH"/>
              </w:rPr>
              <w:t xml:space="preserve">600 MeV, </w:t>
            </w:r>
            <w:r w:rsidR="00BB3D51">
              <w:rPr>
                <w:rFonts w:asciiTheme="minorHAnsi" w:eastAsia="ＭＳ Ｐゴシック" w:hAnsiTheme="minorHAnsi" w:cstheme="minorBidi"/>
                <w:color w:val="000000" w:themeColor="text1"/>
                <w:kern w:val="24"/>
                <w:sz w:val="24"/>
                <w:szCs w:val="24"/>
                <w:lang w:val="de-CH"/>
              </w:rPr>
              <w:t xml:space="preserve">2.2mA </w:t>
            </w:r>
            <w:r w:rsidR="007A5DCA" w:rsidRPr="003761A4">
              <w:rPr>
                <w:rFonts w:asciiTheme="minorHAnsi" w:eastAsia="ＭＳ Ｐゴシック" w:hAnsiTheme="minorHAnsi" w:cstheme="minorBidi"/>
                <w:color w:val="000000" w:themeColor="text1"/>
                <w:kern w:val="24"/>
                <w:sz w:val="24"/>
                <w:szCs w:val="24"/>
                <w:lang w:val="de-CH"/>
              </w:rPr>
              <w:sym w:font="Symbol" w:char="0040"/>
            </w:r>
            <w:r w:rsidR="00BB3D51">
              <w:rPr>
                <w:rFonts w:asciiTheme="minorHAnsi" w:eastAsia="ＭＳ Ｐゴシック" w:hAnsiTheme="minorHAnsi" w:cstheme="minorBidi"/>
                <w:color w:val="000000" w:themeColor="text1"/>
                <w:kern w:val="24"/>
                <w:sz w:val="24"/>
                <w:szCs w:val="24"/>
                <w:lang w:val="de-CH"/>
              </w:rPr>
              <w:t xml:space="preserve"> </w:t>
            </w:r>
          </w:p>
          <w:p w:rsidR="007A5DCA" w:rsidRPr="00BB3D51" w:rsidRDefault="00BB3D51" w:rsidP="002F4A4C">
            <w:pPr>
              <w:pStyle w:val="NormalWeb"/>
              <w:spacing w:before="240" w:beforeAutospacing="0" w:after="60" w:afterAutospacing="0" w:line="360" w:lineRule="auto"/>
              <w:jc w:val="both"/>
              <w:textAlignment w:val="baseline"/>
              <w:cnfStyle w:val="000000100000"/>
              <w:rPr>
                <w:rFonts w:asciiTheme="minorHAnsi" w:hAnsiTheme="minorHAnsi"/>
                <w:sz w:val="24"/>
                <w:szCs w:val="24"/>
              </w:rPr>
            </w:pPr>
            <w:r>
              <w:rPr>
                <w:rFonts w:asciiTheme="minorHAnsi" w:eastAsia="ＭＳ Ｐゴシック" w:hAnsiTheme="minorHAnsi" w:cstheme="minorBidi"/>
                <w:color w:val="000000" w:themeColor="text1"/>
                <w:kern w:val="24"/>
                <w:sz w:val="24"/>
                <w:szCs w:val="24"/>
                <w:lang w:val="de-CH"/>
              </w:rPr>
              <w:t>1.4 e16 p</w:t>
            </w:r>
            <w:r w:rsidR="007A5DCA" w:rsidRPr="003761A4">
              <w:rPr>
                <w:rFonts w:asciiTheme="minorHAnsi" w:eastAsia="ＭＳ Ｐゴシック" w:hAnsiTheme="minorHAnsi" w:cstheme="minorBidi"/>
                <w:color w:val="000000" w:themeColor="text1"/>
                <w:kern w:val="24"/>
                <w:sz w:val="24"/>
                <w:szCs w:val="24"/>
                <w:lang w:val="de-CH"/>
              </w:rPr>
              <w:t>/sec</w:t>
            </w:r>
            <w:r>
              <w:rPr>
                <w:rFonts w:asciiTheme="minorHAnsi" w:hAnsiTheme="minorHAnsi"/>
                <w:sz w:val="24"/>
                <w:szCs w:val="24"/>
              </w:rPr>
              <w:t xml:space="preserve"> </w:t>
            </w:r>
          </w:p>
          <w:p w:rsidR="007A5DCA" w:rsidRDefault="007A5DCA" w:rsidP="002F4A4C">
            <w:pPr>
              <w:pStyle w:val="NormalWeb"/>
              <w:spacing w:before="240" w:beforeAutospacing="0" w:after="60" w:afterAutospacing="0" w:line="360" w:lineRule="auto"/>
              <w:jc w:val="both"/>
              <w:textAlignment w:val="baseline"/>
              <w:cnfStyle w:val="000000100000"/>
              <w:rPr>
                <w:rFonts w:asciiTheme="minorHAnsi" w:hAnsiTheme="minorHAnsi"/>
                <w:sz w:val="24"/>
                <w:szCs w:val="24"/>
              </w:rPr>
            </w:pPr>
            <w:r>
              <w:rPr>
                <w:rFonts w:asciiTheme="minorHAnsi" w:eastAsia="ＭＳ Ｐゴシック" w:hAnsiTheme="minorHAnsi" w:cstheme="minorBidi"/>
                <w:color w:val="000000" w:themeColor="text1"/>
                <w:kern w:val="24"/>
                <w:sz w:val="24"/>
                <w:szCs w:val="24"/>
                <w:lang w:val="de-CH"/>
              </w:rPr>
              <w:t xml:space="preserve">~6.5e8 surface </w:t>
            </w:r>
            <w:r w:rsidRPr="00A86FD5">
              <w:rPr>
                <w:rFonts w:ascii="Symbol" w:hAnsi="Symbol"/>
                <w:sz w:val="24"/>
                <w:szCs w:val="24"/>
              </w:rPr>
              <w:t></w:t>
            </w:r>
            <w:r w:rsidRPr="00A86FD5">
              <w:rPr>
                <w:rFonts w:asciiTheme="minorHAnsi" w:hAnsiTheme="minorHAnsi"/>
                <w:sz w:val="24"/>
                <w:szCs w:val="24"/>
              </w:rPr>
              <w:t>+/sec</w:t>
            </w:r>
            <w:r w:rsidR="00A9042F">
              <w:rPr>
                <w:rFonts w:asciiTheme="minorHAnsi" w:hAnsiTheme="minorHAnsi"/>
                <w:sz w:val="24"/>
                <w:szCs w:val="24"/>
              </w:rPr>
              <w:t xml:space="preserve"> at</w:t>
            </w:r>
            <w:r w:rsidR="006D6144">
              <w:rPr>
                <w:rFonts w:asciiTheme="minorHAnsi" w:hAnsiTheme="minorHAnsi"/>
                <w:sz w:val="24"/>
                <w:szCs w:val="24"/>
              </w:rPr>
              <w:t xml:space="preserve"> the most intense</w:t>
            </w:r>
            <w:r w:rsidR="00A9042F">
              <w:rPr>
                <w:rFonts w:asciiTheme="minorHAnsi" w:hAnsiTheme="minorHAnsi"/>
                <w:sz w:val="24"/>
                <w:szCs w:val="24"/>
              </w:rPr>
              <w:t xml:space="preserve"> beamline</w:t>
            </w:r>
          </w:p>
          <w:p w:rsidR="007A5DCA" w:rsidRDefault="007A5DCA" w:rsidP="002F4A4C">
            <w:pPr>
              <w:pStyle w:val="NormalWeb"/>
              <w:spacing w:before="240" w:beforeAutospacing="0" w:after="60" w:afterAutospacing="0" w:line="360" w:lineRule="auto"/>
              <w:jc w:val="both"/>
              <w:textAlignment w:val="baseline"/>
              <w:cnfStyle w:val="000000100000"/>
              <w:rPr>
                <w:rFonts w:asciiTheme="minorHAnsi" w:eastAsia="ＭＳ Ｐゴシック" w:hAnsiTheme="minorHAnsi" w:cstheme="minorBidi"/>
                <w:color w:val="000000" w:themeColor="text1"/>
                <w:kern w:val="24"/>
                <w:sz w:val="24"/>
                <w:szCs w:val="24"/>
                <w:lang w:val="de-CH"/>
              </w:rPr>
            </w:pPr>
            <w:r>
              <w:rPr>
                <w:rFonts w:asciiTheme="minorHAnsi" w:hAnsiTheme="minorHAnsi"/>
                <w:sz w:val="24"/>
                <w:szCs w:val="24"/>
              </w:rPr>
              <w:t xml:space="preserve">LEM: 1.5e8 </w:t>
            </w:r>
            <w:r w:rsidRPr="00A86FD5">
              <w:rPr>
                <w:rFonts w:ascii="Symbol" w:hAnsi="Symbol"/>
                <w:sz w:val="24"/>
                <w:szCs w:val="24"/>
              </w:rPr>
              <w:t></w:t>
            </w:r>
            <w:r w:rsidRPr="00A86FD5">
              <w:rPr>
                <w:rFonts w:asciiTheme="minorHAnsi" w:hAnsiTheme="minorHAnsi"/>
                <w:sz w:val="24"/>
                <w:szCs w:val="24"/>
              </w:rPr>
              <w:t>+/sec</w:t>
            </w:r>
            <w:r>
              <w:rPr>
                <w:rFonts w:asciiTheme="minorHAnsi" w:hAnsiTheme="minorHAnsi"/>
                <w:sz w:val="24"/>
                <w:szCs w:val="24"/>
              </w:rPr>
              <w:t xml:space="preserve">, 4500 </w:t>
            </w:r>
            <w:r w:rsidRPr="00A86FD5">
              <w:rPr>
                <w:rFonts w:ascii="Symbol" w:hAnsi="Symbol"/>
                <w:sz w:val="24"/>
                <w:szCs w:val="24"/>
              </w:rPr>
              <w:t></w:t>
            </w:r>
            <w:r w:rsidRPr="00A86FD5">
              <w:rPr>
                <w:rFonts w:asciiTheme="minorHAnsi" w:hAnsiTheme="minorHAnsi"/>
                <w:sz w:val="24"/>
                <w:szCs w:val="24"/>
              </w:rPr>
              <w:t>+/sec</w:t>
            </w:r>
            <w:r>
              <w:rPr>
                <w:rFonts w:asciiTheme="minorHAnsi" w:hAnsiTheme="minorHAnsi"/>
                <w:sz w:val="24"/>
                <w:szCs w:val="24"/>
              </w:rPr>
              <w:t xml:space="preserve"> to sample</w:t>
            </w:r>
          </w:p>
          <w:p w:rsidR="007A5DCA" w:rsidRPr="003761A4" w:rsidRDefault="007A5DCA" w:rsidP="002F4A4C">
            <w:pPr>
              <w:spacing w:line="360" w:lineRule="auto"/>
              <w:jc w:val="both"/>
              <w:cnfStyle w:val="000000100000"/>
            </w:pPr>
          </w:p>
        </w:tc>
        <w:tc>
          <w:tcPr>
            <w:tcW w:w="2124" w:type="dxa"/>
            <w:tcBorders>
              <w:top w:val="none" w:sz="0" w:space="0" w:color="auto"/>
              <w:bottom w:val="none" w:sz="0" w:space="0" w:color="auto"/>
              <w:right w:val="none" w:sz="0" w:space="0" w:color="auto"/>
            </w:tcBorders>
          </w:tcPr>
          <w:p w:rsidR="007A5DCA" w:rsidRDefault="007C514D" w:rsidP="002F4A4C">
            <w:pPr>
              <w:spacing w:line="360" w:lineRule="auto"/>
              <w:jc w:val="both"/>
              <w:cnfStyle w:val="000000100000"/>
            </w:pPr>
            <w:r>
              <w:t>N/A</w:t>
            </w:r>
          </w:p>
        </w:tc>
      </w:tr>
      <w:tr w:rsidR="007A5DCA">
        <w:tc>
          <w:tcPr>
            <w:cnfStyle w:val="001000000000"/>
            <w:tcW w:w="1110" w:type="dxa"/>
          </w:tcPr>
          <w:p w:rsidR="007A5DCA" w:rsidRDefault="007A5DCA" w:rsidP="002F4A4C">
            <w:pPr>
              <w:spacing w:line="360" w:lineRule="auto"/>
              <w:jc w:val="both"/>
            </w:pPr>
            <w:r>
              <w:t>ISIS</w:t>
            </w:r>
          </w:p>
        </w:tc>
        <w:tc>
          <w:tcPr>
            <w:tcW w:w="1515" w:type="dxa"/>
          </w:tcPr>
          <w:p w:rsidR="007A5DCA" w:rsidRDefault="009B51E6" w:rsidP="002F4A4C">
            <w:pPr>
              <w:spacing w:line="360" w:lineRule="auto"/>
              <w:jc w:val="both"/>
              <w:cnfStyle w:val="000000000000"/>
            </w:pPr>
            <w:r>
              <w:t>High energy (20-120 MeV/c)</w:t>
            </w:r>
            <w:r w:rsidR="007A5DCA">
              <w:t xml:space="preserve"> surface</w:t>
            </w:r>
            <w:r>
              <w:t xml:space="preserve"> (27 MeV/c)</w:t>
            </w:r>
          </w:p>
        </w:tc>
        <w:tc>
          <w:tcPr>
            <w:tcW w:w="1439" w:type="dxa"/>
          </w:tcPr>
          <w:p w:rsidR="007A5DCA" w:rsidRDefault="003D328A" w:rsidP="002F4A4C">
            <w:pPr>
              <w:spacing w:line="360" w:lineRule="auto"/>
              <w:jc w:val="both"/>
              <w:cnfStyle w:val="000000000000"/>
            </w:pPr>
            <w:r>
              <w:t>Double pulse</w:t>
            </w:r>
            <w:r w:rsidR="00E52A0D">
              <w:t xml:space="preserve"> ~8</w:t>
            </w:r>
            <w:r w:rsidR="007A5DCA">
              <w:t>0 ns</w:t>
            </w:r>
            <w:r w:rsidR="003B7D61">
              <w:t>/300ns separated</w:t>
            </w:r>
            <w:r w:rsidR="007A5DCA">
              <w:t xml:space="preserve"> </w:t>
            </w:r>
            <w:r>
              <w:t xml:space="preserve"> every </w:t>
            </w:r>
            <w:r w:rsidR="007A5DCA">
              <w:t>20 ms</w:t>
            </w:r>
            <w:r w:rsidR="003B7D61">
              <w:t xml:space="preserve"> (50 Hz)</w:t>
            </w:r>
          </w:p>
        </w:tc>
        <w:tc>
          <w:tcPr>
            <w:tcW w:w="2434" w:type="dxa"/>
          </w:tcPr>
          <w:p w:rsidR="007A5DCA" w:rsidRDefault="00955C26" w:rsidP="002F4A4C">
            <w:pPr>
              <w:spacing w:line="360" w:lineRule="auto"/>
              <w:jc w:val="both"/>
              <w:cnfStyle w:val="000000000000"/>
            </w:pPr>
            <w:r>
              <w:t xml:space="preserve">800 MeV protons, </w:t>
            </w:r>
            <w:r w:rsidR="009B51E6">
              <w:t>200 uA</w:t>
            </w:r>
            <w:r w:rsidR="003B7D61">
              <w:t>, 2.5e13 protons/pulse</w:t>
            </w:r>
          </w:p>
          <w:p w:rsidR="009B51E6" w:rsidRDefault="009B51E6" w:rsidP="002F4A4C">
            <w:pPr>
              <w:spacing w:line="360" w:lineRule="auto"/>
              <w:jc w:val="both"/>
              <w:cnfStyle w:val="000000000000"/>
            </w:pPr>
            <w:r>
              <w:t>surface (27 MeV/c): 1.5e6 mu+/sec</w:t>
            </w:r>
          </w:p>
          <w:p w:rsidR="009B51E6" w:rsidRDefault="009B51E6" w:rsidP="002F4A4C">
            <w:pPr>
              <w:spacing w:line="360" w:lineRule="auto"/>
              <w:jc w:val="both"/>
              <w:cnfStyle w:val="000000000000"/>
            </w:pPr>
            <w:r>
              <w:t>decay (60 MeV/c): 4e5 mu+/sec, 7e4 mu-/sec</w:t>
            </w:r>
          </w:p>
        </w:tc>
        <w:tc>
          <w:tcPr>
            <w:tcW w:w="2124" w:type="dxa"/>
          </w:tcPr>
          <w:p w:rsidR="007A5DCA" w:rsidRDefault="007C514D" w:rsidP="002F4A4C">
            <w:pPr>
              <w:spacing w:line="360" w:lineRule="auto"/>
              <w:jc w:val="both"/>
              <w:cnfStyle w:val="000000000000"/>
            </w:pPr>
            <w:r>
              <w:t>N/A</w:t>
            </w:r>
          </w:p>
        </w:tc>
      </w:tr>
      <w:tr w:rsidR="007A5DCA">
        <w:trPr>
          <w:cnfStyle w:val="000000100000"/>
        </w:trPr>
        <w:tc>
          <w:tcPr>
            <w:cnfStyle w:val="001000000000"/>
            <w:tcW w:w="1110" w:type="dxa"/>
            <w:tcBorders>
              <w:top w:val="none" w:sz="0" w:space="0" w:color="auto"/>
              <w:left w:val="none" w:sz="0" w:space="0" w:color="auto"/>
              <w:bottom w:val="none" w:sz="0" w:space="0" w:color="auto"/>
            </w:tcBorders>
          </w:tcPr>
          <w:p w:rsidR="007A5DCA" w:rsidRDefault="007A5DCA" w:rsidP="002F4A4C">
            <w:pPr>
              <w:spacing w:line="360" w:lineRule="auto"/>
              <w:jc w:val="both"/>
            </w:pPr>
            <w:r>
              <w:t>TRIUMF</w:t>
            </w:r>
          </w:p>
        </w:tc>
        <w:tc>
          <w:tcPr>
            <w:tcW w:w="1515" w:type="dxa"/>
            <w:tcBorders>
              <w:top w:val="none" w:sz="0" w:space="0" w:color="auto"/>
              <w:bottom w:val="none" w:sz="0" w:space="0" w:color="auto"/>
            </w:tcBorders>
          </w:tcPr>
          <w:p w:rsidR="007A5DCA" w:rsidRDefault="007A5DCA" w:rsidP="002F4A4C">
            <w:pPr>
              <w:spacing w:line="360" w:lineRule="auto"/>
              <w:jc w:val="both"/>
              <w:cnfStyle w:val="000000100000"/>
            </w:pPr>
            <w:r>
              <w:t>High energy, surface</w:t>
            </w:r>
          </w:p>
        </w:tc>
        <w:tc>
          <w:tcPr>
            <w:tcW w:w="1439" w:type="dxa"/>
            <w:tcBorders>
              <w:top w:val="none" w:sz="0" w:space="0" w:color="auto"/>
              <w:bottom w:val="none" w:sz="0" w:space="0" w:color="auto"/>
            </w:tcBorders>
          </w:tcPr>
          <w:p w:rsidR="007A5DCA" w:rsidRDefault="007A5DCA" w:rsidP="002F4A4C">
            <w:pPr>
              <w:spacing w:line="360" w:lineRule="auto"/>
              <w:jc w:val="both"/>
              <w:cnfStyle w:val="000000100000"/>
            </w:pPr>
            <w:r>
              <w:t>Pseudo-continuous</w:t>
            </w:r>
            <w:r w:rsidR="00873525">
              <w:t xml:space="preserve"> (CW)</w:t>
            </w:r>
          </w:p>
        </w:tc>
        <w:tc>
          <w:tcPr>
            <w:tcW w:w="2434" w:type="dxa"/>
            <w:tcBorders>
              <w:top w:val="none" w:sz="0" w:space="0" w:color="auto"/>
              <w:bottom w:val="none" w:sz="0" w:space="0" w:color="auto"/>
            </w:tcBorders>
          </w:tcPr>
          <w:p w:rsidR="007A5DCA" w:rsidRDefault="007A5DCA" w:rsidP="002F4A4C">
            <w:pPr>
              <w:spacing w:line="360" w:lineRule="auto"/>
              <w:jc w:val="both"/>
              <w:cnfStyle w:val="000000100000"/>
            </w:pPr>
            <w:r>
              <w:t xml:space="preserve">Cyclotron, </w:t>
            </w:r>
          </w:p>
          <w:p w:rsidR="007A5DCA" w:rsidRDefault="007A5DCA" w:rsidP="002F4A4C">
            <w:pPr>
              <w:spacing w:line="360" w:lineRule="auto"/>
              <w:jc w:val="both"/>
              <w:cnfStyle w:val="000000100000"/>
            </w:pPr>
            <w:r>
              <w:t xml:space="preserve">1.5-2e6 </w:t>
            </w:r>
            <w:r w:rsidRPr="00C35B41">
              <w:rPr>
                <w:rFonts w:ascii="Symbol" w:hAnsi="Symbol"/>
              </w:rPr>
              <w:t></w:t>
            </w:r>
            <w:r>
              <w:t>+/sec</w:t>
            </w:r>
          </w:p>
          <w:p w:rsidR="007A5DCA" w:rsidRDefault="007A5DCA" w:rsidP="002F4A4C">
            <w:pPr>
              <w:spacing w:line="360" w:lineRule="auto"/>
              <w:jc w:val="both"/>
              <w:cnfStyle w:val="000000100000"/>
            </w:pPr>
            <w:r>
              <w:rPr>
                <w:rFonts w:ascii="Symbol" w:hAnsi="Symbol"/>
              </w:rPr>
              <w:t></w:t>
            </w:r>
            <w:r>
              <w:rPr>
                <w:rFonts w:ascii="Symbol" w:hAnsi="Symbol"/>
              </w:rPr>
              <w:t></w:t>
            </w:r>
            <w:r>
              <w:rPr>
                <w:rFonts w:ascii="Symbol" w:hAnsi="Symbol"/>
              </w:rPr>
              <w:t></w:t>
            </w:r>
            <w:r>
              <w:t xml:space="preserve">e4 </w:t>
            </w:r>
            <w:r w:rsidRPr="00C35B41">
              <w:rPr>
                <w:rFonts w:ascii="Symbol" w:hAnsi="Symbol"/>
              </w:rPr>
              <w:t></w:t>
            </w:r>
            <w:r>
              <w:t>+/sec useful?)</w:t>
            </w:r>
          </w:p>
        </w:tc>
        <w:tc>
          <w:tcPr>
            <w:tcW w:w="2124" w:type="dxa"/>
            <w:tcBorders>
              <w:top w:val="none" w:sz="0" w:space="0" w:color="auto"/>
              <w:bottom w:val="none" w:sz="0" w:space="0" w:color="auto"/>
              <w:right w:val="none" w:sz="0" w:space="0" w:color="auto"/>
            </w:tcBorders>
          </w:tcPr>
          <w:p w:rsidR="007A5DCA" w:rsidRDefault="007C514D" w:rsidP="002F4A4C">
            <w:pPr>
              <w:spacing w:line="360" w:lineRule="auto"/>
              <w:jc w:val="both"/>
              <w:cnfStyle w:val="000000100000"/>
            </w:pPr>
            <w:r>
              <w:t>N/A</w:t>
            </w:r>
          </w:p>
        </w:tc>
      </w:tr>
      <w:tr w:rsidR="007A5DCA">
        <w:tc>
          <w:tcPr>
            <w:cnfStyle w:val="001000000000"/>
            <w:tcW w:w="1110" w:type="dxa"/>
          </w:tcPr>
          <w:p w:rsidR="007A5DCA" w:rsidRDefault="007A5DCA" w:rsidP="002F4A4C">
            <w:pPr>
              <w:spacing w:line="360" w:lineRule="auto"/>
              <w:jc w:val="both"/>
            </w:pPr>
            <w:r>
              <w:t>JPARC</w:t>
            </w:r>
          </w:p>
        </w:tc>
        <w:tc>
          <w:tcPr>
            <w:tcW w:w="1515" w:type="dxa"/>
          </w:tcPr>
          <w:p w:rsidR="007A5DCA" w:rsidRDefault="007A5DCA" w:rsidP="002F4A4C">
            <w:pPr>
              <w:spacing w:line="360" w:lineRule="auto"/>
              <w:jc w:val="both"/>
              <w:cnfStyle w:val="000000000000"/>
            </w:pPr>
            <w:r>
              <w:t>High energy, surface</w:t>
            </w:r>
          </w:p>
        </w:tc>
        <w:tc>
          <w:tcPr>
            <w:tcW w:w="1439" w:type="dxa"/>
          </w:tcPr>
          <w:p w:rsidR="007A5DCA" w:rsidRDefault="007A5DCA" w:rsidP="002F4A4C">
            <w:pPr>
              <w:spacing w:line="360" w:lineRule="auto"/>
              <w:jc w:val="both"/>
              <w:cnfStyle w:val="000000000000"/>
            </w:pPr>
            <w:r>
              <w:t xml:space="preserve">Pulsed, </w:t>
            </w:r>
            <w:r w:rsidR="00BB3D51">
              <w:t>~</w:t>
            </w:r>
            <w:r>
              <w:t>50 ns pulse every 20 ms</w:t>
            </w:r>
          </w:p>
        </w:tc>
        <w:tc>
          <w:tcPr>
            <w:tcW w:w="2434" w:type="dxa"/>
          </w:tcPr>
          <w:p w:rsidR="007A5DCA" w:rsidRDefault="007A5DCA" w:rsidP="002F4A4C">
            <w:pPr>
              <w:spacing w:line="360" w:lineRule="auto"/>
              <w:jc w:val="both"/>
              <w:cnfStyle w:val="000000000000"/>
            </w:pPr>
            <w:r>
              <w:t xml:space="preserve">Cyclotron, 1.8e6 </w:t>
            </w:r>
            <w:r w:rsidRPr="00C35B41">
              <w:rPr>
                <w:rFonts w:ascii="Symbol" w:hAnsi="Symbol"/>
              </w:rPr>
              <w:t></w:t>
            </w:r>
            <w:r>
              <w:t xml:space="preserve">+/sec (2009) at 120 kW, planned 1.5e7 </w:t>
            </w:r>
            <w:r w:rsidRPr="00C35B41">
              <w:rPr>
                <w:rFonts w:ascii="Symbol" w:hAnsi="Symbol"/>
              </w:rPr>
              <w:t></w:t>
            </w:r>
            <w:r>
              <w:t>+/sec at 1 MW</w:t>
            </w:r>
          </w:p>
        </w:tc>
        <w:tc>
          <w:tcPr>
            <w:tcW w:w="2124" w:type="dxa"/>
          </w:tcPr>
          <w:p w:rsidR="007A5DCA" w:rsidRDefault="007C514D" w:rsidP="002F4A4C">
            <w:pPr>
              <w:spacing w:line="360" w:lineRule="auto"/>
              <w:jc w:val="both"/>
              <w:cnfStyle w:val="000000000000"/>
            </w:pPr>
            <w:r>
              <w:t>3 more beamlines under construction (one is low energy muons)</w:t>
            </w:r>
          </w:p>
        </w:tc>
      </w:tr>
    </w:tbl>
    <w:p w:rsidR="00290F88" w:rsidRDefault="00290F88" w:rsidP="002F4A4C">
      <w:pPr>
        <w:spacing w:line="360" w:lineRule="auto"/>
        <w:jc w:val="both"/>
      </w:pPr>
    </w:p>
    <w:p w:rsidR="00873525" w:rsidRDefault="00873525" w:rsidP="002F4A4C">
      <w:pPr>
        <w:spacing w:line="360" w:lineRule="auto"/>
        <w:jc w:val="both"/>
      </w:pPr>
    </w:p>
    <w:p w:rsidR="00873525" w:rsidRDefault="00EC175F" w:rsidP="002F4A4C">
      <w:pPr>
        <w:spacing w:line="360" w:lineRule="auto"/>
        <w:jc w:val="both"/>
      </w:pPr>
      <w:r>
        <w:t>All of the facilities are heavily used by physicists from all-over the world w</w:t>
      </w:r>
      <w:r w:rsidR="001D13DB">
        <w:t xml:space="preserve">ith a significant  (~20-30%) US-based researcher </w:t>
      </w:r>
      <w:r>
        <w:t>fraction.</w:t>
      </w:r>
    </w:p>
    <w:p w:rsidR="002F4A4C" w:rsidRDefault="002F4A4C" w:rsidP="002F4A4C">
      <w:pPr>
        <w:spacing w:line="360" w:lineRule="auto"/>
        <w:jc w:val="both"/>
      </w:pPr>
    </w:p>
    <w:p w:rsidR="00F21215" w:rsidRDefault="00F21215" w:rsidP="002F4A4C">
      <w:pPr>
        <w:pStyle w:val="Heading2"/>
        <w:spacing w:line="360" w:lineRule="auto"/>
        <w:jc w:val="both"/>
      </w:pPr>
      <w:r>
        <w:t>P</w:t>
      </w:r>
      <w:r w:rsidR="00A47E9B">
        <w:t>aul Scherrer Institute (P</w:t>
      </w:r>
      <w:r>
        <w:t>SI</w:t>
      </w:r>
      <w:r w:rsidR="00A47E9B">
        <w:t>), Switzerland</w:t>
      </w:r>
    </w:p>
    <w:p w:rsidR="00F21215" w:rsidRDefault="00F21215" w:rsidP="002F4A4C">
      <w:pPr>
        <w:spacing w:line="360" w:lineRule="auto"/>
        <w:jc w:val="both"/>
      </w:pPr>
    </w:p>
    <w:p w:rsidR="00A47E9B" w:rsidRDefault="00A47E9B" w:rsidP="002F4A4C">
      <w:pPr>
        <w:spacing w:line="360" w:lineRule="auto"/>
        <w:jc w:val="both"/>
      </w:pPr>
      <w:r>
        <w:t xml:space="preserve">Paul Scherrer Institute is a leading Swiss </w:t>
      </w:r>
      <w:r w:rsidR="005A7F0F">
        <w:t>research institution</w:t>
      </w:r>
      <w:r w:rsidR="00FD5A23">
        <w:t xml:space="preserve"> wit</w:t>
      </w:r>
      <w:r w:rsidR="00431004">
        <w:t>h multiple facilities including neutron source, synchrotron light source, and muon source.</w:t>
      </w:r>
    </w:p>
    <w:p w:rsidR="0023062C" w:rsidRDefault="00955C26" w:rsidP="002F4A4C">
      <w:pPr>
        <w:pStyle w:val="NormalWeb"/>
        <w:kinsoku w:val="0"/>
        <w:overflowPunct w:val="0"/>
        <w:spacing w:before="204" w:beforeAutospacing="0" w:after="0" w:afterAutospacing="0" w:line="360" w:lineRule="auto"/>
        <w:jc w:val="both"/>
        <w:textAlignment w:val="baseline"/>
        <w:rPr>
          <w:rFonts w:asciiTheme="minorHAnsi" w:hAnsiTheme="minorHAnsi" w:cstheme="minorBidi"/>
          <w:sz w:val="24"/>
          <w:szCs w:val="24"/>
        </w:rPr>
      </w:pPr>
      <w:r>
        <w:rPr>
          <w:rFonts w:asciiTheme="minorHAnsi" w:hAnsiTheme="minorHAnsi" w:cstheme="minorBidi"/>
          <w:sz w:val="24"/>
          <w:szCs w:val="24"/>
        </w:rPr>
        <w:t>For the Laboratory for Muon Spectroscopy (LMU): t</w:t>
      </w:r>
      <w:r w:rsidRPr="00955C26">
        <w:rPr>
          <w:rFonts w:asciiTheme="minorHAnsi" w:hAnsiTheme="minorHAnsi" w:cstheme="minorBidi"/>
          <w:sz w:val="24"/>
          <w:szCs w:val="24"/>
        </w:rPr>
        <w:t>yp</w:t>
      </w:r>
      <w:r>
        <w:rPr>
          <w:rFonts w:asciiTheme="minorHAnsi" w:hAnsiTheme="minorHAnsi" w:cstheme="minorBidi"/>
          <w:sz w:val="24"/>
          <w:szCs w:val="24"/>
        </w:rPr>
        <w:t>ically / year:  ~ 360 visits, ~200 new proposals, &gt;</w:t>
      </w:r>
      <w:r w:rsidRPr="00955C26">
        <w:rPr>
          <w:rFonts w:asciiTheme="minorHAnsi" w:hAnsiTheme="minorHAnsi" w:cstheme="minorBidi"/>
          <w:sz w:val="24"/>
          <w:szCs w:val="24"/>
        </w:rPr>
        <w:t>700 beam days for us</w:t>
      </w:r>
      <w:r>
        <w:rPr>
          <w:rFonts w:asciiTheme="minorHAnsi" w:hAnsiTheme="minorHAnsi" w:cstheme="minorBidi"/>
          <w:sz w:val="24"/>
          <w:szCs w:val="24"/>
        </w:rPr>
        <w:t xml:space="preserve">ers </w:t>
      </w:r>
      <w:r w:rsidRPr="00955C26">
        <w:rPr>
          <w:rFonts w:asciiTheme="minorHAnsi" w:hAnsiTheme="minorHAnsi" w:cstheme="minorBidi"/>
          <w:sz w:val="24"/>
          <w:szCs w:val="24"/>
        </w:rPr>
        <w:t xml:space="preserve">(overbooking factor </w:t>
      </w:r>
      <w:r w:rsidRPr="00955C26">
        <w:rPr>
          <w:rFonts w:asciiTheme="minorHAnsi" w:hAnsiTheme="minorHAnsi" w:cstheme="minorBidi"/>
          <w:color w:val="FF0000"/>
          <w:sz w:val="24"/>
          <w:szCs w:val="24"/>
        </w:rPr>
        <w:t>2 - 3.5</w:t>
      </w:r>
      <w:r w:rsidRPr="00955C26">
        <w:rPr>
          <w:rFonts w:asciiTheme="minorHAnsi" w:hAnsiTheme="minorHAnsi" w:cstheme="minorBidi"/>
          <w:sz w:val="24"/>
          <w:szCs w:val="24"/>
        </w:rPr>
        <w:t>)</w:t>
      </w:r>
    </w:p>
    <w:p w:rsidR="0023062C" w:rsidRDefault="0023062C" w:rsidP="002F4A4C">
      <w:pPr>
        <w:pStyle w:val="NormalWeb"/>
        <w:kinsoku w:val="0"/>
        <w:overflowPunct w:val="0"/>
        <w:spacing w:before="204" w:beforeAutospacing="0" w:after="0" w:afterAutospacing="0" w:line="360" w:lineRule="auto"/>
        <w:jc w:val="both"/>
        <w:textAlignment w:val="baseline"/>
        <w:rPr>
          <w:rFonts w:asciiTheme="minorHAnsi" w:hAnsiTheme="minorHAnsi" w:cstheme="minorBidi"/>
          <w:sz w:val="24"/>
          <w:szCs w:val="24"/>
        </w:rPr>
      </w:pPr>
      <w:r w:rsidRPr="0023062C">
        <w:rPr>
          <w:rFonts w:asciiTheme="minorHAnsi" w:hAnsiTheme="minorHAnsi" w:cstheme="minorBidi"/>
          <w:sz w:val="24"/>
          <w:szCs w:val="24"/>
        </w:rPr>
        <w:t>6 instruments  @ 5 beam lines, sample environment (17 cryostats, 2 furnaces, special setups for pressure,</w:t>
      </w:r>
      <w:r>
        <w:rPr>
          <w:rFonts w:asciiTheme="minorHAnsi" w:hAnsiTheme="minorHAnsi" w:cstheme="minorBidi"/>
          <w:sz w:val="24"/>
          <w:szCs w:val="24"/>
        </w:rPr>
        <w:t xml:space="preserve"> photon irradiation, E-Fields</w:t>
      </w:r>
      <w:r w:rsidRPr="0023062C">
        <w:rPr>
          <w:rFonts w:asciiTheme="minorHAnsi" w:hAnsiTheme="minorHAnsi" w:cstheme="minorBidi"/>
          <w:sz w:val="24"/>
          <w:szCs w:val="24"/>
        </w:rPr>
        <w:t xml:space="preserve">)  </w:t>
      </w:r>
    </w:p>
    <w:p w:rsidR="00E449B9" w:rsidRDefault="00E449B9" w:rsidP="002F4A4C">
      <w:pPr>
        <w:pStyle w:val="NormalWeb"/>
        <w:kinsoku w:val="0"/>
        <w:overflowPunct w:val="0"/>
        <w:spacing w:before="204" w:beforeAutospacing="0" w:after="0" w:afterAutospacing="0" w:line="360" w:lineRule="auto"/>
        <w:jc w:val="both"/>
        <w:textAlignment w:val="baseline"/>
        <w:rPr>
          <w:rFonts w:asciiTheme="minorHAnsi" w:hAnsiTheme="minorHAnsi" w:cstheme="minorBidi"/>
          <w:sz w:val="24"/>
          <w:szCs w:val="24"/>
        </w:rPr>
      </w:pPr>
      <w:r w:rsidRPr="00CA012E">
        <w:rPr>
          <w:rFonts w:asciiTheme="minorHAnsi" w:hAnsiTheme="minorHAnsi" w:cstheme="minorBidi"/>
          <w:sz w:val="24"/>
          <w:szCs w:val="24"/>
        </w:rPr>
        <w:t>Personnel:</w:t>
      </w:r>
      <w:r w:rsidR="00CA012E">
        <w:rPr>
          <w:rFonts w:asciiTheme="minorHAnsi" w:hAnsiTheme="minorHAnsi" w:cstheme="minorBidi"/>
          <w:sz w:val="24"/>
          <w:szCs w:val="24"/>
        </w:rPr>
        <w:t xml:space="preserve"> </w:t>
      </w:r>
      <w:r w:rsidRPr="00CA012E">
        <w:rPr>
          <w:rFonts w:asciiTheme="minorHAnsi" w:hAnsiTheme="minorHAnsi" w:cstheme="minorBidi"/>
          <w:sz w:val="24"/>
          <w:szCs w:val="24"/>
        </w:rPr>
        <w:t xml:space="preserve">9 Staff (tenure and tenure track), 4 Post Docs, 5 PhD, 1.8 Technicians, 0.8 Computer support </w:t>
      </w:r>
    </w:p>
    <w:p w:rsidR="002F4A4C" w:rsidRPr="0023062C" w:rsidRDefault="002F4A4C" w:rsidP="002F4A4C">
      <w:pPr>
        <w:pStyle w:val="NormalWeb"/>
        <w:kinsoku w:val="0"/>
        <w:overflowPunct w:val="0"/>
        <w:spacing w:before="204" w:beforeAutospacing="0" w:after="0" w:afterAutospacing="0" w:line="360" w:lineRule="auto"/>
        <w:jc w:val="both"/>
        <w:textAlignment w:val="baseline"/>
        <w:rPr>
          <w:rFonts w:asciiTheme="minorHAnsi" w:hAnsiTheme="minorHAnsi" w:cstheme="minorBidi"/>
          <w:sz w:val="24"/>
          <w:szCs w:val="24"/>
        </w:rPr>
      </w:pPr>
    </w:p>
    <w:p w:rsidR="00F21215" w:rsidRDefault="00F21215" w:rsidP="002F4A4C">
      <w:pPr>
        <w:pStyle w:val="Heading2"/>
        <w:spacing w:line="360" w:lineRule="auto"/>
        <w:jc w:val="both"/>
      </w:pPr>
      <w:r>
        <w:t>ISIS</w:t>
      </w:r>
    </w:p>
    <w:p w:rsidR="00D208A6" w:rsidRDefault="00D208A6" w:rsidP="002F4A4C">
      <w:pPr>
        <w:spacing w:line="360" w:lineRule="auto"/>
        <w:jc w:val="both"/>
      </w:pPr>
    </w:p>
    <w:p w:rsidR="00D208A6" w:rsidRDefault="00D208A6" w:rsidP="002F4A4C">
      <w:pPr>
        <w:spacing w:line="360" w:lineRule="auto"/>
        <w:jc w:val="both"/>
      </w:pPr>
      <w:r w:rsidRPr="00D208A6">
        <w:t>The ISIS pulsed neutron and muon source at the Rutherford Appleton Laboratory in Oxfordshire</w:t>
      </w:r>
      <w:r>
        <w:t>, UK</w:t>
      </w:r>
      <w:r w:rsidRPr="00D208A6">
        <w:t xml:space="preserve"> is a world-leading centre for research in the physical and life sciences.</w:t>
      </w:r>
      <w:r w:rsidR="00E150C5">
        <w:t xml:space="preserve"> </w:t>
      </w:r>
    </w:p>
    <w:p w:rsidR="00E150C5" w:rsidRDefault="00E150C5" w:rsidP="002F4A4C">
      <w:pPr>
        <w:spacing w:line="360" w:lineRule="auto"/>
        <w:jc w:val="both"/>
      </w:pPr>
    </w:p>
    <w:p w:rsidR="00E150C5" w:rsidRDefault="00B94BE9" w:rsidP="002F4A4C">
      <w:pPr>
        <w:spacing w:line="360" w:lineRule="auto"/>
        <w:jc w:val="both"/>
      </w:pPr>
      <w:r>
        <w:t>Muon spectroscopy recent proposal rounds:</w:t>
      </w:r>
    </w:p>
    <w:p w:rsidR="00B94BE9" w:rsidRDefault="00B94BE9" w:rsidP="002F4A4C">
      <w:pPr>
        <w:spacing w:line="360" w:lineRule="auto"/>
        <w:jc w:val="both"/>
      </w:pPr>
      <w:r w:rsidRPr="00B94BE9">
        <w:t>19 different countries (UK + 11 European + 7 outside Europe)</w:t>
      </w:r>
      <w:r w:rsidRPr="00B94BE9">
        <w:tab/>
      </w:r>
    </w:p>
    <w:p w:rsidR="00B94BE9" w:rsidRDefault="00B94BE9" w:rsidP="002F4A4C">
      <w:pPr>
        <w:spacing w:line="360" w:lineRule="auto"/>
        <w:jc w:val="both"/>
      </w:pPr>
      <w:r w:rsidRPr="00B94BE9">
        <w:tab/>
        <w:t xml:space="preserve">67 separate research groups </w:t>
      </w:r>
    </w:p>
    <w:p w:rsidR="00B94BE9" w:rsidRDefault="00B94BE9" w:rsidP="002F4A4C">
      <w:pPr>
        <w:spacing w:line="360" w:lineRule="auto"/>
        <w:jc w:val="both"/>
      </w:pPr>
      <w:r w:rsidRPr="00B94BE9">
        <w:tab/>
        <w:t xml:space="preserve">738 days applied for: 417 available (1.8 oversubscription) </w:t>
      </w:r>
    </w:p>
    <w:p w:rsidR="00B94BE9" w:rsidRDefault="00B94BE9" w:rsidP="002F4A4C">
      <w:pPr>
        <w:spacing w:line="360" w:lineRule="auto"/>
        <w:jc w:val="both"/>
      </w:pPr>
      <w:r w:rsidRPr="00B94BE9">
        <w:tab/>
        <w:t>~35% of applicants are regular neutron users</w:t>
      </w:r>
    </w:p>
    <w:p w:rsidR="00F21215" w:rsidRDefault="00F21215" w:rsidP="002F4A4C">
      <w:pPr>
        <w:spacing w:line="360" w:lineRule="auto"/>
        <w:jc w:val="both"/>
      </w:pPr>
    </w:p>
    <w:p w:rsidR="00F21215" w:rsidRDefault="00F21215" w:rsidP="002F4A4C">
      <w:pPr>
        <w:pStyle w:val="Heading2"/>
        <w:spacing w:line="360" w:lineRule="auto"/>
        <w:jc w:val="both"/>
      </w:pPr>
      <w:r>
        <w:t>TRIUMF</w:t>
      </w:r>
      <w:r w:rsidR="00A47E9B">
        <w:t>, Vancouver, Canada</w:t>
      </w:r>
    </w:p>
    <w:p w:rsidR="00E150C5" w:rsidRDefault="00E150C5" w:rsidP="002F4A4C">
      <w:pPr>
        <w:spacing w:line="360" w:lineRule="auto"/>
        <w:jc w:val="both"/>
      </w:pPr>
      <w:r>
        <w:t>Muon spectroscopy:</w:t>
      </w:r>
      <w:r w:rsidR="008F0230">
        <w:t xml:space="preserve"> 2.5 beamlines, 7 spectrometers, 7 cryostats, 2 furnaces</w:t>
      </w:r>
    </w:p>
    <w:p w:rsidR="00E4650A" w:rsidRDefault="00E4650A" w:rsidP="002F4A4C">
      <w:pPr>
        <w:spacing w:line="360" w:lineRule="auto"/>
        <w:jc w:val="both"/>
      </w:pPr>
    </w:p>
    <w:p w:rsidR="00E4650A" w:rsidRDefault="00E4650A" w:rsidP="002F4A4C">
      <w:pPr>
        <w:spacing w:line="360" w:lineRule="auto"/>
        <w:jc w:val="both"/>
      </w:pPr>
      <w:r>
        <w:t>Recently added two new beamlines (M9A, M20).</w:t>
      </w:r>
    </w:p>
    <w:p w:rsidR="00E150C5" w:rsidRDefault="00E150C5" w:rsidP="002F4A4C">
      <w:pPr>
        <w:spacing w:line="360" w:lineRule="auto"/>
        <w:jc w:val="both"/>
      </w:pPr>
    </w:p>
    <w:p w:rsidR="00E150C5" w:rsidRDefault="00E150C5" w:rsidP="002F4A4C">
      <w:pPr>
        <w:spacing w:line="360" w:lineRule="auto"/>
        <w:jc w:val="both"/>
      </w:pPr>
      <w:r>
        <w:t>Synergy with beta-NMR (analogous to low energy muons), beam time extremely limited (~ 1-2 weeks/year)</w:t>
      </w:r>
    </w:p>
    <w:p w:rsidR="008F0230" w:rsidRDefault="008F0230" w:rsidP="002F4A4C">
      <w:pPr>
        <w:spacing w:line="360" w:lineRule="auto"/>
        <w:jc w:val="both"/>
      </w:pPr>
    </w:p>
    <w:p w:rsidR="008F0230" w:rsidRDefault="008F0230" w:rsidP="002F4A4C">
      <w:pPr>
        <w:spacing w:line="360" w:lineRule="auto"/>
        <w:jc w:val="both"/>
      </w:pPr>
      <w:r>
        <w:t>Personnel:</w:t>
      </w:r>
      <w:r w:rsidR="0007013B">
        <w:t xml:space="preserve"> 2 man-years by TRIUMF, 6 provided by MFA grant </w:t>
      </w:r>
    </w:p>
    <w:p w:rsidR="00F21215" w:rsidRDefault="00F21215" w:rsidP="002F4A4C">
      <w:pPr>
        <w:pStyle w:val="Heading2"/>
        <w:spacing w:line="360" w:lineRule="auto"/>
        <w:jc w:val="both"/>
      </w:pPr>
      <w:r>
        <w:t>JPARC</w:t>
      </w:r>
    </w:p>
    <w:p w:rsidR="00150474" w:rsidRDefault="00150474" w:rsidP="002F4A4C">
      <w:pPr>
        <w:spacing w:line="360" w:lineRule="auto"/>
        <w:jc w:val="both"/>
        <w:rPr>
          <w:rFonts w:asciiTheme="majorHAnsi" w:eastAsiaTheme="majorEastAsia" w:hAnsiTheme="majorHAnsi" w:cstheme="majorBidi"/>
          <w:b/>
          <w:bCs/>
          <w:color w:val="4F81BD" w:themeColor="accent1"/>
          <w:sz w:val="26"/>
          <w:szCs w:val="26"/>
        </w:rPr>
      </w:pPr>
    </w:p>
    <w:p w:rsidR="00E150C5" w:rsidRDefault="00E150C5" w:rsidP="002F4A4C">
      <w:pPr>
        <w:spacing w:line="360" w:lineRule="auto"/>
        <w:jc w:val="both"/>
      </w:pPr>
      <w:r>
        <w:t>MUSE operational, 3 more beamlines under construction. Low energy muons are intended to be produced by another technique (laser-based).</w:t>
      </w:r>
    </w:p>
    <w:p w:rsidR="00242E98" w:rsidRDefault="00242E98" w:rsidP="002F4A4C">
      <w:pPr>
        <w:spacing w:line="360" w:lineRule="auto"/>
        <w:jc w:val="both"/>
      </w:pPr>
    </w:p>
    <w:p w:rsidR="00242E98" w:rsidRDefault="00242E98" w:rsidP="002F4A4C">
      <w:pPr>
        <w:spacing w:line="360" w:lineRule="auto"/>
        <w:jc w:val="both"/>
      </w:pPr>
      <w:r>
        <w:t>Hard to extract user info.</w:t>
      </w:r>
    </w:p>
    <w:p w:rsidR="00E150C5" w:rsidRDefault="00E150C5" w:rsidP="002F4A4C">
      <w:pPr>
        <w:spacing w:line="360" w:lineRule="auto"/>
        <w:jc w:val="both"/>
        <w:rPr>
          <w:rFonts w:asciiTheme="majorHAnsi" w:eastAsiaTheme="majorEastAsia" w:hAnsiTheme="majorHAnsi" w:cstheme="majorBidi"/>
          <w:b/>
          <w:bCs/>
          <w:color w:val="4F81BD" w:themeColor="accent1"/>
          <w:sz w:val="26"/>
          <w:szCs w:val="26"/>
        </w:rPr>
      </w:pPr>
    </w:p>
    <w:p w:rsidR="00AB7FF4" w:rsidRPr="00AA07FD" w:rsidRDefault="00150474" w:rsidP="002F4A4C">
      <w:pPr>
        <w:spacing w:line="360" w:lineRule="auto"/>
        <w:jc w:val="both"/>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Overview of current and expected needs</w:t>
      </w:r>
    </w:p>
    <w:p w:rsidR="00AA07FD" w:rsidRDefault="00AA07FD" w:rsidP="002F4A4C">
      <w:pPr>
        <w:spacing w:line="360" w:lineRule="auto"/>
        <w:jc w:val="both"/>
      </w:pPr>
    </w:p>
    <w:p w:rsidR="002B307C" w:rsidRDefault="00AA07FD" w:rsidP="002F4A4C">
      <w:pPr>
        <w:spacing w:line="360" w:lineRule="auto"/>
        <w:jc w:val="both"/>
      </w:pPr>
      <w:r>
        <w:t xml:space="preserve">Both pulsed and CW </w:t>
      </w:r>
      <w:r w:rsidR="002B307C">
        <w:t xml:space="preserve">muSR facilities are in high demand as evidenced by an average factor of 2 overbooking at all of the facilities with as high as 3.5 factors </w:t>
      </w:r>
      <w:r w:rsidR="00C4402D">
        <w:t xml:space="preserve">reported at PSI for </w:t>
      </w:r>
      <w:r w:rsidR="00060C42">
        <w:t>low energy muons. Therefore, another state-of-the-art facility</w:t>
      </w:r>
      <w:r w:rsidR="002B307C">
        <w:t xml:space="preserve"> is likely to be </w:t>
      </w:r>
      <w:r w:rsidR="00C4402D">
        <w:t xml:space="preserve">of high international demand even </w:t>
      </w:r>
      <w:r w:rsidR="00060C42">
        <w:t xml:space="preserve">without extending the </w:t>
      </w:r>
      <w:r w:rsidR="00C4402D">
        <w:t xml:space="preserve">existing </w:t>
      </w:r>
      <w:r w:rsidR="00060C42">
        <w:t>user base</w:t>
      </w:r>
      <w:r w:rsidR="002B307C">
        <w:t>. If the new facility is beyond state-of-the-art it is expected to be of extremely high demand.</w:t>
      </w:r>
      <w:r w:rsidR="00C4402D">
        <w:t xml:space="preserve"> </w:t>
      </w:r>
    </w:p>
    <w:p w:rsidR="00C4402D" w:rsidRDefault="00C4402D" w:rsidP="002F4A4C">
      <w:pPr>
        <w:spacing w:line="360" w:lineRule="auto"/>
        <w:jc w:val="both"/>
      </w:pPr>
    </w:p>
    <w:p w:rsidR="00C4402D" w:rsidRDefault="00C4402D" w:rsidP="002F4A4C">
      <w:pPr>
        <w:spacing w:line="360" w:lineRule="auto"/>
        <w:jc w:val="both"/>
      </w:pPr>
      <w:r>
        <w:t xml:space="preserve">Even though mesoscale phenomena at surfaces and interfaces is one of the fastest developing branches of the condensed matter physics and material science, there is only one low energy muon facility in operation world-wide (PSI). An obvious need exists to extend this application of muSR. </w:t>
      </w:r>
    </w:p>
    <w:p w:rsidR="00CB0869" w:rsidRDefault="00CB0869" w:rsidP="002F4A4C">
      <w:pPr>
        <w:spacing w:line="360" w:lineRule="auto"/>
        <w:jc w:val="both"/>
        <w:rPr>
          <w:rFonts w:asciiTheme="majorHAnsi" w:eastAsiaTheme="majorEastAsia" w:hAnsiTheme="majorHAnsi" w:cstheme="majorBidi"/>
          <w:b/>
          <w:bCs/>
          <w:color w:val="4F81BD" w:themeColor="accent1"/>
          <w:sz w:val="26"/>
          <w:szCs w:val="26"/>
        </w:rPr>
      </w:pPr>
    </w:p>
    <w:p w:rsidR="00150474" w:rsidRDefault="00150474" w:rsidP="002F4A4C">
      <w:pPr>
        <w:spacing w:line="360" w:lineRule="auto"/>
        <w:jc w:val="both"/>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Considerations specific to North America</w:t>
      </w:r>
    </w:p>
    <w:p w:rsidR="009F069B" w:rsidRDefault="009F069B" w:rsidP="002F4A4C">
      <w:pPr>
        <w:spacing w:line="360" w:lineRule="auto"/>
        <w:jc w:val="both"/>
      </w:pPr>
    </w:p>
    <w:p w:rsidR="009F069B" w:rsidRDefault="00CB0869" w:rsidP="002F4A4C">
      <w:pPr>
        <w:spacing w:line="360" w:lineRule="auto"/>
        <w:jc w:val="both"/>
      </w:pPr>
      <w:r>
        <w:t xml:space="preserve">USA represents a </w:t>
      </w:r>
      <w:r w:rsidR="00C4402D">
        <w:t>world’s</w:t>
      </w:r>
      <w:r w:rsidR="009F069B">
        <w:t xml:space="preserve"> largest solid state physics community</w:t>
      </w:r>
      <w:r w:rsidR="00AA07FD">
        <w:t xml:space="preserve"> with the current share of about 20% of all muSR experiments worldwide</w:t>
      </w:r>
      <w:r w:rsidR="009F069B">
        <w:t>.</w:t>
      </w:r>
      <w:r>
        <w:t xml:space="preserve"> </w:t>
      </w:r>
      <w:r w:rsidR="00C4402D">
        <w:t>However, no st</w:t>
      </w:r>
      <w:r w:rsidR="00F975A4">
        <w:t>ate-of-the-art muSR facility is</w:t>
      </w:r>
      <w:bookmarkStart w:id="0" w:name="_GoBack"/>
      <w:bookmarkEnd w:id="0"/>
      <w:r w:rsidR="00C4402D">
        <w:t xml:space="preserve"> present on the US soil. </w:t>
      </w:r>
    </w:p>
    <w:p w:rsidR="00F23105" w:rsidRDefault="00F23105" w:rsidP="002F4A4C">
      <w:pPr>
        <w:spacing w:line="360" w:lineRule="auto"/>
        <w:jc w:val="both"/>
      </w:pPr>
    </w:p>
    <w:p w:rsidR="000D6C2E" w:rsidRPr="00F23105" w:rsidRDefault="000D6C2E" w:rsidP="002F4A4C">
      <w:pPr>
        <w:spacing w:line="360" w:lineRule="auto"/>
        <w:jc w:val="both"/>
      </w:pPr>
      <w:r>
        <w:t xml:space="preserve"> </w:t>
      </w:r>
    </w:p>
    <w:sectPr w:rsidR="000D6C2E" w:rsidRPr="00F23105" w:rsidSect="008731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F21215"/>
    <w:rsid w:val="00060C42"/>
    <w:rsid w:val="0007013B"/>
    <w:rsid w:val="000707F4"/>
    <w:rsid w:val="000D2D54"/>
    <w:rsid w:val="000D6C2E"/>
    <w:rsid w:val="00150474"/>
    <w:rsid w:val="001D13DB"/>
    <w:rsid w:val="00212C55"/>
    <w:rsid w:val="002167CF"/>
    <w:rsid w:val="00225652"/>
    <w:rsid w:val="0023062C"/>
    <w:rsid w:val="00242E98"/>
    <w:rsid w:val="00280FBB"/>
    <w:rsid w:val="00290F88"/>
    <w:rsid w:val="002B307C"/>
    <w:rsid w:val="002F4A4C"/>
    <w:rsid w:val="003761A4"/>
    <w:rsid w:val="003B7D61"/>
    <w:rsid w:val="003C0487"/>
    <w:rsid w:val="003D328A"/>
    <w:rsid w:val="00431004"/>
    <w:rsid w:val="00520F94"/>
    <w:rsid w:val="005A7451"/>
    <w:rsid w:val="005A7F0F"/>
    <w:rsid w:val="00613B9D"/>
    <w:rsid w:val="00675F87"/>
    <w:rsid w:val="006D6144"/>
    <w:rsid w:val="00747915"/>
    <w:rsid w:val="007A11BC"/>
    <w:rsid w:val="007A5DCA"/>
    <w:rsid w:val="007C514D"/>
    <w:rsid w:val="007E34FF"/>
    <w:rsid w:val="00837F43"/>
    <w:rsid w:val="0087317E"/>
    <w:rsid w:val="00873525"/>
    <w:rsid w:val="008F0230"/>
    <w:rsid w:val="00955C26"/>
    <w:rsid w:val="009B51E6"/>
    <w:rsid w:val="009D74EE"/>
    <w:rsid w:val="009F069B"/>
    <w:rsid w:val="00A47E9B"/>
    <w:rsid w:val="00A76411"/>
    <w:rsid w:val="00A86FD5"/>
    <w:rsid w:val="00A9042F"/>
    <w:rsid w:val="00A95AD8"/>
    <w:rsid w:val="00AA07FD"/>
    <w:rsid w:val="00AB7FF4"/>
    <w:rsid w:val="00B3358C"/>
    <w:rsid w:val="00B60EF9"/>
    <w:rsid w:val="00B668F8"/>
    <w:rsid w:val="00B94BE9"/>
    <w:rsid w:val="00BB3D51"/>
    <w:rsid w:val="00C35B41"/>
    <w:rsid w:val="00C4402D"/>
    <w:rsid w:val="00CA012E"/>
    <w:rsid w:val="00CB0869"/>
    <w:rsid w:val="00D00CF8"/>
    <w:rsid w:val="00D208A6"/>
    <w:rsid w:val="00D51FC2"/>
    <w:rsid w:val="00D70254"/>
    <w:rsid w:val="00E150C5"/>
    <w:rsid w:val="00E1784A"/>
    <w:rsid w:val="00E435AB"/>
    <w:rsid w:val="00E449B9"/>
    <w:rsid w:val="00E4650A"/>
    <w:rsid w:val="00E52A0D"/>
    <w:rsid w:val="00E7147F"/>
    <w:rsid w:val="00E86B0B"/>
    <w:rsid w:val="00EC175F"/>
    <w:rsid w:val="00F21215"/>
    <w:rsid w:val="00F23105"/>
    <w:rsid w:val="00F374D1"/>
    <w:rsid w:val="00F975A4"/>
    <w:rsid w:val="00FD5A23"/>
    <w:rsid w:val="00FE2FB2"/>
  </w:rsids>
  <m:mathPr>
    <m:mathFont m:val="ＭＳ Ｐ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11"/>
  </w:style>
  <w:style w:type="paragraph" w:styleId="Heading1">
    <w:name w:val="heading 1"/>
    <w:basedOn w:val="Normal"/>
    <w:next w:val="Normal"/>
    <w:link w:val="Heading1Char"/>
    <w:uiPriority w:val="9"/>
    <w:qFormat/>
    <w:rsid w:val="00F212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12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31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21215"/>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F21215"/>
    <w:rPr>
      <w:rFonts w:ascii="Lucida Grande" w:hAnsi="Lucida Grande" w:cs="Lucida Grande"/>
    </w:rPr>
  </w:style>
  <w:style w:type="character" w:customStyle="1" w:styleId="DocumentMapChar">
    <w:name w:val="Document Map Char"/>
    <w:basedOn w:val="DefaultParagraphFont"/>
    <w:link w:val="DocumentMap"/>
    <w:uiPriority w:val="99"/>
    <w:semiHidden/>
    <w:rsid w:val="00F21215"/>
    <w:rPr>
      <w:rFonts w:ascii="Lucida Grande" w:hAnsi="Lucida Grande" w:cs="Lucida Grande"/>
    </w:rPr>
  </w:style>
  <w:style w:type="character" w:customStyle="1" w:styleId="Heading2Char">
    <w:name w:val="Heading 2 Char"/>
    <w:basedOn w:val="DefaultParagraphFont"/>
    <w:link w:val="Heading2"/>
    <w:uiPriority w:val="9"/>
    <w:rsid w:val="00F2121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0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61A4"/>
    <w:pPr>
      <w:spacing w:before="100" w:beforeAutospacing="1" w:after="100" w:afterAutospacing="1"/>
    </w:pPr>
    <w:rPr>
      <w:rFonts w:ascii="Times" w:hAnsi="Times" w:cs="Times New Roman"/>
      <w:sz w:val="20"/>
      <w:szCs w:val="20"/>
    </w:rPr>
  </w:style>
  <w:style w:type="table" w:styleId="LightList">
    <w:name w:val="Light List"/>
    <w:basedOn w:val="TableNormal"/>
    <w:uiPriority w:val="61"/>
    <w:rsid w:val="005A7F0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A7F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
    <w:name w:val="Medium Shading 2"/>
    <w:basedOn w:val="TableNormal"/>
    <w:uiPriority w:val="64"/>
    <w:rsid w:val="005A7F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F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F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F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F2310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2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12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31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215"/>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F21215"/>
    <w:rPr>
      <w:rFonts w:ascii="Lucida Grande" w:hAnsi="Lucida Grande" w:cs="Lucida Grande"/>
    </w:rPr>
  </w:style>
  <w:style w:type="character" w:customStyle="1" w:styleId="DocumentMapChar">
    <w:name w:val="Document Map Char"/>
    <w:basedOn w:val="DefaultParagraphFont"/>
    <w:link w:val="DocumentMap"/>
    <w:uiPriority w:val="99"/>
    <w:semiHidden/>
    <w:rsid w:val="00F21215"/>
    <w:rPr>
      <w:rFonts w:ascii="Lucida Grande" w:hAnsi="Lucida Grande" w:cs="Lucida Grande"/>
    </w:rPr>
  </w:style>
  <w:style w:type="character" w:customStyle="1" w:styleId="Heading2Char">
    <w:name w:val="Heading 2 Char"/>
    <w:basedOn w:val="DefaultParagraphFont"/>
    <w:link w:val="Heading2"/>
    <w:uiPriority w:val="9"/>
    <w:rsid w:val="00F2121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90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61A4"/>
    <w:pPr>
      <w:spacing w:before="100" w:beforeAutospacing="1" w:after="100" w:afterAutospacing="1"/>
    </w:pPr>
    <w:rPr>
      <w:rFonts w:ascii="Times" w:hAnsi="Times" w:cs="Times New Roman"/>
      <w:sz w:val="20"/>
      <w:szCs w:val="20"/>
    </w:rPr>
  </w:style>
  <w:style w:type="table" w:styleId="LightList">
    <w:name w:val="Light List"/>
    <w:basedOn w:val="TableNormal"/>
    <w:uiPriority w:val="61"/>
    <w:rsid w:val="005A7F0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A7F0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
    <w:name w:val="Medium Shading 2"/>
    <w:basedOn w:val="TableNormal"/>
    <w:uiPriority w:val="64"/>
    <w:rsid w:val="005A7F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F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F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F0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F2310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5958068">
      <w:bodyDiv w:val="1"/>
      <w:marLeft w:val="0"/>
      <w:marRight w:val="0"/>
      <w:marTop w:val="0"/>
      <w:marBottom w:val="0"/>
      <w:divBdr>
        <w:top w:val="none" w:sz="0" w:space="0" w:color="auto"/>
        <w:left w:val="none" w:sz="0" w:space="0" w:color="auto"/>
        <w:bottom w:val="none" w:sz="0" w:space="0" w:color="auto"/>
        <w:right w:val="none" w:sz="0" w:space="0" w:color="auto"/>
      </w:divBdr>
    </w:div>
    <w:div w:id="734666492">
      <w:bodyDiv w:val="1"/>
      <w:marLeft w:val="0"/>
      <w:marRight w:val="0"/>
      <w:marTop w:val="0"/>
      <w:marBottom w:val="0"/>
      <w:divBdr>
        <w:top w:val="none" w:sz="0" w:space="0" w:color="auto"/>
        <w:left w:val="none" w:sz="0" w:space="0" w:color="auto"/>
        <w:bottom w:val="none" w:sz="0" w:space="0" w:color="auto"/>
        <w:right w:val="none" w:sz="0" w:space="0" w:color="auto"/>
      </w:divBdr>
    </w:div>
    <w:div w:id="1308707684">
      <w:bodyDiv w:val="1"/>
      <w:marLeft w:val="0"/>
      <w:marRight w:val="0"/>
      <w:marTop w:val="0"/>
      <w:marBottom w:val="0"/>
      <w:divBdr>
        <w:top w:val="none" w:sz="0" w:space="0" w:color="auto"/>
        <w:left w:val="none" w:sz="0" w:space="0" w:color="auto"/>
        <w:bottom w:val="none" w:sz="0" w:space="0" w:color="auto"/>
        <w:right w:val="none" w:sz="0" w:space="0" w:color="auto"/>
      </w:divBdr>
    </w:div>
    <w:div w:id="1390153797">
      <w:bodyDiv w:val="1"/>
      <w:marLeft w:val="0"/>
      <w:marRight w:val="0"/>
      <w:marTop w:val="0"/>
      <w:marBottom w:val="0"/>
      <w:divBdr>
        <w:top w:val="none" w:sz="0" w:space="0" w:color="auto"/>
        <w:left w:val="none" w:sz="0" w:space="0" w:color="auto"/>
        <w:bottom w:val="none" w:sz="0" w:space="0" w:color="auto"/>
        <w:right w:val="none" w:sz="0" w:space="0" w:color="auto"/>
      </w:divBdr>
    </w:div>
    <w:div w:id="1483352510">
      <w:bodyDiv w:val="1"/>
      <w:marLeft w:val="0"/>
      <w:marRight w:val="0"/>
      <w:marTop w:val="0"/>
      <w:marBottom w:val="0"/>
      <w:divBdr>
        <w:top w:val="none" w:sz="0" w:space="0" w:color="auto"/>
        <w:left w:val="none" w:sz="0" w:space="0" w:color="auto"/>
        <w:bottom w:val="none" w:sz="0" w:space="0" w:color="auto"/>
        <w:right w:val="none" w:sz="0" w:space="0" w:color="auto"/>
      </w:divBdr>
    </w:div>
    <w:div w:id="1781561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BD731E92-2CB5-8946-B98E-82FD1200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3295</Characters>
  <Application>Microsoft Macintosh Word</Application>
  <DocSecurity>0</DocSecurity>
  <Lines>27</Lines>
  <Paragraphs>6</Paragraphs>
  <ScaleCrop>false</ScaleCrop>
  <Company>Fermilab</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Romanenko</dc:creator>
  <cp:keywords/>
  <dc:description/>
  <cp:lastModifiedBy>Robert Plunkett</cp:lastModifiedBy>
  <cp:revision>2</cp:revision>
  <dcterms:created xsi:type="dcterms:W3CDTF">2013-02-27T21:29:00Z</dcterms:created>
  <dcterms:modified xsi:type="dcterms:W3CDTF">2013-02-27T21:29:00Z</dcterms:modified>
</cp:coreProperties>
</file>